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CF05B" w14:textId="77777777" w:rsidR="00EE5A49" w:rsidRDefault="00EE5A49" w:rsidP="00EE5A49">
      <w:pPr>
        <w:spacing w:line="480" w:lineRule="auto"/>
        <w:rPr>
          <w:rFonts w:cs="Calibri"/>
          <w:b/>
          <w:bCs/>
          <w:sz w:val="24"/>
          <w:szCs w:val="24"/>
        </w:rPr>
      </w:pPr>
      <w:r w:rsidRPr="00D44D2F">
        <w:rPr>
          <w:rFonts w:cs="Calibri"/>
          <w:b/>
          <w:bCs/>
          <w:sz w:val="24"/>
          <w:szCs w:val="24"/>
        </w:rPr>
        <w:t xml:space="preserve">Extended Data Figure/Table Legends </w:t>
      </w:r>
    </w:p>
    <w:p w14:paraId="7B7D79F1" w14:textId="77777777" w:rsidR="00EE5A49" w:rsidRDefault="00EE5A49" w:rsidP="00EE5A49">
      <w:pPr>
        <w:spacing w:after="0" w:line="240" w:lineRule="auto"/>
        <w:rPr>
          <w:rFonts w:cs="Calibri"/>
          <w:b/>
          <w:bCs/>
          <w:sz w:val="24"/>
          <w:szCs w:val="24"/>
        </w:rPr>
      </w:pPr>
      <w:r w:rsidRPr="00D44D2F">
        <w:rPr>
          <w:rFonts w:cs="Calibri"/>
          <w:b/>
          <w:bCs/>
          <w:sz w:val="24"/>
          <w:szCs w:val="24"/>
        </w:rPr>
        <w:t>Figure S1:</w:t>
      </w:r>
      <w:r w:rsidRPr="00D44D2F">
        <w:rPr>
          <w:rFonts w:cs="Calibri"/>
          <w:sz w:val="24"/>
          <w:szCs w:val="24"/>
        </w:rPr>
        <w:t xml:space="preserve"> </w:t>
      </w:r>
      <w:r w:rsidRPr="00D44D2F">
        <w:rPr>
          <w:rFonts w:cs="Calibri"/>
          <w:b/>
          <w:bCs/>
          <w:sz w:val="24"/>
          <w:szCs w:val="24"/>
        </w:rPr>
        <w:t xml:space="preserve">AutoCMR reduces required scan interactions and scan time variability. </w:t>
      </w:r>
    </w:p>
    <w:p w14:paraId="17BC1D2C" w14:textId="77777777" w:rsidR="00EE5A49" w:rsidRPr="00D44D2F" w:rsidRDefault="00EE5A49" w:rsidP="00EE5A49">
      <w:pPr>
        <w:spacing w:after="0" w:line="240" w:lineRule="auto"/>
        <w:rPr>
          <w:rFonts w:cs="Calibri"/>
          <w:sz w:val="24"/>
          <w:szCs w:val="24"/>
        </w:rPr>
      </w:pPr>
      <w:r w:rsidRPr="00490F24">
        <w:rPr>
          <w:rFonts w:cs="Calibri"/>
          <w:b/>
          <w:bCs/>
          <w:sz w:val="24"/>
          <w:szCs w:val="24"/>
        </w:rPr>
        <w:t>a</w:t>
      </w:r>
      <w:r>
        <w:rPr>
          <w:rFonts w:cs="Calibri"/>
          <w:sz w:val="24"/>
          <w:szCs w:val="24"/>
        </w:rPr>
        <w:t>,</w:t>
      </w:r>
      <w:r w:rsidRPr="00D44D2F">
        <w:rPr>
          <w:rFonts w:cs="Calibri"/>
          <w:sz w:val="24"/>
          <w:szCs w:val="24"/>
        </w:rPr>
        <w:t xml:space="preserve"> User Interface (UI) mouse tracking (green) during a conventional 2DCMR exam (left) and an AutoCMR exam (right). While the conventional 2DCMR exam requires hundreds of user interactions, the AutoCMR exam requires minimal user input, requiring only an initial start click and the entry of the type and amount of contrast given. </w:t>
      </w:r>
      <w:r>
        <w:rPr>
          <w:rFonts w:cs="Calibri"/>
          <w:b/>
          <w:bCs/>
          <w:sz w:val="24"/>
          <w:szCs w:val="24"/>
        </w:rPr>
        <w:t>b,</w:t>
      </w:r>
      <w:r w:rsidRPr="00D44D2F">
        <w:rPr>
          <w:rFonts w:cs="Calibri"/>
          <w:sz w:val="24"/>
          <w:szCs w:val="24"/>
        </w:rPr>
        <w:t xml:space="preserve"> The number of mouse clicks (mean ± standard deviation) recorded during 12 conventional 2DCMR exams during localization, cine, and delayed enhancement imaging (120 ± 80 clicks) is significantly higher (p&lt;0.0001) than the number of clicks recorded during 33 AutoCMR exams (5.3 ±0.7 clicks). </w:t>
      </w:r>
      <w:r>
        <w:rPr>
          <w:rFonts w:cs="Calibri"/>
          <w:b/>
          <w:bCs/>
          <w:sz w:val="24"/>
          <w:szCs w:val="24"/>
        </w:rPr>
        <w:t>c,d,</w:t>
      </w:r>
      <w:r w:rsidRPr="00D44D2F">
        <w:rPr>
          <w:rFonts w:cs="Calibri"/>
          <w:sz w:val="24"/>
          <w:szCs w:val="24"/>
        </w:rPr>
        <w:t xml:space="preserve"> Clinical 2DCMR and AutoCMR scan duration were calculated for the 100 AutoCMR patients scanned at an academic hospital (</w:t>
      </w:r>
      <w:r>
        <w:rPr>
          <w:rFonts w:cs="Calibri"/>
          <w:b/>
          <w:bCs/>
          <w:sz w:val="24"/>
          <w:szCs w:val="24"/>
        </w:rPr>
        <w:t>c</w:t>
      </w:r>
      <w:r w:rsidRPr="00D44D2F">
        <w:rPr>
          <w:rFonts w:cs="Calibri"/>
          <w:sz w:val="24"/>
          <w:szCs w:val="24"/>
        </w:rPr>
        <w:t>) and the 25 AutoCMR patients scanned at a CHC (</w:t>
      </w:r>
      <w:r>
        <w:rPr>
          <w:rFonts w:cs="Calibri"/>
          <w:b/>
          <w:bCs/>
          <w:sz w:val="24"/>
          <w:szCs w:val="24"/>
        </w:rPr>
        <w:t>d</w:t>
      </w:r>
      <w:r w:rsidRPr="00D44D2F">
        <w:rPr>
          <w:rFonts w:cs="Calibri"/>
          <w:sz w:val="24"/>
          <w:szCs w:val="24"/>
        </w:rPr>
        <w:t xml:space="preserve">). All clinical 2DCMR was performed at an Academic hospital, and scan time was retrospectively calculated counting only localizers, cine, and DE acquisitions. Scan duration (mean ± standard deviation) was significantly lower in AutoCMR acquisitions than in 2DCMR acquisitions at both the academic hospital (2DCMR: 30.6 ± 8.4 min; ACMR: 25.0 ± 2.3 min; p&lt;0.001) and the CHC (2DCMR: 37.7 ± 8.4 min; ACMR: 26.3 ± 2.3 min; p&lt;0.001). Only 5 total AutoCMR exams (Academic Hospital: 3%, CHC: 8%) were longer than 30 minutes and all AutoCMR exams were less than 35 minutes. In contrast, 60 (48%) of the 125 total 2DCMR exams were longer than 30 minutes, with 36 (29%) exams spanning longer than 35 minutes. </w:t>
      </w:r>
    </w:p>
    <w:p w14:paraId="26B7D5F6" w14:textId="77777777" w:rsidR="00EE5A49" w:rsidRPr="00D44D2F" w:rsidRDefault="00EE5A49" w:rsidP="00EE5A49">
      <w:pPr>
        <w:spacing w:after="0" w:line="240" w:lineRule="auto"/>
        <w:rPr>
          <w:rFonts w:cs="Calibri"/>
          <w:sz w:val="24"/>
          <w:szCs w:val="24"/>
        </w:rPr>
      </w:pPr>
    </w:p>
    <w:p w14:paraId="759801F3" w14:textId="77777777" w:rsidR="00EE5A49" w:rsidRPr="00D44D2F" w:rsidRDefault="00EE5A49" w:rsidP="00EE5A49">
      <w:pPr>
        <w:spacing w:after="0" w:line="240" w:lineRule="auto"/>
        <w:jc w:val="center"/>
        <w:rPr>
          <w:rFonts w:cs="Calibri"/>
          <w:sz w:val="24"/>
          <w:szCs w:val="24"/>
        </w:rPr>
      </w:pPr>
      <w:r>
        <w:rPr>
          <w:rFonts w:cs="Calibri"/>
          <w:noProof/>
          <w:sz w:val="24"/>
          <w:szCs w:val="24"/>
        </w:rPr>
        <w:drawing>
          <wp:inline distT="0" distB="0" distL="0" distR="0" wp14:anchorId="23E85802" wp14:editId="39489E0F">
            <wp:extent cx="4572000" cy="3022639"/>
            <wp:effectExtent l="0" t="0" r="0" b="6350"/>
            <wp:docPr id="88914256" name="Picture 4" descr="A screenshot of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14256" name="Picture 4" descr="A screenshot of a white background&#10;&#10;AI-generated content may be incorrect."/>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 t="1" r="46996" b="73723"/>
                    <a:stretch/>
                  </pic:blipFill>
                  <pic:spPr bwMode="auto">
                    <a:xfrm>
                      <a:off x="0" y="0"/>
                      <a:ext cx="4572000" cy="3022639"/>
                    </a:xfrm>
                    <a:prstGeom prst="rect">
                      <a:avLst/>
                    </a:prstGeom>
                    <a:noFill/>
                    <a:ln>
                      <a:noFill/>
                    </a:ln>
                    <a:extLst>
                      <a:ext uri="{53640926-AAD7-44D8-BBD7-CCE9431645EC}">
                        <a14:shadowObscured xmlns:a14="http://schemas.microsoft.com/office/drawing/2010/main"/>
                      </a:ext>
                    </a:extLst>
                  </pic:spPr>
                </pic:pic>
              </a:graphicData>
            </a:graphic>
          </wp:inline>
        </w:drawing>
      </w:r>
    </w:p>
    <w:p w14:paraId="638FC155" w14:textId="77777777" w:rsidR="00EE5A49" w:rsidRPr="00D44D2F" w:rsidRDefault="00EE5A49" w:rsidP="00EE5A49">
      <w:pPr>
        <w:spacing w:after="0" w:line="240" w:lineRule="auto"/>
        <w:rPr>
          <w:rFonts w:cs="Calibri"/>
          <w:sz w:val="24"/>
          <w:szCs w:val="24"/>
        </w:rPr>
      </w:pPr>
    </w:p>
    <w:p w14:paraId="1CF8D60A" w14:textId="77777777" w:rsidR="00EE5A49" w:rsidRPr="00D44D2F" w:rsidRDefault="00EE5A49" w:rsidP="00EE5A49">
      <w:pPr>
        <w:rPr>
          <w:rFonts w:cs="Calibri"/>
          <w:b/>
          <w:bCs/>
          <w:sz w:val="24"/>
          <w:szCs w:val="24"/>
        </w:rPr>
      </w:pPr>
      <w:r w:rsidRPr="00D44D2F">
        <w:rPr>
          <w:rFonts w:cs="Calibri"/>
          <w:b/>
          <w:bCs/>
          <w:sz w:val="24"/>
          <w:szCs w:val="24"/>
        </w:rPr>
        <w:br w:type="page"/>
      </w:r>
    </w:p>
    <w:p w14:paraId="1137F04A"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Figure S</w:t>
      </w:r>
      <w:r>
        <w:rPr>
          <w:rFonts w:cs="Calibri"/>
          <w:b/>
          <w:bCs/>
          <w:sz w:val="24"/>
          <w:szCs w:val="24"/>
        </w:rPr>
        <w:t>2</w:t>
      </w:r>
      <w:r w:rsidRPr="00D44D2F">
        <w:rPr>
          <w:rFonts w:cs="Calibri"/>
          <w:b/>
          <w:bCs/>
          <w:sz w:val="24"/>
          <w:szCs w:val="24"/>
        </w:rPr>
        <w:t xml:space="preserve">: Validation of AutoCMR cine self-navigation and LV function. </w:t>
      </w:r>
    </w:p>
    <w:p w14:paraId="2A09F245" w14:textId="77777777" w:rsidR="00EE5A49" w:rsidRDefault="00EE5A49" w:rsidP="00EE5A49">
      <w:pPr>
        <w:spacing w:after="0" w:line="240" w:lineRule="auto"/>
        <w:rPr>
          <w:rFonts w:cs="Calibri"/>
          <w:sz w:val="24"/>
          <w:szCs w:val="24"/>
        </w:rPr>
      </w:pPr>
      <w:r>
        <w:rPr>
          <w:rFonts w:cs="Calibri"/>
          <w:b/>
          <w:bCs/>
          <w:sz w:val="24"/>
          <w:szCs w:val="24"/>
        </w:rPr>
        <w:t>a, b,</w:t>
      </w:r>
      <w:r w:rsidRPr="00D44D2F">
        <w:rPr>
          <w:rFonts w:cs="Calibri"/>
          <w:sz w:val="24"/>
          <w:szCs w:val="24"/>
        </w:rPr>
        <w:t xml:space="preserve"> Heart rate (</w:t>
      </w:r>
      <w:r>
        <w:rPr>
          <w:rFonts w:cs="Calibri"/>
          <w:b/>
          <w:bCs/>
          <w:sz w:val="24"/>
          <w:szCs w:val="24"/>
        </w:rPr>
        <w:t>a</w:t>
      </w:r>
      <w:r w:rsidRPr="00D44D2F">
        <w:rPr>
          <w:rFonts w:cs="Calibri"/>
          <w:sz w:val="24"/>
          <w:szCs w:val="24"/>
        </w:rPr>
        <w:t>) and total number of detected peaks (</w:t>
      </w:r>
      <w:r>
        <w:rPr>
          <w:rFonts w:cs="Calibri"/>
          <w:b/>
          <w:bCs/>
          <w:sz w:val="24"/>
          <w:szCs w:val="24"/>
        </w:rPr>
        <w:t>b</w:t>
      </w:r>
      <w:r w:rsidRPr="00D44D2F">
        <w:rPr>
          <w:rFonts w:cs="Calibri"/>
          <w:sz w:val="24"/>
          <w:szCs w:val="24"/>
        </w:rPr>
        <w:t xml:space="preserve">) from AutoCMR self-gating (SG) and extracted ECG signals (ECG) in 100 patients scanned at an Academic Hospital are highly correlated (ICC=0.97, 0.99) and demonstrate low bias (-0.257 bpm, 4.79 peaks) in Bland-Altman analysis. </w:t>
      </w:r>
      <w:r>
        <w:rPr>
          <w:rFonts w:cs="Calibri"/>
          <w:b/>
          <w:bCs/>
          <w:sz w:val="24"/>
          <w:szCs w:val="24"/>
        </w:rPr>
        <w:t>c-f</w:t>
      </w:r>
      <w:r w:rsidRPr="00D44D2F">
        <w:rPr>
          <w:rFonts w:cs="Calibri"/>
          <w:sz w:val="24"/>
          <w:szCs w:val="24"/>
        </w:rPr>
        <w:t>. LV function from single slice images at the middle of the LV in the short axis plane is compared for 2DCMR and AutoCMR acquired in a single scanning session. Because AutoCMR images have been reformatted into 2D views, this single slice comparison avoids the confounding influence of comparing 3D AutoCMR data to volumes calculated from thick-slice, 2D image stacks with gaps between slices. Slice-matched 2DCMR and AutoCMR images were semi-automatically segmented using CVI42 Circle and manually corrected. LV end diastolic area (</w:t>
      </w:r>
      <w:r>
        <w:rPr>
          <w:rFonts w:cs="Calibri"/>
          <w:b/>
          <w:bCs/>
          <w:sz w:val="24"/>
          <w:szCs w:val="24"/>
        </w:rPr>
        <w:t>c</w:t>
      </w:r>
      <w:r w:rsidRPr="00D44D2F">
        <w:rPr>
          <w:rFonts w:cs="Calibri"/>
          <w:sz w:val="24"/>
          <w:szCs w:val="24"/>
        </w:rPr>
        <w:t>) and fractional area change</w:t>
      </w:r>
      <w:r>
        <w:rPr>
          <w:rFonts w:cs="Calibri"/>
          <w:sz w:val="24"/>
          <w:szCs w:val="24"/>
        </w:rPr>
        <w:t xml:space="preserve"> (</w:t>
      </w:r>
      <w:r>
        <w:rPr>
          <w:rFonts w:cs="Calibri"/>
          <w:b/>
          <w:bCs/>
          <w:sz w:val="24"/>
          <w:szCs w:val="24"/>
        </w:rPr>
        <w:t>d</w:t>
      </w:r>
      <w:r>
        <w:rPr>
          <w:rFonts w:cs="Calibri"/>
          <w:sz w:val="24"/>
          <w:szCs w:val="24"/>
        </w:rPr>
        <w:t>)</w:t>
      </w:r>
      <w:r w:rsidRPr="00D44D2F">
        <w:rPr>
          <w:rFonts w:cs="Calibri"/>
          <w:sz w:val="24"/>
          <w:szCs w:val="24"/>
        </w:rPr>
        <w:t>, calculated as FAC = 100 × (end diastolic area – end systolic area) / end diastolic area, demonstrate excellent correlation (ICC=0.90, 0.95) and low bias (-2.48 cm</w:t>
      </w:r>
      <w:r w:rsidRPr="00D44D2F">
        <w:rPr>
          <w:rFonts w:cs="Calibri"/>
          <w:sz w:val="24"/>
          <w:szCs w:val="24"/>
          <w:vertAlign w:val="superscript"/>
        </w:rPr>
        <w:t>2</w:t>
      </w:r>
      <w:r w:rsidRPr="00D44D2F">
        <w:rPr>
          <w:rFonts w:cs="Calibri"/>
          <w:sz w:val="24"/>
          <w:szCs w:val="24"/>
        </w:rPr>
        <w:t xml:space="preserve">, 1.63%) in Bland-Altman analysis. </w:t>
      </w:r>
      <w:r>
        <w:rPr>
          <w:rFonts w:cs="Calibri"/>
          <w:b/>
          <w:bCs/>
          <w:sz w:val="24"/>
          <w:szCs w:val="24"/>
        </w:rPr>
        <w:t>e,</w:t>
      </w:r>
      <w:r w:rsidRPr="00D44D2F">
        <w:rPr>
          <w:rFonts w:cs="Calibri"/>
          <w:sz w:val="24"/>
          <w:szCs w:val="24"/>
        </w:rPr>
        <w:t xml:space="preserve"> A line projection (blue) through cine images from a representative patient plotted over time is used to generate m-mode plots, which demonstrate qualitatively comparable change in imaging features over time for 2DCMR and AutoCMR images. </w:t>
      </w:r>
      <w:r>
        <w:rPr>
          <w:rFonts w:cs="Calibri"/>
          <w:b/>
          <w:bCs/>
          <w:sz w:val="24"/>
          <w:szCs w:val="24"/>
        </w:rPr>
        <w:t>f,</w:t>
      </w:r>
      <w:r w:rsidRPr="00D44D2F">
        <w:rPr>
          <w:rFonts w:cs="Calibri"/>
          <w:sz w:val="24"/>
          <w:szCs w:val="24"/>
        </w:rPr>
        <w:t xml:space="preserve"> LV endocardial area of the representative patient measured for each cardiac frame using 2DCMR and AutoCMR cine demonstrate agreement, with overlapping error as determined by calculating a 1 pixel offset on endocardial borders.        </w:t>
      </w:r>
    </w:p>
    <w:p w14:paraId="5A9FFB0F" w14:textId="77777777" w:rsidR="00EE5A49" w:rsidRPr="00D44D2F" w:rsidRDefault="00EE5A49" w:rsidP="00EE5A49">
      <w:pPr>
        <w:spacing w:after="0" w:line="240" w:lineRule="auto"/>
        <w:rPr>
          <w:rFonts w:cs="Calibri"/>
          <w:sz w:val="24"/>
          <w:szCs w:val="24"/>
        </w:rPr>
      </w:pPr>
      <w:r>
        <w:rPr>
          <w:rFonts w:cs="Calibri"/>
          <w:noProof/>
          <w:sz w:val="24"/>
          <w:szCs w:val="24"/>
        </w:rPr>
        <w:lastRenderedPageBreak/>
        <w:drawing>
          <wp:inline distT="0" distB="0" distL="0" distR="0" wp14:anchorId="414F1C40" wp14:editId="12FB9526">
            <wp:extent cx="5486400" cy="5797066"/>
            <wp:effectExtent l="0" t="0" r="0" b="0"/>
            <wp:docPr id="511861588"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861588" name="Picture 5" descr="A screenshot of a computer&#10;&#10;AI-generated content may be incorrec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44590" b="56097"/>
                    <a:stretch/>
                  </pic:blipFill>
                  <pic:spPr bwMode="auto">
                    <a:xfrm>
                      <a:off x="0" y="0"/>
                      <a:ext cx="5486400" cy="5797066"/>
                    </a:xfrm>
                    <a:prstGeom prst="rect">
                      <a:avLst/>
                    </a:prstGeom>
                    <a:noFill/>
                    <a:ln>
                      <a:noFill/>
                    </a:ln>
                    <a:extLst>
                      <a:ext uri="{53640926-AAD7-44D8-BBD7-CCE9431645EC}">
                        <a14:shadowObscured xmlns:a14="http://schemas.microsoft.com/office/drawing/2010/main"/>
                      </a:ext>
                    </a:extLst>
                  </pic:spPr>
                </pic:pic>
              </a:graphicData>
            </a:graphic>
          </wp:inline>
        </w:drawing>
      </w:r>
      <w:r w:rsidRPr="00D44D2F">
        <w:rPr>
          <w:rFonts w:cs="Calibri"/>
          <w:sz w:val="24"/>
          <w:szCs w:val="24"/>
        </w:rPr>
        <w:t xml:space="preserve"> </w:t>
      </w:r>
    </w:p>
    <w:p w14:paraId="466F5EEB" w14:textId="77777777" w:rsidR="00EE5A49" w:rsidRDefault="00EE5A49" w:rsidP="00EE5A49">
      <w:pPr>
        <w:rPr>
          <w:rFonts w:cs="Calibri"/>
          <w:b/>
          <w:bCs/>
          <w:sz w:val="24"/>
          <w:szCs w:val="24"/>
        </w:rPr>
      </w:pPr>
      <w:r>
        <w:rPr>
          <w:rFonts w:cs="Calibri"/>
          <w:b/>
          <w:bCs/>
          <w:sz w:val="24"/>
          <w:szCs w:val="24"/>
        </w:rPr>
        <w:br w:type="page"/>
      </w:r>
    </w:p>
    <w:p w14:paraId="39992980"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Figure S</w:t>
      </w:r>
      <w:r>
        <w:rPr>
          <w:rFonts w:cs="Calibri"/>
          <w:b/>
          <w:bCs/>
          <w:sz w:val="24"/>
          <w:szCs w:val="24"/>
        </w:rPr>
        <w:t>3</w:t>
      </w:r>
      <w:r w:rsidRPr="00D44D2F">
        <w:rPr>
          <w:rFonts w:cs="Calibri"/>
          <w:b/>
          <w:bCs/>
          <w:sz w:val="24"/>
          <w:szCs w:val="24"/>
        </w:rPr>
        <w:t xml:space="preserve">: AutoCMR phantom validation. </w:t>
      </w:r>
    </w:p>
    <w:p w14:paraId="43D9DBF5" w14:textId="77777777" w:rsidR="00EE5A49" w:rsidRPr="00D44D2F" w:rsidRDefault="00EE5A49" w:rsidP="00EE5A49">
      <w:pPr>
        <w:spacing w:after="0" w:line="240" w:lineRule="auto"/>
        <w:rPr>
          <w:rFonts w:cs="Calibri"/>
          <w:sz w:val="24"/>
          <w:szCs w:val="24"/>
        </w:rPr>
      </w:pPr>
      <w:r>
        <w:rPr>
          <w:rFonts w:cs="Calibri"/>
          <w:b/>
          <w:bCs/>
          <w:sz w:val="24"/>
          <w:szCs w:val="24"/>
        </w:rPr>
        <w:t>a,</w:t>
      </w:r>
      <w:r w:rsidRPr="00D44D2F">
        <w:rPr>
          <w:rFonts w:cs="Calibri"/>
          <w:sz w:val="24"/>
          <w:szCs w:val="24"/>
        </w:rPr>
        <w:t xml:space="preserve"> A custom resolution phantom was printed with 3x3 grids providing 2.4 mm (blue), 2.0 mm (orange), 1.6 mm (green), and 1.0 mm (red) resolution. A reference image was acquired using fully sampled Cartesian data acquired with a spoiled gradient echo acquisition (matrix=192x192x192, resolution=1.6mm isotropic, FOV=307mm, TR/TE=4.0/2.9ms, FA=12°). Cine data was acquired with the proposed sequence (spoiled gradient echo, matrix=192x192x192, resolution=1.6mm isotropic, FOV=307mm, TR/TE=4.0/2.9ms, FA=12°) and was respiratory and cardiac binned into 30 cardiac frames using the self-gating signals from a representative patient. DE data was also collected using the proposed sequence (inversion recovery spoiled gradient echo, matrix=192x192x192, resolution=1.6mm isotropic, FOV=307mm, TR/TE=3.7/2.6ms, FA=10°) and was respiratory binned using the self-gating signals from the same representative patient. Both magnitude (DE MAG) and phase-sensitive inversion recovery (DE PSIR) like contrasts were generated. All images were interpolated by a factor of 2. </w:t>
      </w:r>
      <w:r>
        <w:rPr>
          <w:rFonts w:cs="Calibri"/>
          <w:b/>
          <w:bCs/>
          <w:sz w:val="24"/>
          <w:szCs w:val="24"/>
        </w:rPr>
        <w:t>b</w:t>
      </w:r>
      <w:r>
        <w:rPr>
          <w:rFonts w:cs="Calibri"/>
          <w:sz w:val="24"/>
          <w:szCs w:val="24"/>
        </w:rPr>
        <w:t>,</w:t>
      </w:r>
      <w:r w:rsidRPr="00D44D2F">
        <w:rPr>
          <w:rFonts w:cs="Calibri"/>
          <w:sz w:val="24"/>
          <w:szCs w:val="24"/>
        </w:rPr>
        <w:t xml:space="preserve"> Line plots of signal intensity drawn through each of the resolution grids show resolved peaks for 2.4mm, 2.0mm, and 1.6mm in Reference, Cine (cardiac frame 0), DE MAG (TI=250ms), and DE PSIR (TI=250ms) images. </w:t>
      </w:r>
      <w:r>
        <w:rPr>
          <w:rFonts w:cs="Calibri"/>
          <w:b/>
          <w:bCs/>
          <w:sz w:val="24"/>
          <w:szCs w:val="24"/>
        </w:rPr>
        <w:t>c, d,</w:t>
      </w:r>
      <w:r w:rsidRPr="00D44D2F">
        <w:rPr>
          <w:rFonts w:cs="Calibri"/>
          <w:sz w:val="24"/>
          <w:szCs w:val="24"/>
        </w:rPr>
        <w:t xml:space="preserve"> The 3T T1mes</w:t>
      </w:r>
      <w:r w:rsidRPr="00A42309">
        <w:rPr>
          <w:rFonts w:ascii="Aptos" w:hAnsi="Aptos" w:cs="Times New Roman"/>
          <w:kern w:val="0"/>
          <w:sz w:val="24"/>
          <w:vertAlign w:val="superscript"/>
        </w:rPr>
        <w:t>50</w:t>
      </w:r>
      <w:r w:rsidRPr="00D44D2F">
        <w:rPr>
          <w:rFonts w:cs="Calibri"/>
          <w:sz w:val="24"/>
          <w:szCs w:val="24"/>
        </w:rPr>
        <w:t xml:space="preserve"> phantom was scanned using the AutoCMR DE acquisition and images were reconstructed with TI = [80, 340] in steps of 10 ms using an 80ms reconstruction window. </w:t>
      </w:r>
      <w:r>
        <w:rPr>
          <w:rFonts w:cs="Calibri"/>
          <w:b/>
          <w:bCs/>
          <w:sz w:val="24"/>
          <w:szCs w:val="24"/>
        </w:rPr>
        <w:t>d,</w:t>
      </w:r>
      <w:r w:rsidRPr="00D44D2F">
        <w:rPr>
          <w:rFonts w:cs="Calibri"/>
          <w:sz w:val="24"/>
          <w:szCs w:val="24"/>
        </w:rPr>
        <w:t xml:space="preserve"> Signal intensity from PSIR images and voxels in each of the 9 regions of interest is plotted over all reconstructed inversion times, demonstrated expected inversion recovery curves.       </w:t>
      </w:r>
    </w:p>
    <w:p w14:paraId="17D81249" w14:textId="77777777" w:rsidR="00EE5A49" w:rsidRPr="00D44D2F" w:rsidRDefault="00EE5A49" w:rsidP="00EE5A49">
      <w:pPr>
        <w:spacing w:after="0" w:line="240" w:lineRule="auto"/>
        <w:rPr>
          <w:rFonts w:cs="Calibri"/>
          <w:b/>
          <w:bCs/>
          <w:sz w:val="24"/>
          <w:szCs w:val="24"/>
        </w:rPr>
      </w:pPr>
    </w:p>
    <w:p w14:paraId="57422A8C" w14:textId="77777777" w:rsidR="00EE5A49" w:rsidRPr="00D44D2F" w:rsidRDefault="00EE5A49" w:rsidP="00EE5A49">
      <w:pPr>
        <w:spacing w:after="0" w:line="240" w:lineRule="auto"/>
        <w:jc w:val="center"/>
        <w:rPr>
          <w:rFonts w:cs="Calibri"/>
          <w:b/>
          <w:bCs/>
          <w:sz w:val="24"/>
          <w:szCs w:val="24"/>
        </w:rPr>
      </w:pPr>
      <w:r>
        <w:rPr>
          <w:rFonts w:cs="Calibri"/>
          <w:b/>
          <w:bCs/>
          <w:noProof/>
          <w:sz w:val="24"/>
          <w:szCs w:val="24"/>
        </w:rPr>
        <w:lastRenderedPageBreak/>
        <w:drawing>
          <wp:inline distT="0" distB="0" distL="0" distR="0" wp14:anchorId="58959ABC" wp14:editId="31E46E6E">
            <wp:extent cx="5486400" cy="6082471"/>
            <wp:effectExtent l="0" t="0" r="0" b="0"/>
            <wp:docPr id="1065670876"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670876" name="Picture 5" descr="A screenshot of a computer&#10;&#10;AI-generated content may be incorrect."/>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44590" b="53936"/>
                    <a:stretch/>
                  </pic:blipFill>
                  <pic:spPr bwMode="auto">
                    <a:xfrm>
                      <a:off x="0" y="0"/>
                      <a:ext cx="5486400" cy="6082471"/>
                    </a:xfrm>
                    <a:prstGeom prst="rect">
                      <a:avLst/>
                    </a:prstGeom>
                    <a:noFill/>
                    <a:ln>
                      <a:noFill/>
                    </a:ln>
                    <a:extLst>
                      <a:ext uri="{53640926-AAD7-44D8-BBD7-CCE9431645EC}">
                        <a14:shadowObscured xmlns:a14="http://schemas.microsoft.com/office/drawing/2010/main"/>
                      </a:ext>
                    </a:extLst>
                  </pic:spPr>
                </pic:pic>
              </a:graphicData>
            </a:graphic>
          </wp:inline>
        </w:drawing>
      </w:r>
    </w:p>
    <w:p w14:paraId="20672743" w14:textId="77777777" w:rsidR="00EE5A49" w:rsidRPr="00D44D2F" w:rsidRDefault="00EE5A49" w:rsidP="00EE5A49">
      <w:pPr>
        <w:spacing w:after="0" w:line="240" w:lineRule="auto"/>
        <w:rPr>
          <w:rFonts w:cs="Calibri"/>
          <w:sz w:val="24"/>
          <w:szCs w:val="24"/>
        </w:rPr>
      </w:pPr>
    </w:p>
    <w:p w14:paraId="3059E61F" w14:textId="77777777" w:rsidR="00EE5A49" w:rsidRPr="00D44D2F" w:rsidRDefault="00EE5A49" w:rsidP="00EE5A49">
      <w:pPr>
        <w:spacing w:after="0" w:line="240" w:lineRule="auto"/>
        <w:rPr>
          <w:rFonts w:cs="Calibri"/>
          <w:sz w:val="24"/>
          <w:szCs w:val="24"/>
        </w:rPr>
      </w:pPr>
    </w:p>
    <w:p w14:paraId="03DDF042" w14:textId="77777777" w:rsidR="00EE5A49" w:rsidRPr="00064945" w:rsidRDefault="00EE5A49" w:rsidP="00EE5A49">
      <w:pPr>
        <w:rPr>
          <w:rFonts w:cs="Calibri"/>
          <w:b/>
          <w:bCs/>
          <w:sz w:val="24"/>
          <w:szCs w:val="24"/>
        </w:rPr>
      </w:pPr>
      <w:r w:rsidRPr="00D44D2F">
        <w:rPr>
          <w:rFonts w:cs="Calibri"/>
          <w:b/>
          <w:bCs/>
          <w:sz w:val="24"/>
          <w:szCs w:val="24"/>
        </w:rPr>
        <w:br w:type="page"/>
      </w:r>
    </w:p>
    <w:p w14:paraId="7456C1E8" w14:textId="77777777" w:rsidR="00EE5A49" w:rsidRDefault="00EE5A49" w:rsidP="00EE5A49">
      <w:pPr>
        <w:rPr>
          <w:rFonts w:cs="Calibri"/>
          <w:sz w:val="24"/>
          <w:szCs w:val="24"/>
        </w:rPr>
      </w:pPr>
      <w:r w:rsidRPr="00D44D2F">
        <w:rPr>
          <w:rFonts w:cs="Calibri"/>
          <w:b/>
          <w:bCs/>
          <w:sz w:val="24"/>
          <w:szCs w:val="24"/>
        </w:rPr>
        <w:lastRenderedPageBreak/>
        <w:t>Figure S</w:t>
      </w:r>
      <w:r>
        <w:rPr>
          <w:rFonts w:cs="Calibri"/>
          <w:b/>
          <w:bCs/>
          <w:sz w:val="24"/>
          <w:szCs w:val="24"/>
        </w:rPr>
        <w:t>4</w:t>
      </w:r>
      <w:r w:rsidRPr="00D44D2F">
        <w:rPr>
          <w:rFonts w:cs="Calibri"/>
          <w:b/>
          <w:bCs/>
          <w:sz w:val="24"/>
          <w:szCs w:val="24"/>
        </w:rPr>
        <w:t xml:space="preserve">: 3D isotropic AutoCMR images can be reformatted into any desired viewing plane. </w:t>
      </w:r>
      <w:r w:rsidRPr="00D44D2F">
        <w:rPr>
          <w:rFonts w:cs="Calibri"/>
          <w:sz w:val="24"/>
          <w:szCs w:val="24"/>
        </w:rPr>
        <w:t xml:space="preserve"> </w:t>
      </w:r>
    </w:p>
    <w:p w14:paraId="3F59C862" w14:textId="77777777" w:rsidR="00EE5A49" w:rsidRDefault="00EE5A49" w:rsidP="00EE5A49">
      <w:pPr>
        <w:rPr>
          <w:rFonts w:cs="Calibri"/>
          <w:sz w:val="24"/>
          <w:szCs w:val="24"/>
        </w:rPr>
      </w:pPr>
      <w:r>
        <w:rPr>
          <w:rFonts w:cs="Calibri"/>
          <w:b/>
          <w:bCs/>
          <w:sz w:val="24"/>
          <w:szCs w:val="24"/>
        </w:rPr>
        <w:t xml:space="preserve">a, c, </w:t>
      </w:r>
      <w:r w:rsidRPr="00D44D2F">
        <w:rPr>
          <w:rFonts w:cs="Calibri"/>
          <w:sz w:val="24"/>
          <w:szCs w:val="24"/>
        </w:rPr>
        <w:t>AutoCMR cine images acquired at an academic hospital (</w:t>
      </w:r>
      <w:r>
        <w:rPr>
          <w:rFonts w:cs="Calibri"/>
          <w:b/>
          <w:bCs/>
          <w:sz w:val="24"/>
          <w:szCs w:val="24"/>
        </w:rPr>
        <w:t>a</w:t>
      </w:r>
      <w:r w:rsidRPr="00D44D2F">
        <w:rPr>
          <w:rFonts w:cs="Calibri"/>
          <w:sz w:val="24"/>
          <w:szCs w:val="24"/>
        </w:rPr>
        <w:t>) and a community health center (</w:t>
      </w:r>
      <w:r>
        <w:rPr>
          <w:rFonts w:cs="Calibri"/>
          <w:b/>
          <w:bCs/>
          <w:sz w:val="24"/>
          <w:szCs w:val="24"/>
        </w:rPr>
        <w:t>c</w:t>
      </w:r>
      <w:r w:rsidRPr="00D44D2F">
        <w:rPr>
          <w:rFonts w:cs="Calibri"/>
          <w:sz w:val="24"/>
          <w:szCs w:val="24"/>
        </w:rPr>
        <w:t xml:space="preserve">) with a temporal resolution of 30 frames per heartbeat. All frames were automatically segmented, providing LV, RV, LA, RA, myocardium, and aorta segmentations (bottom right). </w:t>
      </w:r>
      <w:r>
        <w:rPr>
          <w:rFonts w:cs="Calibri"/>
          <w:b/>
          <w:bCs/>
          <w:sz w:val="24"/>
          <w:szCs w:val="24"/>
        </w:rPr>
        <w:t>b, d,</w:t>
      </w:r>
      <w:r w:rsidRPr="00D44D2F">
        <w:rPr>
          <w:rFonts w:cs="Calibri"/>
          <w:sz w:val="24"/>
          <w:szCs w:val="24"/>
        </w:rPr>
        <w:t xml:space="preserve"> AutoCMR DE images acquired at an academic hospital (</w:t>
      </w:r>
      <w:r>
        <w:rPr>
          <w:rFonts w:cs="Calibri"/>
          <w:b/>
          <w:bCs/>
          <w:sz w:val="24"/>
          <w:szCs w:val="24"/>
        </w:rPr>
        <w:t>b</w:t>
      </w:r>
      <w:r w:rsidRPr="00D44D2F">
        <w:rPr>
          <w:rFonts w:cs="Calibri"/>
          <w:sz w:val="24"/>
          <w:szCs w:val="24"/>
        </w:rPr>
        <w:t>) and a community health center (</w:t>
      </w:r>
      <w:r>
        <w:rPr>
          <w:rFonts w:cs="Calibri"/>
          <w:b/>
          <w:bCs/>
          <w:sz w:val="24"/>
          <w:szCs w:val="24"/>
        </w:rPr>
        <w:t>d</w:t>
      </w:r>
      <w:r w:rsidRPr="00D44D2F">
        <w:rPr>
          <w:rFonts w:cs="Calibri"/>
          <w:sz w:val="24"/>
          <w:szCs w:val="24"/>
        </w:rPr>
        <w:t xml:space="preserve">) providing isotropic, whole heart coverage and multiple inversion times (bottom right).     </w:t>
      </w:r>
    </w:p>
    <w:p w14:paraId="72692F0A" w14:textId="77777777" w:rsidR="00EE5A49" w:rsidRPr="00D44D2F" w:rsidRDefault="00EE5A49" w:rsidP="00EE5A49">
      <w:pPr>
        <w:rPr>
          <w:rFonts w:cs="Calibri"/>
          <w:sz w:val="24"/>
          <w:szCs w:val="24"/>
        </w:rPr>
      </w:pPr>
      <w:r w:rsidRPr="008F3B92">
        <w:rPr>
          <w:rFonts w:cs="Calibri"/>
          <w:noProof/>
          <w:sz w:val="24"/>
          <w:szCs w:val="24"/>
        </w:rPr>
        <w:drawing>
          <wp:inline distT="0" distB="0" distL="0" distR="0" wp14:anchorId="782D0F8E" wp14:editId="73BAA282">
            <wp:extent cx="946150" cy="628650"/>
            <wp:effectExtent l="0" t="0" r="6350" b="0"/>
            <wp:docPr id="6" name="Object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Object 6"/>
                    <pic:cNvPicPr>
                      <a:picLocks noGrp="1" noRot="1" noChangeAspect="1" noEditPoints="1" noAdjustHandles="1" noChangeArrowheads="1" noChangeShapeType="1" noCrop="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6150" cy="628650"/>
                    </a:xfrm>
                    <a:prstGeom prst="rect">
                      <a:avLst/>
                    </a:prstGeom>
                    <a:noFill/>
                    <a:ln>
                      <a:noFill/>
                    </a:ln>
                  </pic:spPr>
                </pic:pic>
              </a:graphicData>
            </a:graphic>
          </wp:inline>
        </w:drawing>
      </w:r>
    </w:p>
    <w:p w14:paraId="483E91DC" w14:textId="77777777" w:rsidR="00EE5A49" w:rsidRPr="00D44D2F" w:rsidRDefault="00EE5A49" w:rsidP="00EE5A49">
      <w:pPr>
        <w:rPr>
          <w:rFonts w:cs="Calibri"/>
          <w:b/>
          <w:bCs/>
          <w:sz w:val="24"/>
          <w:szCs w:val="24"/>
        </w:rPr>
      </w:pPr>
      <w:r>
        <w:rPr>
          <w:rFonts w:cs="Calibri"/>
          <w:b/>
          <w:bCs/>
          <w:noProof/>
          <w:sz w:val="24"/>
          <w:szCs w:val="24"/>
        </w:rPr>
        <w:drawing>
          <wp:inline distT="0" distB="0" distL="0" distR="0" wp14:anchorId="59F95308" wp14:editId="236D48A8">
            <wp:extent cx="5943600" cy="4525749"/>
            <wp:effectExtent l="0" t="0" r="0" b="8255"/>
            <wp:docPr id="988728208"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728208" name="Picture 2" descr="A screenshot of a computer&#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41543" b="66622"/>
                    <a:stretch/>
                  </pic:blipFill>
                  <pic:spPr bwMode="auto">
                    <a:xfrm>
                      <a:off x="0" y="0"/>
                      <a:ext cx="5943600" cy="4525749"/>
                    </a:xfrm>
                    <a:prstGeom prst="rect">
                      <a:avLst/>
                    </a:prstGeom>
                    <a:noFill/>
                    <a:ln>
                      <a:noFill/>
                    </a:ln>
                    <a:extLst>
                      <a:ext uri="{53640926-AAD7-44D8-BBD7-CCE9431645EC}">
                        <a14:shadowObscured xmlns:a14="http://schemas.microsoft.com/office/drawing/2010/main"/>
                      </a:ext>
                    </a:extLst>
                  </pic:spPr>
                </pic:pic>
              </a:graphicData>
            </a:graphic>
          </wp:inline>
        </w:drawing>
      </w:r>
    </w:p>
    <w:p w14:paraId="236E8F3F" w14:textId="77777777" w:rsidR="00EE5A49" w:rsidRPr="00D44D2F" w:rsidRDefault="00EE5A49" w:rsidP="00EE5A49">
      <w:pPr>
        <w:rPr>
          <w:rFonts w:cs="Calibri"/>
          <w:sz w:val="24"/>
          <w:szCs w:val="24"/>
        </w:rPr>
      </w:pPr>
    </w:p>
    <w:p w14:paraId="637A340F" w14:textId="77777777" w:rsidR="00EE5A49" w:rsidRDefault="00EE5A49" w:rsidP="00EE5A49">
      <w:pPr>
        <w:rPr>
          <w:rFonts w:cs="Calibri"/>
          <w:b/>
          <w:bCs/>
          <w:sz w:val="24"/>
          <w:szCs w:val="24"/>
        </w:rPr>
      </w:pPr>
      <w:r>
        <w:rPr>
          <w:rFonts w:cs="Calibri"/>
          <w:b/>
          <w:bCs/>
          <w:sz w:val="24"/>
          <w:szCs w:val="24"/>
        </w:rPr>
        <w:br w:type="page"/>
      </w:r>
    </w:p>
    <w:p w14:paraId="622C0AEC"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Figure S</w:t>
      </w:r>
      <w:r>
        <w:rPr>
          <w:rFonts w:cs="Calibri"/>
          <w:b/>
          <w:bCs/>
          <w:sz w:val="24"/>
          <w:szCs w:val="24"/>
        </w:rPr>
        <w:t>5</w:t>
      </w:r>
      <w:r w:rsidRPr="00D44D2F">
        <w:rPr>
          <w:rFonts w:cs="Calibri"/>
          <w:b/>
          <w:bCs/>
          <w:sz w:val="24"/>
          <w:szCs w:val="24"/>
        </w:rPr>
        <w:t xml:space="preserve">: Auto-segmentation and view finding validation. </w:t>
      </w:r>
    </w:p>
    <w:p w14:paraId="4EABFA04" w14:textId="77777777" w:rsidR="00EE5A49" w:rsidRDefault="00EE5A49" w:rsidP="00EE5A49">
      <w:pPr>
        <w:spacing w:after="0" w:line="240" w:lineRule="auto"/>
        <w:rPr>
          <w:rFonts w:cs="Calibri"/>
          <w:sz w:val="24"/>
          <w:szCs w:val="24"/>
        </w:rPr>
      </w:pPr>
      <w:r>
        <w:rPr>
          <w:rFonts w:cs="Calibri"/>
          <w:b/>
          <w:bCs/>
          <w:sz w:val="24"/>
          <w:szCs w:val="24"/>
        </w:rPr>
        <w:t>a, b,</w:t>
      </w:r>
      <w:r w:rsidRPr="00D44D2F">
        <w:rPr>
          <w:rFonts w:cs="Calibri"/>
          <w:sz w:val="24"/>
          <w:szCs w:val="24"/>
        </w:rPr>
        <w:t xml:space="preserve"> Manual (</w:t>
      </w:r>
      <w:r>
        <w:rPr>
          <w:rFonts w:cs="Calibri"/>
          <w:b/>
          <w:bCs/>
          <w:sz w:val="24"/>
          <w:szCs w:val="24"/>
        </w:rPr>
        <w:t>a</w:t>
      </w:r>
      <w:r w:rsidRPr="00D44D2F">
        <w:rPr>
          <w:rFonts w:cs="Calibri"/>
          <w:sz w:val="24"/>
          <w:szCs w:val="24"/>
        </w:rPr>
        <w:t>) and auto (</w:t>
      </w:r>
      <w:r>
        <w:rPr>
          <w:rFonts w:cs="Calibri"/>
          <w:b/>
          <w:bCs/>
          <w:sz w:val="24"/>
          <w:szCs w:val="24"/>
        </w:rPr>
        <w:t>b</w:t>
      </w:r>
      <w:r w:rsidRPr="00D44D2F">
        <w:rPr>
          <w:rFonts w:cs="Calibri"/>
          <w:sz w:val="24"/>
          <w:szCs w:val="24"/>
        </w:rPr>
        <w:t xml:space="preserve">) cine image segmentations for a representative patient are observed to be qualitatively comparable in a 4-chamber view in LVED (top) and LVES (bottom). </w:t>
      </w:r>
      <w:r>
        <w:rPr>
          <w:rFonts w:cs="Calibri"/>
          <w:b/>
          <w:bCs/>
          <w:sz w:val="24"/>
          <w:szCs w:val="24"/>
        </w:rPr>
        <w:t>c-l</w:t>
      </w:r>
      <w:r>
        <w:rPr>
          <w:rFonts w:cs="Calibri"/>
          <w:sz w:val="24"/>
          <w:szCs w:val="24"/>
        </w:rPr>
        <w:t>,</w:t>
      </w:r>
      <w:r w:rsidRPr="00D44D2F">
        <w:rPr>
          <w:rFonts w:cs="Calibri"/>
          <w:sz w:val="24"/>
          <w:szCs w:val="24"/>
        </w:rPr>
        <w:t xml:space="preserve"> Auto-segmentations of the LV, RV, LA, RA, Myocardium, and Aorta are compared to cardiologist-reviewed manual segmentations in a 10-patient test set. Dice scores calculated for segmentations in (</w:t>
      </w:r>
      <w:r>
        <w:rPr>
          <w:rFonts w:cs="Calibri"/>
          <w:b/>
          <w:bCs/>
          <w:sz w:val="24"/>
          <w:szCs w:val="24"/>
        </w:rPr>
        <w:t>c</w:t>
      </w:r>
      <w:r w:rsidRPr="00D44D2F">
        <w:rPr>
          <w:rFonts w:cs="Calibri"/>
          <w:sz w:val="24"/>
          <w:szCs w:val="24"/>
        </w:rPr>
        <w:t>) LVED and (</w:t>
      </w:r>
      <w:r>
        <w:rPr>
          <w:rFonts w:cs="Calibri"/>
          <w:b/>
          <w:bCs/>
          <w:sz w:val="24"/>
          <w:szCs w:val="24"/>
        </w:rPr>
        <w:t>d</w:t>
      </w:r>
      <w:r w:rsidRPr="00D44D2F">
        <w:rPr>
          <w:rFonts w:cs="Calibri"/>
          <w:sz w:val="24"/>
          <w:szCs w:val="24"/>
        </w:rPr>
        <w:t>) LVES are &gt; 0.8 for all segmentations across all patients. In Bland-Altman analysis, volumes calculated from manual and auto segmentations of the four chambers of the heart (</w:t>
      </w:r>
      <w:r>
        <w:rPr>
          <w:rFonts w:cs="Calibri"/>
          <w:b/>
          <w:bCs/>
          <w:sz w:val="24"/>
          <w:szCs w:val="24"/>
        </w:rPr>
        <w:t>e, i</w:t>
      </w:r>
      <w:r>
        <w:rPr>
          <w:rFonts w:cs="Calibri"/>
          <w:sz w:val="24"/>
          <w:szCs w:val="24"/>
        </w:rPr>
        <w:t>,</w:t>
      </w:r>
      <w:r w:rsidRPr="00D44D2F">
        <w:rPr>
          <w:rFonts w:cs="Calibri"/>
          <w:sz w:val="24"/>
          <w:szCs w:val="24"/>
        </w:rPr>
        <w:t xml:space="preserve"> LV, </w:t>
      </w:r>
      <w:r>
        <w:rPr>
          <w:rFonts w:cs="Calibri"/>
          <w:b/>
          <w:bCs/>
          <w:sz w:val="24"/>
          <w:szCs w:val="24"/>
        </w:rPr>
        <w:t>f, j,</w:t>
      </w:r>
      <w:r w:rsidRPr="00D44D2F">
        <w:rPr>
          <w:rFonts w:cs="Calibri"/>
          <w:sz w:val="24"/>
          <w:szCs w:val="24"/>
        </w:rPr>
        <w:t xml:space="preserve"> RV, </w:t>
      </w:r>
      <w:r>
        <w:rPr>
          <w:rFonts w:cs="Calibri"/>
          <w:b/>
          <w:bCs/>
          <w:sz w:val="24"/>
          <w:szCs w:val="24"/>
        </w:rPr>
        <w:t xml:space="preserve">g, k, </w:t>
      </w:r>
      <w:r w:rsidRPr="00D44D2F">
        <w:rPr>
          <w:rFonts w:cs="Calibri"/>
          <w:sz w:val="24"/>
          <w:szCs w:val="24"/>
        </w:rPr>
        <w:t xml:space="preserve">LA, </w:t>
      </w:r>
      <w:r>
        <w:rPr>
          <w:rFonts w:cs="Calibri"/>
          <w:b/>
          <w:bCs/>
          <w:sz w:val="24"/>
          <w:szCs w:val="24"/>
        </w:rPr>
        <w:t>h, l,</w:t>
      </w:r>
      <w:r w:rsidRPr="00D44D2F">
        <w:rPr>
          <w:rFonts w:cs="Calibri"/>
          <w:sz w:val="24"/>
          <w:szCs w:val="24"/>
        </w:rPr>
        <w:t xml:space="preserve"> RA) in LVED (top) and LVES (bottom) are observed to have low bias. Atrial volumes are noted to demonstrate higher bias in LVES than LVED. </w:t>
      </w:r>
      <w:r>
        <w:rPr>
          <w:rFonts w:cs="Calibri"/>
          <w:b/>
          <w:bCs/>
          <w:sz w:val="24"/>
          <w:szCs w:val="24"/>
        </w:rPr>
        <w:t>m-o</w:t>
      </w:r>
      <w:r>
        <w:rPr>
          <w:rFonts w:cs="Calibri"/>
          <w:sz w:val="24"/>
          <w:szCs w:val="24"/>
        </w:rPr>
        <w:t>,</w:t>
      </w:r>
      <w:r w:rsidRPr="00D44D2F">
        <w:rPr>
          <w:rFonts w:cs="Calibri"/>
          <w:sz w:val="24"/>
          <w:szCs w:val="24"/>
        </w:rPr>
        <w:t xml:space="preserve"> Automated segmentations are used to generate AutoCMR images reformatted into traditional 2DCMR views, as shown for a representative </w:t>
      </w:r>
      <w:r>
        <w:rPr>
          <w:rFonts w:cs="Calibri"/>
          <w:sz w:val="24"/>
          <w:szCs w:val="24"/>
        </w:rPr>
        <w:t>patient</w:t>
      </w:r>
      <w:r w:rsidRPr="00D44D2F">
        <w:rPr>
          <w:rFonts w:cs="Calibri"/>
          <w:sz w:val="24"/>
          <w:szCs w:val="24"/>
        </w:rPr>
        <w:t xml:space="preserve"> (</w:t>
      </w:r>
      <w:r>
        <w:rPr>
          <w:rFonts w:cs="Calibri"/>
          <w:b/>
          <w:bCs/>
          <w:sz w:val="24"/>
          <w:szCs w:val="24"/>
        </w:rPr>
        <w:t>m,</w:t>
      </w:r>
      <w:r w:rsidRPr="00D44D2F">
        <w:rPr>
          <w:rFonts w:cs="Calibri"/>
          <w:sz w:val="24"/>
          <w:szCs w:val="24"/>
        </w:rPr>
        <w:t xml:space="preserve"> 4-chamber, </w:t>
      </w:r>
      <w:r>
        <w:rPr>
          <w:rFonts w:cs="Calibri"/>
          <w:b/>
          <w:bCs/>
          <w:sz w:val="24"/>
          <w:szCs w:val="24"/>
        </w:rPr>
        <w:t>n,</w:t>
      </w:r>
      <w:r w:rsidRPr="00D44D2F">
        <w:rPr>
          <w:rFonts w:cs="Calibri"/>
          <w:sz w:val="24"/>
          <w:szCs w:val="24"/>
        </w:rPr>
        <w:t xml:space="preserve"> 2-chamber, </w:t>
      </w:r>
      <w:r>
        <w:rPr>
          <w:rFonts w:cs="Calibri"/>
          <w:b/>
          <w:bCs/>
          <w:sz w:val="24"/>
          <w:szCs w:val="24"/>
        </w:rPr>
        <w:t>o,</w:t>
      </w:r>
      <w:r w:rsidRPr="00D44D2F">
        <w:rPr>
          <w:rFonts w:cs="Calibri"/>
          <w:sz w:val="24"/>
          <w:szCs w:val="24"/>
        </w:rPr>
        <w:t xml:space="preserve"> Short-axis). </w:t>
      </w:r>
      <w:r>
        <w:rPr>
          <w:rFonts w:cs="Calibri"/>
          <w:b/>
          <w:bCs/>
          <w:sz w:val="24"/>
          <w:szCs w:val="24"/>
        </w:rPr>
        <w:t xml:space="preserve">p, </w:t>
      </w:r>
      <w:r w:rsidRPr="00D44D2F">
        <w:rPr>
          <w:rFonts w:cs="Calibri"/>
          <w:sz w:val="24"/>
          <w:szCs w:val="24"/>
        </w:rPr>
        <w:t xml:space="preserve">Vector norms of automatically generated views for AutoCMR data for 100 patients scanned at an academic hospital are compared to vector norms of the corresponding 2DCMR images acquired in the same scanning session and planned by an expert CMR technologist with &gt; 20 years of experience. The angular difference in vector norms is generally lowest in the short-axis view (8.5±3.9°), with vector norms for all views less than 14° on average.     </w:t>
      </w:r>
    </w:p>
    <w:p w14:paraId="36A35614" w14:textId="77777777" w:rsidR="00EE5A49" w:rsidRDefault="00EE5A49" w:rsidP="00EE5A49">
      <w:pPr>
        <w:spacing w:after="0" w:line="240" w:lineRule="auto"/>
        <w:rPr>
          <w:rFonts w:cs="Calibri"/>
          <w:sz w:val="24"/>
          <w:szCs w:val="24"/>
        </w:rPr>
      </w:pPr>
    </w:p>
    <w:p w14:paraId="332A02F3" w14:textId="77777777" w:rsidR="00EE5A49" w:rsidRPr="00D44D2F" w:rsidRDefault="00EE5A49" w:rsidP="00EE5A49">
      <w:pPr>
        <w:spacing w:after="0" w:line="240" w:lineRule="auto"/>
        <w:rPr>
          <w:rFonts w:cs="Calibri"/>
          <w:sz w:val="24"/>
          <w:szCs w:val="24"/>
        </w:rPr>
      </w:pPr>
    </w:p>
    <w:p w14:paraId="6DBFFB44" w14:textId="77777777" w:rsidR="00EE5A49" w:rsidRPr="00D44D2F" w:rsidRDefault="00EE5A49" w:rsidP="00EE5A49">
      <w:pPr>
        <w:spacing w:after="0" w:line="240" w:lineRule="auto"/>
        <w:jc w:val="center"/>
        <w:rPr>
          <w:rFonts w:cs="Calibri"/>
          <w:b/>
          <w:bCs/>
          <w:sz w:val="24"/>
          <w:szCs w:val="24"/>
        </w:rPr>
      </w:pPr>
      <w:r>
        <w:rPr>
          <w:rFonts w:cs="Calibri"/>
          <w:b/>
          <w:bCs/>
          <w:noProof/>
          <w:sz w:val="24"/>
          <w:szCs w:val="24"/>
        </w:rPr>
        <w:lastRenderedPageBreak/>
        <w:drawing>
          <wp:inline distT="0" distB="0" distL="0" distR="0" wp14:anchorId="28F2799D" wp14:editId="32890E94">
            <wp:extent cx="5486400" cy="7176427"/>
            <wp:effectExtent l="0" t="0" r="0" b="5715"/>
            <wp:docPr id="840506926"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506926" name="Picture 4" descr="A screenshot of a computer&#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 r="44269" b="45336"/>
                    <a:stretch/>
                  </pic:blipFill>
                  <pic:spPr bwMode="auto">
                    <a:xfrm>
                      <a:off x="0" y="0"/>
                      <a:ext cx="5486400" cy="7176427"/>
                    </a:xfrm>
                    <a:prstGeom prst="rect">
                      <a:avLst/>
                    </a:prstGeom>
                    <a:noFill/>
                    <a:ln>
                      <a:noFill/>
                    </a:ln>
                    <a:extLst>
                      <a:ext uri="{53640926-AAD7-44D8-BBD7-CCE9431645EC}">
                        <a14:shadowObscured xmlns:a14="http://schemas.microsoft.com/office/drawing/2010/main"/>
                      </a:ext>
                    </a:extLst>
                  </pic:spPr>
                </pic:pic>
              </a:graphicData>
            </a:graphic>
          </wp:inline>
        </w:drawing>
      </w:r>
    </w:p>
    <w:p w14:paraId="79175B7B" w14:textId="77777777" w:rsidR="00EE5A49" w:rsidRPr="00D44D2F" w:rsidRDefault="00EE5A49" w:rsidP="00EE5A49">
      <w:pPr>
        <w:spacing w:after="0" w:line="240" w:lineRule="auto"/>
        <w:rPr>
          <w:rFonts w:cs="Calibri"/>
          <w:b/>
          <w:bCs/>
          <w:sz w:val="24"/>
          <w:szCs w:val="24"/>
        </w:rPr>
      </w:pPr>
    </w:p>
    <w:p w14:paraId="101D8096" w14:textId="77777777" w:rsidR="00EE5A49" w:rsidRPr="00D44D2F" w:rsidRDefault="00EE5A49" w:rsidP="00EE5A49">
      <w:pPr>
        <w:spacing w:after="0" w:line="240" w:lineRule="auto"/>
        <w:rPr>
          <w:rFonts w:cs="Calibri"/>
          <w:sz w:val="24"/>
          <w:szCs w:val="24"/>
        </w:rPr>
      </w:pPr>
    </w:p>
    <w:p w14:paraId="56DABA8E" w14:textId="77777777" w:rsidR="00EE5A49" w:rsidRPr="00D44D2F" w:rsidRDefault="00EE5A49" w:rsidP="00EE5A49">
      <w:pPr>
        <w:rPr>
          <w:rFonts w:cs="Calibri"/>
          <w:sz w:val="24"/>
          <w:szCs w:val="24"/>
        </w:rPr>
      </w:pPr>
      <w:r w:rsidRPr="00D44D2F">
        <w:rPr>
          <w:rFonts w:cs="Calibri"/>
          <w:sz w:val="24"/>
          <w:szCs w:val="24"/>
        </w:rPr>
        <w:br w:type="page"/>
      </w:r>
    </w:p>
    <w:p w14:paraId="2033BF0B"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Figure S</w:t>
      </w:r>
      <w:r>
        <w:rPr>
          <w:rFonts w:cs="Calibri"/>
          <w:b/>
          <w:bCs/>
          <w:sz w:val="24"/>
          <w:szCs w:val="24"/>
        </w:rPr>
        <w:t>6</w:t>
      </w:r>
      <w:r w:rsidRPr="00D44D2F">
        <w:rPr>
          <w:rFonts w:cs="Calibri"/>
          <w:b/>
          <w:bCs/>
          <w:sz w:val="24"/>
          <w:szCs w:val="24"/>
        </w:rPr>
        <w:t xml:space="preserve">: AutoCMR and 2DCMR agree in additional volume and function metrics. </w:t>
      </w:r>
    </w:p>
    <w:p w14:paraId="7C34BA38" w14:textId="77777777" w:rsidR="00EE5A49" w:rsidRPr="00D44D2F" w:rsidRDefault="00EE5A49" w:rsidP="00EE5A49">
      <w:pPr>
        <w:spacing w:after="0" w:line="240" w:lineRule="auto"/>
        <w:rPr>
          <w:rFonts w:cs="Calibri"/>
          <w:sz w:val="24"/>
          <w:szCs w:val="24"/>
        </w:rPr>
      </w:pPr>
      <w:r>
        <w:rPr>
          <w:rFonts w:cs="Calibri"/>
          <w:b/>
          <w:bCs/>
          <w:sz w:val="24"/>
          <w:szCs w:val="24"/>
        </w:rPr>
        <w:t>a-g</w:t>
      </w:r>
      <w:r>
        <w:rPr>
          <w:rFonts w:cs="Calibri"/>
          <w:sz w:val="24"/>
          <w:szCs w:val="24"/>
        </w:rPr>
        <w:t>,</w:t>
      </w:r>
      <w:r w:rsidRPr="00D44D2F">
        <w:rPr>
          <w:rFonts w:cs="Calibri"/>
          <w:sz w:val="24"/>
          <w:szCs w:val="24"/>
        </w:rPr>
        <w:t xml:space="preserve"> In the pre-clinical model, volumetric (</w:t>
      </w:r>
      <w:r>
        <w:rPr>
          <w:rFonts w:cs="Calibri"/>
          <w:b/>
          <w:bCs/>
          <w:sz w:val="24"/>
          <w:szCs w:val="24"/>
        </w:rPr>
        <w:t>a,</w:t>
      </w:r>
      <w:r w:rsidRPr="00D44D2F">
        <w:rPr>
          <w:rFonts w:cs="Calibri"/>
          <w:sz w:val="24"/>
          <w:szCs w:val="24"/>
        </w:rPr>
        <w:t xml:space="preserve"> LVESV, </w:t>
      </w:r>
      <w:r>
        <w:rPr>
          <w:rFonts w:cs="Calibri"/>
          <w:b/>
          <w:bCs/>
          <w:sz w:val="24"/>
          <w:szCs w:val="24"/>
        </w:rPr>
        <w:t xml:space="preserve">b, </w:t>
      </w:r>
      <w:r w:rsidRPr="00D44D2F">
        <w:rPr>
          <w:rFonts w:cs="Calibri"/>
          <w:sz w:val="24"/>
          <w:szCs w:val="24"/>
        </w:rPr>
        <w:t xml:space="preserve">LV Mass (LVM), </w:t>
      </w:r>
      <w:r>
        <w:rPr>
          <w:rFonts w:cs="Calibri"/>
          <w:b/>
          <w:bCs/>
          <w:sz w:val="24"/>
          <w:szCs w:val="24"/>
        </w:rPr>
        <w:t>c,</w:t>
      </w:r>
      <w:r w:rsidRPr="00D44D2F">
        <w:rPr>
          <w:rFonts w:cs="Calibri"/>
          <w:sz w:val="24"/>
          <w:szCs w:val="24"/>
        </w:rPr>
        <w:t xml:space="preserve"> RVESV, </w:t>
      </w:r>
      <w:r>
        <w:rPr>
          <w:rFonts w:cs="Calibri"/>
          <w:b/>
          <w:bCs/>
          <w:sz w:val="24"/>
          <w:szCs w:val="24"/>
        </w:rPr>
        <w:t>d,</w:t>
      </w:r>
      <w:r w:rsidRPr="00D44D2F">
        <w:rPr>
          <w:rFonts w:cs="Calibri"/>
          <w:sz w:val="24"/>
          <w:szCs w:val="24"/>
        </w:rPr>
        <w:t xml:space="preserve"> LAV in LVED, </w:t>
      </w:r>
      <w:r>
        <w:rPr>
          <w:rFonts w:cs="Calibri"/>
          <w:b/>
          <w:bCs/>
          <w:sz w:val="24"/>
          <w:szCs w:val="24"/>
        </w:rPr>
        <w:t xml:space="preserve">e, </w:t>
      </w:r>
      <w:r w:rsidRPr="00D44D2F">
        <w:rPr>
          <w:rFonts w:cs="Calibri"/>
          <w:sz w:val="24"/>
          <w:szCs w:val="24"/>
        </w:rPr>
        <w:t>RAV in LVED) and functional (</w:t>
      </w:r>
      <w:r>
        <w:rPr>
          <w:rFonts w:cs="Calibri"/>
          <w:b/>
          <w:bCs/>
          <w:sz w:val="24"/>
          <w:szCs w:val="24"/>
        </w:rPr>
        <w:t>f,</w:t>
      </w:r>
      <w:r w:rsidRPr="00D44D2F">
        <w:rPr>
          <w:rFonts w:cs="Calibri"/>
          <w:sz w:val="24"/>
          <w:szCs w:val="24"/>
        </w:rPr>
        <w:t xml:space="preserve"> LVCO, </w:t>
      </w:r>
      <w:r>
        <w:rPr>
          <w:rFonts w:cs="Calibri"/>
          <w:b/>
          <w:bCs/>
          <w:sz w:val="24"/>
          <w:szCs w:val="24"/>
        </w:rPr>
        <w:t>g,</w:t>
      </w:r>
      <w:r w:rsidRPr="00D44D2F">
        <w:rPr>
          <w:rFonts w:cs="Calibri"/>
          <w:sz w:val="24"/>
          <w:szCs w:val="24"/>
        </w:rPr>
        <w:t xml:space="preserve"> RVCO) metrics demonstrate no significant difference (p&gt;0.05) in paired t-tests comparing thin-slice 2DCMR cine to AutoCMR cine and low bias in Bland-Altman analysis. </w:t>
      </w:r>
      <w:r>
        <w:rPr>
          <w:rFonts w:cs="Calibri"/>
          <w:b/>
          <w:bCs/>
          <w:sz w:val="24"/>
          <w:szCs w:val="24"/>
        </w:rPr>
        <w:t xml:space="preserve">h-t, </w:t>
      </w:r>
      <w:r w:rsidRPr="00D44D2F">
        <w:rPr>
          <w:rFonts w:cs="Calibri"/>
          <w:sz w:val="24"/>
          <w:szCs w:val="24"/>
        </w:rPr>
        <w:t>In 100 patients scanned at an Academic Hospital, AutoCMR cine volumetric (</w:t>
      </w:r>
      <w:r>
        <w:rPr>
          <w:rFonts w:cs="Calibri"/>
          <w:b/>
          <w:bCs/>
          <w:sz w:val="24"/>
          <w:szCs w:val="24"/>
        </w:rPr>
        <w:t>h,</w:t>
      </w:r>
      <w:r w:rsidRPr="00D44D2F">
        <w:rPr>
          <w:rFonts w:cs="Calibri"/>
          <w:sz w:val="24"/>
          <w:szCs w:val="24"/>
        </w:rPr>
        <w:t xml:space="preserve"> LVESV, </w:t>
      </w:r>
      <w:r>
        <w:rPr>
          <w:rFonts w:cs="Calibri"/>
          <w:b/>
          <w:bCs/>
          <w:sz w:val="24"/>
          <w:szCs w:val="24"/>
        </w:rPr>
        <w:t>i,</w:t>
      </w:r>
      <w:r w:rsidRPr="00D44D2F">
        <w:rPr>
          <w:rFonts w:cs="Calibri"/>
          <w:sz w:val="24"/>
          <w:szCs w:val="24"/>
        </w:rPr>
        <w:t xml:space="preserve"> LVM, </w:t>
      </w:r>
      <w:r>
        <w:rPr>
          <w:rFonts w:cs="Calibri"/>
          <w:b/>
          <w:bCs/>
          <w:sz w:val="24"/>
          <w:szCs w:val="24"/>
        </w:rPr>
        <w:t>j,</w:t>
      </w:r>
      <w:r w:rsidRPr="00D44D2F">
        <w:rPr>
          <w:rFonts w:cs="Calibri"/>
          <w:sz w:val="24"/>
          <w:szCs w:val="24"/>
        </w:rPr>
        <w:t xml:space="preserve"> RVESV, </w:t>
      </w:r>
      <w:r>
        <w:rPr>
          <w:rFonts w:cs="Calibri"/>
          <w:b/>
          <w:bCs/>
          <w:sz w:val="24"/>
          <w:szCs w:val="24"/>
        </w:rPr>
        <w:t>k,</w:t>
      </w:r>
      <w:r w:rsidRPr="00D44D2F">
        <w:rPr>
          <w:rFonts w:cs="Calibri"/>
          <w:sz w:val="24"/>
          <w:szCs w:val="24"/>
        </w:rPr>
        <w:t xml:space="preserve"> Minimum LA Area (LAA min) calculated from single-slice 4-chamber images, </w:t>
      </w:r>
      <w:r>
        <w:rPr>
          <w:rFonts w:cs="Calibri"/>
          <w:b/>
          <w:bCs/>
          <w:sz w:val="24"/>
          <w:szCs w:val="24"/>
        </w:rPr>
        <w:t>l,</w:t>
      </w:r>
      <w:r w:rsidRPr="00D44D2F">
        <w:rPr>
          <w:rFonts w:cs="Calibri"/>
          <w:sz w:val="24"/>
          <w:szCs w:val="24"/>
        </w:rPr>
        <w:t xml:space="preserve"> Minimum RA Area (RAA min) calculated from single-slice 4-chamber images, </w:t>
      </w:r>
      <w:r>
        <w:rPr>
          <w:rFonts w:cs="Calibri"/>
          <w:b/>
          <w:bCs/>
          <w:sz w:val="24"/>
          <w:szCs w:val="24"/>
        </w:rPr>
        <w:t>m,</w:t>
      </w:r>
      <w:r w:rsidRPr="00D44D2F">
        <w:rPr>
          <w:rFonts w:cs="Calibri"/>
          <w:sz w:val="24"/>
          <w:szCs w:val="24"/>
        </w:rPr>
        <w:t xml:space="preserve"> maximum LA Volume (LAV Max), </w:t>
      </w:r>
      <w:r>
        <w:rPr>
          <w:rFonts w:cs="Calibri"/>
          <w:b/>
          <w:bCs/>
          <w:sz w:val="24"/>
          <w:szCs w:val="24"/>
        </w:rPr>
        <w:t>n,</w:t>
      </w:r>
      <w:r w:rsidRPr="00D44D2F">
        <w:rPr>
          <w:rFonts w:cs="Calibri"/>
          <w:sz w:val="24"/>
          <w:szCs w:val="24"/>
        </w:rPr>
        <w:t xml:space="preserve"> minimum LA Volume (LAV Min), </w:t>
      </w:r>
      <w:r>
        <w:rPr>
          <w:rFonts w:cs="Calibri"/>
          <w:b/>
          <w:bCs/>
          <w:sz w:val="24"/>
          <w:szCs w:val="24"/>
        </w:rPr>
        <w:t>o,</w:t>
      </w:r>
      <w:r w:rsidRPr="00D44D2F">
        <w:rPr>
          <w:rFonts w:cs="Calibri"/>
          <w:sz w:val="24"/>
          <w:szCs w:val="24"/>
        </w:rPr>
        <w:t xml:space="preserve"> maximum RA Volume (RAV Max), </w:t>
      </w:r>
      <w:r>
        <w:rPr>
          <w:rFonts w:cs="Calibri"/>
          <w:b/>
          <w:bCs/>
          <w:sz w:val="24"/>
          <w:szCs w:val="24"/>
        </w:rPr>
        <w:t>p,</w:t>
      </w:r>
      <w:r w:rsidRPr="00D44D2F">
        <w:rPr>
          <w:rFonts w:cs="Calibri"/>
          <w:sz w:val="24"/>
          <w:szCs w:val="24"/>
        </w:rPr>
        <w:t xml:space="preserve"> Minimum RA Volume (RAV Min)) and functional (</w:t>
      </w:r>
      <w:r>
        <w:rPr>
          <w:rFonts w:cs="Calibri"/>
          <w:b/>
          <w:bCs/>
          <w:sz w:val="24"/>
          <w:szCs w:val="24"/>
        </w:rPr>
        <w:t>q,</w:t>
      </w:r>
      <w:r w:rsidRPr="00D44D2F">
        <w:rPr>
          <w:rFonts w:cs="Calibri"/>
          <w:sz w:val="24"/>
          <w:szCs w:val="24"/>
        </w:rPr>
        <w:t xml:space="preserve"> LVCO, </w:t>
      </w:r>
      <w:r>
        <w:rPr>
          <w:rFonts w:cs="Calibri"/>
          <w:b/>
          <w:bCs/>
          <w:sz w:val="24"/>
          <w:szCs w:val="24"/>
        </w:rPr>
        <w:t xml:space="preserve">r, </w:t>
      </w:r>
      <w:r w:rsidRPr="00D44D2F">
        <w:rPr>
          <w:rFonts w:cs="Calibri"/>
          <w:sz w:val="24"/>
          <w:szCs w:val="24"/>
        </w:rPr>
        <w:t xml:space="preserve">RVCO, </w:t>
      </w:r>
      <w:r>
        <w:rPr>
          <w:rFonts w:cs="Calibri"/>
          <w:b/>
          <w:bCs/>
          <w:sz w:val="24"/>
          <w:szCs w:val="24"/>
        </w:rPr>
        <w:t>s,</w:t>
      </w:r>
      <w:r w:rsidRPr="00D44D2F">
        <w:rPr>
          <w:rFonts w:cs="Calibri"/>
          <w:sz w:val="24"/>
          <w:szCs w:val="24"/>
        </w:rPr>
        <w:t xml:space="preserve"> LA EF, </w:t>
      </w:r>
      <w:r>
        <w:rPr>
          <w:rFonts w:cs="Calibri"/>
          <w:b/>
          <w:bCs/>
          <w:sz w:val="24"/>
          <w:szCs w:val="24"/>
        </w:rPr>
        <w:t>t,</w:t>
      </w:r>
      <w:r w:rsidRPr="00D44D2F">
        <w:rPr>
          <w:rFonts w:cs="Calibri"/>
          <w:sz w:val="24"/>
          <w:szCs w:val="24"/>
        </w:rPr>
        <w:t xml:space="preserve"> RA EF) metrics are correlated with same-day 2DCMR (ICC≥0.56). LVM calculated using AutoCMR is overestimated (bias=-34.2g) in part due to difficulty in distinguishing the myocardium from epicardial fat in AutoCMR cine images. RVESV and atrial volumes and calculated functional metrics, although correlated, are biased by the calculation of 3D volumes from 2D images in 2DCMR versus true 3D volume calculation in AutoCMR data. </w:t>
      </w:r>
      <w:r>
        <w:rPr>
          <w:rFonts w:cs="Calibri"/>
          <w:b/>
          <w:bCs/>
          <w:sz w:val="24"/>
          <w:szCs w:val="24"/>
        </w:rPr>
        <w:t>u,</w:t>
      </w:r>
      <w:r w:rsidRPr="00D44D2F">
        <w:rPr>
          <w:rFonts w:cs="Calibri"/>
          <w:sz w:val="24"/>
          <w:szCs w:val="24"/>
        </w:rPr>
        <w:t xml:space="preserve"> Mid-ascending aorta diameter (MAAD) measurements from automated aorta segmentations at manually selected locations on AutoCMR cine data in LVED are minimally biased (0.125) and highly correlated (ICC=0.98) with clinically acquired MAAD measurements from CTA and MRA in 16 total patients (CTA: 9 patients; MRA: 7 patients).  </w:t>
      </w:r>
      <w:r>
        <w:rPr>
          <w:rFonts w:cs="Calibri"/>
          <w:b/>
          <w:bCs/>
          <w:sz w:val="24"/>
          <w:szCs w:val="24"/>
        </w:rPr>
        <w:t>v-ah</w:t>
      </w:r>
      <w:r w:rsidRPr="00B830EF">
        <w:rPr>
          <w:rFonts w:cs="Calibri"/>
          <w:b/>
          <w:bCs/>
          <w:sz w:val="24"/>
          <w:szCs w:val="24"/>
        </w:rPr>
        <w:t xml:space="preserve">, </w:t>
      </w:r>
      <w:r w:rsidRPr="00D44D2F">
        <w:rPr>
          <w:rFonts w:cs="Calibri"/>
          <w:sz w:val="24"/>
          <w:szCs w:val="24"/>
        </w:rPr>
        <w:t>In 25 patients scanned at a Community Health Center, AutoCMR cine volumetric (</w:t>
      </w:r>
      <w:r>
        <w:rPr>
          <w:rFonts w:cs="Calibri"/>
          <w:b/>
          <w:bCs/>
          <w:sz w:val="24"/>
          <w:szCs w:val="24"/>
        </w:rPr>
        <w:t>v,</w:t>
      </w:r>
      <w:r w:rsidRPr="00D44D2F">
        <w:rPr>
          <w:rFonts w:cs="Calibri"/>
          <w:sz w:val="24"/>
          <w:szCs w:val="24"/>
        </w:rPr>
        <w:t xml:space="preserve"> LVESV, </w:t>
      </w:r>
      <w:r>
        <w:rPr>
          <w:rFonts w:cs="Calibri"/>
          <w:b/>
          <w:bCs/>
          <w:sz w:val="24"/>
          <w:szCs w:val="24"/>
        </w:rPr>
        <w:t>w,</w:t>
      </w:r>
      <w:r w:rsidRPr="00D44D2F">
        <w:rPr>
          <w:rFonts w:cs="Calibri"/>
          <w:sz w:val="24"/>
          <w:szCs w:val="24"/>
        </w:rPr>
        <w:t xml:space="preserve"> LVM, </w:t>
      </w:r>
      <w:r>
        <w:rPr>
          <w:rFonts w:cs="Calibri"/>
          <w:b/>
          <w:bCs/>
          <w:sz w:val="24"/>
          <w:szCs w:val="24"/>
        </w:rPr>
        <w:t>x,</w:t>
      </w:r>
      <w:r w:rsidRPr="00D44D2F">
        <w:rPr>
          <w:rFonts w:cs="Calibri"/>
          <w:sz w:val="24"/>
          <w:szCs w:val="24"/>
        </w:rPr>
        <w:t xml:space="preserve"> RVESV, </w:t>
      </w:r>
      <w:r>
        <w:rPr>
          <w:rFonts w:cs="Calibri"/>
          <w:b/>
          <w:bCs/>
          <w:sz w:val="24"/>
          <w:szCs w:val="24"/>
        </w:rPr>
        <w:t>y,</w:t>
      </w:r>
      <w:r w:rsidRPr="00D44D2F">
        <w:rPr>
          <w:rFonts w:cs="Calibri"/>
          <w:sz w:val="24"/>
          <w:szCs w:val="24"/>
        </w:rPr>
        <w:t xml:space="preserve"> LAA min, </w:t>
      </w:r>
      <w:r>
        <w:rPr>
          <w:rFonts w:cs="Calibri"/>
          <w:b/>
          <w:bCs/>
          <w:sz w:val="24"/>
          <w:szCs w:val="24"/>
        </w:rPr>
        <w:t>z,</w:t>
      </w:r>
      <w:r w:rsidRPr="00D44D2F">
        <w:rPr>
          <w:rFonts w:cs="Calibri"/>
          <w:sz w:val="24"/>
          <w:szCs w:val="24"/>
        </w:rPr>
        <w:t xml:space="preserve"> RAA min, </w:t>
      </w:r>
      <w:r>
        <w:rPr>
          <w:rFonts w:cs="Calibri"/>
          <w:b/>
          <w:bCs/>
          <w:sz w:val="24"/>
          <w:szCs w:val="24"/>
        </w:rPr>
        <w:t>aa,</w:t>
      </w:r>
      <w:r w:rsidRPr="00D44D2F">
        <w:rPr>
          <w:rFonts w:cs="Calibri"/>
          <w:sz w:val="24"/>
          <w:szCs w:val="24"/>
        </w:rPr>
        <w:t xml:space="preserve"> LAV Max, </w:t>
      </w:r>
      <w:r>
        <w:rPr>
          <w:rFonts w:cs="Calibri"/>
          <w:b/>
          <w:bCs/>
          <w:sz w:val="24"/>
          <w:szCs w:val="24"/>
        </w:rPr>
        <w:t>ab,</w:t>
      </w:r>
      <w:r w:rsidRPr="00D44D2F">
        <w:rPr>
          <w:rFonts w:cs="Calibri"/>
          <w:sz w:val="24"/>
          <w:szCs w:val="24"/>
        </w:rPr>
        <w:t xml:space="preserve"> LAV Min, </w:t>
      </w:r>
      <w:r>
        <w:rPr>
          <w:rFonts w:cs="Calibri"/>
          <w:b/>
          <w:bCs/>
          <w:sz w:val="24"/>
          <w:szCs w:val="24"/>
        </w:rPr>
        <w:t>ac,</w:t>
      </w:r>
      <w:r w:rsidRPr="00D44D2F">
        <w:rPr>
          <w:rFonts w:cs="Calibri"/>
          <w:sz w:val="24"/>
          <w:szCs w:val="24"/>
        </w:rPr>
        <w:t xml:space="preserve"> RAV Max, </w:t>
      </w:r>
      <w:r>
        <w:rPr>
          <w:rFonts w:cs="Calibri"/>
          <w:b/>
          <w:bCs/>
          <w:sz w:val="24"/>
          <w:szCs w:val="24"/>
        </w:rPr>
        <w:t>ad,</w:t>
      </w:r>
      <w:r w:rsidRPr="00D44D2F">
        <w:rPr>
          <w:rFonts w:cs="Calibri"/>
          <w:sz w:val="24"/>
          <w:szCs w:val="24"/>
        </w:rPr>
        <w:t xml:space="preserve"> RAV Min) metrics are correlated with 2DCMR data previously acquired at an academic hospital (ICC≥0.72). Reduced correlation of functional metrics (</w:t>
      </w:r>
      <w:r>
        <w:rPr>
          <w:rFonts w:cs="Calibri"/>
          <w:b/>
          <w:bCs/>
          <w:sz w:val="24"/>
          <w:szCs w:val="24"/>
        </w:rPr>
        <w:t>ae,</w:t>
      </w:r>
      <w:r w:rsidRPr="00D44D2F">
        <w:rPr>
          <w:rFonts w:cs="Calibri"/>
          <w:sz w:val="24"/>
          <w:szCs w:val="24"/>
        </w:rPr>
        <w:t xml:space="preserve"> LVCO, </w:t>
      </w:r>
      <w:r>
        <w:rPr>
          <w:rFonts w:cs="Calibri"/>
          <w:b/>
          <w:bCs/>
          <w:sz w:val="24"/>
          <w:szCs w:val="24"/>
        </w:rPr>
        <w:t>af,</w:t>
      </w:r>
      <w:r w:rsidRPr="00D44D2F">
        <w:rPr>
          <w:rFonts w:cs="Calibri"/>
          <w:sz w:val="24"/>
          <w:szCs w:val="24"/>
        </w:rPr>
        <w:t xml:space="preserve"> RVCO, </w:t>
      </w:r>
      <w:r>
        <w:rPr>
          <w:rFonts w:cs="Calibri"/>
          <w:b/>
          <w:bCs/>
          <w:sz w:val="24"/>
          <w:szCs w:val="24"/>
        </w:rPr>
        <w:t>ag,</w:t>
      </w:r>
      <w:r w:rsidRPr="00D44D2F">
        <w:rPr>
          <w:rFonts w:cs="Calibri"/>
          <w:sz w:val="24"/>
          <w:szCs w:val="24"/>
        </w:rPr>
        <w:t xml:space="preserve"> LA EF, </w:t>
      </w:r>
      <w:r>
        <w:rPr>
          <w:rFonts w:cs="Calibri"/>
          <w:b/>
          <w:bCs/>
          <w:sz w:val="24"/>
          <w:szCs w:val="24"/>
        </w:rPr>
        <w:t>ah,</w:t>
      </w:r>
      <w:r w:rsidRPr="00D44D2F">
        <w:rPr>
          <w:rFonts w:cs="Calibri"/>
          <w:sz w:val="24"/>
          <w:szCs w:val="24"/>
        </w:rPr>
        <w:t xml:space="preserve"> RA EF) and increased bias compared to corresponding results at an Academic Hospital are expected due to elapsed time (up to 1 year) between CHC AutoCMR and 2DCMR exams. </w:t>
      </w:r>
    </w:p>
    <w:p w14:paraId="0DD90383" w14:textId="77777777" w:rsidR="00EE5A49" w:rsidRPr="00D44D2F" w:rsidRDefault="00EE5A49" w:rsidP="00EE5A49">
      <w:pPr>
        <w:spacing w:after="0" w:line="240" w:lineRule="auto"/>
        <w:rPr>
          <w:rFonts w:cs="Calibri"/>
          <w:b/>
          <w:bCs/>
          <w:sz w:val="24"/>
          <w:szCs w:val="24"/>
        </w:rPr>
      </w:pPr>
    </w:p>
    <w:p w14:paraId="59687428" w14:textId="77777777" w:rsidR="00EE5A49" w:rsidRPr="00D44D2F" w:rsidRDefault="00EE5A49" w:rsidP="00EE5A49">
      <w:pPr>
        <w:rPr>
          <w:rFonts w:cs="Calibri"/>
          <w:b/>
          <w:bCs/>
          <w:sz w:val="24"/>
          <w:szCs w:val="24"/>
        </w:rPr>
      </w:pPr>
      <w:r>
        <w:rPr>
          <w:rFonts w:cs="Calibri"/>
          <w:b/>
          <w:bCs/>
          <w:noProof/>
          <w:sz w:val="24"/>
          <w:szCs w:val="24"/>
        </w:rPr>
        <w:lastRenderedPageBreak/>
        <w:drawing>
          <wp:inline distT="0" distB="0" distL="0" distR="0" wp14:anchorId="4A33B3E6" wp14:editId="75F9B616">
            <wp:extent cx="5943600" cy="7750211"/>
            <wp:effectExtent l="0" t="0" r="0" b="3175"/>
            <wp:docPr id="2103969443" name="Picture 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969443" name="Picture 9" descr="A screenshot of a computer&#10;&#10;AI-generated content may be incorrec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37213" b="38607"/>
                    <a:stretch/>
                  </pic:blipFill>
                  <pic:spPr bwMode="auto">
                    <a:xfrm>
                      <a:off x="0" y="0"/>
                      <a:ext cx="5943600" cy="7750211"/>
                    </a:xfrm>
                    <a:prstGeom prst="rect">
                      <a:avLst/>
                    </a:prstGeom>
                    <a:noFill/>
                    <a:ln>
                      <a:noFill/>
                    </a:ln>
                    <a:extLst>
                      <a:ext uri="{53640926-AAD7-44D8-BBD7-CCE9431645EC}">
                        <a14:shadowObscured xmlns:a14="http://schemas.microsoft.com/office/drawing/2010/main"/>
                      </a:ext>
                    </a:extLst>
                  </pic:spPr>
                </pic:pic>
              </a:graphicData>
            </a:graphic>
          </wp:inline>
        </w:drawing>
      </w:r>
    </w:p>
    <w:p w14:paraId="173D0BE2" w14:textId="77777777" w:rsidR="00EE5A49" w:rsidRPr="00D44D2F" w:rsidRDefault="00EE5A49" w:rsidP="00EE5A49">
      <w:pPr>
        <w:rPr>
          <w:rFonts w:cs="Calibri"/>
          <w:b/>
          <w:bCs/>
          <w:sz w:val="24"/>
          <w:szCs w:val="24"/>
        </w:rPr>
      </w:pPr>
      <w:r w:rsidRPr="00D44D2F">
        <w:rPr>
          <w:rFonts w:cs="Calibri"/>
          <w:b/>
          <w:bCs/>
          <w:sz w:val="24"/>
          <w:szCs w:val="24"/>
        </w:rPr>
        <w:br w:type="page"/>
      </w:r>
    </w:p>
    <w:p w14:paraId="1BFD9F6A"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Table S</w:t>
      </w:r>
      <w:r>
        <w:rPr>
          <w:rFonts w:cs="Calibri"/>
          <w:b/>
          <w:bCs/>
          <w:sz w:val="24"/>
          <w:szCs w:val="24"/>
        </w:rPr>
        <w:t>7</w:t>
      </w:r>
      <w:r w:rsidRPr="00D44D2F">
        <w:rPr>
          <w:rFonts w:cs="Calibri"/>
          <w:b/>
          <w:bCs/>
          <w:sz w:val="24"/>
          <w:szCs w:val="24"/>
        </w:rPr>
        <w:t xml:space="preserve">: AutoCMR Patient Population. </w:t>
      </w:r>
    </w:p>
    <w:p w14:paraId="6BD975D4" w14:textId="77777777" w:rsidR="00EE5A49" w:rsidRPr="00D44D2F" w:rsidRDefault="00EE5A49" w:rsidP="00EE5A49">
      <w:pPr>
        <w:spacing w:after="0" w:line="240" w:lineRule="auto"/>
        <w:rPr>
          <w:rFonts w:cs="Calibri"/>
          <w:sz w:val="24"/>
          <w:szCs w:val="24"/>
        </w:rPr>
      </w:pPr>
      <w:r w:rsidRPr="00D44D2F">
        <w:rPr>
          <w:rFonts w:cs="Calibri"/>
          <w:sz w:val="24"/>
          <w:szCs w:val="24"/>
        </w:rPr>
        <w:t xml:space="preserve">Patient demographics and clinical characteristics are reported for 52 patients in the auto-segmentation model training and validation set, 100 patients scanned with AutoCMR at an academic hospital, a subset of 30 patients scanned at an academic hospital and included in the diagnostic and image quality review, 25 patients scanned with AutoCMR at a community health center (CHC), and a subset of 8 patients scanned at a CHC and included in the diagnostic and image quality review. </w:t>
      </w:r>
    </w:p>
    <w:p w14:paraId="108A3B6E" w14:textId="77777777" w:rsidR="00EE5A49" w:rsidRPr="00D44D2F" w:rsidRDefault="00EE5A49" w:rsidP="00EE5A49">
      <w:pPr>
        <w:spacing w:after="0" w:line="240" w:lineRule="auto"/>
        <w:rPr>
          <w:rFonts w:cs="Calibri"/>
          <w:sz w:val="24"/>
          <w:szCs w:val="24"/>
        </w:rPr>
      </w:pPr>
    </w:p>
    <w:tbl>
      <w:tblPr>
        <w:tblStyle w:val="GridTable4"/>
        <w:tblW w:w="9360" w:type="dxa"/>
        <w:tblLook w:val="0420" w:firstRow="1" w:lastRow="0" w:firstColumn="0" w:lastColumn="0" w:noHBand="0" w:noVBand="1"/>
      </w:tblPr>
      <w:tblGrid>
        <w:gridCol w:w="2880"/>
        <w:gridCol w:w="1296"/>
        <w:gridCol w:w="1296"/>
        <w:gridCol w:w="1296"/>
        <w:gridCol w:w="1296"/>
        <w:gridCol w:w="1296"/>
      </w:tblGrid>
      <w:tr w:rsidR="00EE5A49" w:rsidRPr="00D44D2F" w14:paraId="4B029324" w14:textId="77777777" w:rsidTr="00816349">
        <w:trPr>
          <w:cnfStyle w:val="100000000000" w:firstRow="1" w:lastRow="0" w:firstColumn="0" w:lastColumn="0" w:oddVBand="0" w:evenVBand="0" w:oddHBand="0" w:evenHBand="0" w:firstRowFirstColumn="0" w:firstRowLastColumn="0" w:lastRowFirstColumn="0" w:lastRowLastColumn="0"/>
          <w:trHeight w:val="432"/>
        </w:trPr>
        <w:tc>
          <w:tcPr>
            <w:tcW w:w="0" w:type="dxa"/>
            <w:shd w:val="clear" w:color="auto" w:fill="0E2841" w:themeFill="text2"/>
            <w:hideMark/>
          </w:tcPr>
          <w:p w14:paraId="2216B6B7" w14:textId="77777777" w:rsidR="00EE5A49" w:rsidRPr="00D44D2F" w:rsidRDefault="00EE5A49" w:rsidP="00816349">
            <w:pPr>
              <w:rPr>
                <w:rFonts w:ascii="Times New Roman" w:hAnsi="Times New Roman" w:cs="Times New Roman"/>
                <w:b w:val="0"/>
                <w:bCs w:val="0"/>
                <w:sz w:val="24"/>
                <w:szCs w:val="24"/>
              </w:rPr>
            </w:pPr>
          </w:p>
        </w:tc>
        <w:tc>
          <w:tcPr>
            <w:tcW w:w="1296" w:type="dxa"/>
            <w:shd w:val="clear" w:color="auto" w:fill="0E2841" w:themeFill="text2"/>
            <w:vAlign w:val="center"/>
          </w:tcPr>
          <w:p w14:paraId="5C6C5675"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color w:val="auto"/>
                <w:sz w:val="24"/>
                <w:szCs w:val="24"/>
              </w:rPr>
              <w:t>Training</w:t>
            </w:r>
            <w:r>
              <w:rPr>
                <w:rFonts w:ascii="Times New Roman" w:hAnsi="Times New Roman" w:cs="Times New Roman"/>
                <w:color w:val="auto"/>
                <w:sz w:val="24"/>
                <w:szCs w:val="24"/>
              </w:rPr>
              <w:t xml:space="preserve"> /</w:t>
            </w:r>
            <w:r w:rsidRPr="00D44D2F">
              <w:rPr>
                <w:rFonts w:ascii="Times New Roman" w:hAnsi="Times New Roman" w:cs="Times New Roman"/>
                <w:color w:val="auto"/>
                <w:sz w:val="24"/>
                <w:szCs w:val="24"/>
              </w:rPr>
              <w:t xml:space="preserve"> Validation (N=52)</w:t>
            </w:r>
          </w:p>
        </w:tc>
        <w:tc>
          <w:tcPr>
            <w:tcW w:w="1296" w:type="dxa"/>
            <w:shd w:val="clear" w:color="auto" w:fill="0E2841" w:themeFill="text2"/>
            <w:vAlign w:val="center"/>
            <w:hideMark/>
          </w:tcPr>
          <w:p w14:paraId="433DA763"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sz w:val="24"/>
                <w:szCs w:val="24"/>
              </w:rPr>
              <w:t>Academic Hospital</w:t>
            </w:r>
          </w:p>
          <w:p w14:paraId="2F4B557C"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sz w:val="24"/>
                <w:szCs w:val="24"/>
              </w:rPr>
              <w:t>(N=100)</w:t>
            </w:r>
          </w:p>
        </w:tc>
        <w:tc>
          <w:tcPr>
            <w:tcW w:w="1296" w:type="dxa"/>
            <w:shd w:val="clear" w:color="auto" w:fill="0E2841" w:themeFill="text2"/>
            <w:vAlign w:val="center"/>
          </w:tcPr>
          <w:p w14:paraId="781B4BB0"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color w:val="FFFFFF" w:themeColor="light1"/>
                <w:kern w:val="24"/>
                <w:sz w:val="24"/>
                <w:szCs w:val="24"/>
              </w:rPr>
              <w:t>Academic Hospital Subset (N=30)</w:t>
            </w:r>
          </w:p>
        </w:tc>
        <w:tc>
          <w:tcPr>
            <w:tcW w:w="1296" w:type="dxa"/>
            <w:shd w:val="clear" w:color="auto" w:fill="0E2841" w:themeFill="text2"/>
            <w:vAlign w:val="center"/>
            <w:hideMark/>
          </w:tcPr>
          <w:p w14:paraId="4A339061" w14:textId="77777777" w:rsidR="00EE5A49" w:rsidRPr="00D44D2F" w:rsidRDefault="00EE5A49" w:rsidP="00816349">
            <w:pPr>
              <w:jc w:val="center"/>
              <w:rPr>
                <w:rFonts w:ascii="Times New Roman" w:hAnsi="Times New Roman" w:cs="Times New Roman"/>
                <w:b w:val="0"/>
                <w:bCs w:val="0"/>
                <w:sz w:val="24"/>
                <w:szCs w:val="24"/>
              </w:rPr>
            </w:pPr>
            <w:r w:rsidRPr="00D44D2F">
              <w:rPr>
                <w:rFonts w:ascii="Times New Roman" w:hAnsi="Times New Roman" w:cs="Times New Roman"/>
                <w:sz w:val="24"/>
                <w:szCs w:val="24"/>
              </w:rPr>
              <w:t>CHC</w:t>
            </w:r>
          </w:p>
          <w:p w14:paraId="3736B361"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sz w:val="24"/>
                <w:szCs w:val="24"/>
              </w:rPr>
              <w:t>(N=25)</w:t>
            </w:r>
          </w:p>
        </w:tc>
        <w:tc>
          <w:tcPr>
            <w:tcW w:w="1296" w:type="dxa"/>
            <w:shd w:val="clear" w:color="auto" w:fill="0E2841" w:themeFill="text2"/>
            <w:vAlign w:val="center"/>
          </w:tcPr>
          <w:p w14:paraId="488C576C" w14:textId="77777777" w:rsidR="00EE5A49" w:rsidRPr="00D44D2F" w:rsidRDefault="00EE5A49" w:rsidP="00816349">
            <w:pPr>
              <w:jc w:val="center"/>
              <w:rPr>
                <w:rFonts w:ascii="Times New Roman" w:hAnsi="Times New Roman" w:cs="Times New Roman"/>
                <w:sz w:val="24"/>
                <w:szCs w:val="24"/>
              </w:rPr>
            </w:pPr>
            <w:r w:rsidRPr="00D44D2F">
              <w:rPr>
                <w:rFonts w:ascii="Times New Roman" w:hAnsi="Times New Roman" w:cs="Times New Roman"/>
                <w:color w:val="FFFFFF" w:themeColor="light1"/>
                <w:kern w:val="24"/>
                <w:sz w:val="24"/>
                <w:szCs w:val="24"/>
              </w:rPr>
              <w:t>CHC Subset (N=8)</w:t>
            </w:r>
          </w:p>
        </w:tc>
      </w:tr>
      <w:tr w:rsidR="00EE5A49" w:rsidRPr="00D44D2F" w14:paraId="2272D758"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3CD39BC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Age, mean (SD), years</w:t>
            </w:r>
          </w:p>
        </w:tc>
        <w:tc>
          <w:tcPr>
            <w:tcW w:w="1296" w:type="dxa"/>
            <w:shd w:val="clear" w:color="auto" w:fill="E1E5EB"/>
            <w:vAlign w:val="center"/>
          </w:tcPr>
          <w:p w14:paraId="1D0CEB8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57.0 (17.7)</w:t>
            </w:r>
          </w:p>
        </w:tc>
        <w:tc>
          <w:tcPr>
            <w:tcW w:w="1296" w:type="dxa"/>
            <w:shd w:val="clear" w:color="auto" w:fill="E1E5EB"/>
            <w:vAlign w:val="center"/>
            <w:hideMark/>
          </w:tcPr>
          <w:p w14:paraId="13B37A2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53.9 (15.6) </w:t>
            </w:r>
          </w:p>
        </w:tc>
        <w:tc>
          <w:tcPr>
            <w:tcW w:w="1296" w:type="dxa"/>
            <w:shd w:val="clear" w:color="auto" w:fill="E1E5EB"/>
            <w:vAlign w:val="center"/>
          </w:tcPr>
          <w:p w14:paraId="6761C5D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50.9 (17.6)</w:t>
            </w:r>
          </w:p>
        </w:tc>
        <w:tc>
          <w:tcPr>
            <w:tcW w:w="1296" w:type="dxa"/>
            <w:shd w:val="clear" w:color="auto" w:fill="E1E5EB"/>
            <w:vAlign w:val="center"/>
            <w:hideMark/>
          </w:tcPr>
          <w:p w14:paraId="2CEEBDB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61.5 (13.3) </w:t>
            </w:r>
          </w:p>
        </w:tc>
        <w:tc>
          <w:tcPr>
            <w:tcW w:w="1296" w:type="dxa"/>
            <w:shd w:val="clear" w:color="auto" w:fill="E1E5EB"/>
            <w:vAlign w:val="center"/>
          </w:tcPr>
          <w:p w14:paraId="5DF1DB3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63.9 (12.7)</w:t>
            </w:r>
          </w:p>
        </w:tc>
      </w:tr>
      <w:tr w:rsidR="00EE5A49" w:rsidRPr="00D44D2F" w14:paraId="045A4290" w14:textId="77777777" w:rsidTr="00816349">
        <w:trPr>
          <w:trHeight w:val="432"/>
        </w:trPr>
        <w:tc>
          <w:tcPr>
            <w:tcW w:w="0" w:type="dxa"/>
            <w:vAlign w:val="center"/>
            <w:hideMark/>
          </w:tcPr>
          <w:p w14:paraId="2ABC1E1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Sex, no. male (%)</w:t>
            </w:r>
          </w:p>
        </w:tc>
        <w:tc>
          <w:tcPr>
            <w:tcW w:w="1296" w:type="dxa"/>
            <w:vAlign w:val="center"/>
          </w:tcPr>
          <w:p w14:paraId="0DDA3684"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21 (40%)</w:t>
            </w:r>
          </w:p>
        </w:tc>
        <w:tc>
          <w:tcPr>
            <w:tcW w:w="1296" w:type="dxa"/>
            <w:vAlign w:val="center"/>
            <w:hideMark/>
          </w:tcPr>
          <w:p w14:paraId="076A0C3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48 (48%)</w:t>
            </w:r>
          </w:p>
        </w:tc>
        <w:tc>
          <w:tcPr>
            <w:tcW w:w="1296" w:type="dxa"/>
            <w:vAlign w:val="center"/>
          </w:tcPr>
          <w:p w14:paraId="0A64796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13 (43%)</w:t>
            </w:r>
          </w:p>
        </w:tc>
        <w:tc>
          <w:tcPr>
            <w:tcW w:w="1296" w:type="dxa"/>
            <w:vAlign w:val="center"/>
            <w:hideMark/>
          </w:tcPr>
          <w:p w14:paraId="4B91ED7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13 (52%)</w:t>
            </w:r>
          </w:p>
        </w:tc>
        <w:tc>
          <w:tcPr>
            <w:tcW w:w="1296" w:type="dxa"/>
            <w:vAlign w:val="center"/>
          </w:tcPr>
          <w:p w14:paraId="3850871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5 (63%)</w:t>
            </w:r>
          </w:p>
        </w:tc>
      </w:tr>
      <w:tr w:rsidR="00EE5A49" w:rsidRPr="00D44D2F" w14:paraId="688B4C4C"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15B8484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Height, mean (SD), cm</w:t>
            </w:r>
          </w:p>
        </w:tc>
        <w:tc>
          <w:tcPr>
            <w:tcW w:w="1296" w:type="dxa"/>
            <w:shd w:val="clear" w:color="auto" w:fill="E1E5EB"/>
            <w:vAlign w:val="center"/>
          </w:tcPr>
          <w:p w14:paraId="59BAC8C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168 (14)</w:t>
            </w:r>
          </w:p>
        </w:tc>
        <w:tc>
          <w:tcPr>
            <w:tcW w:w="1296" w:type="dxa"/>
            <w:shd w:val="clear" w:color="auto" w:fill="E1E5EB"/>
            <w:vAlign w:val="center"/>
            <w:hideMark/>
          </w:tcPr>
          <w:p w14:paraId="6DB652F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170 (12) </w:t>
            </w:r>
          </w:p>
        </w:tc>
        <w:tc>
          <w:tcPr>
            <w:tcW w:w="1296" w:type="dxa"/>
            <w:shd w:val="clear" w:color="auto" w:fill="E1E5EB"/>
            <w:vAlign w:val="center"/>
          </w:tcPr>
          <w:p w14:paraId="0699963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167 (17)</w:t>
            </w:r>
          </w:p>
        </w:tc>
        <w:tc>
          <w:tcPr>
            <w:tcW w:w="1296" w:type="dxa"/>
            <w:shd w:val="clear" w:color="auto" w:fill="E1E5EB"/>
            <w:vAlign w:val="center"/>
            <w:hideMark/>
          </w:tcPr>
          <w:p w14:paraId="4D237BCA"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169 (8.6) </w:t>
            </w:r>
          </w:p>
        </w:tc>
        <w:tc>
          <w:tcPr>
            <w:tcW w:w="1296" w:type="dxa"/>
            <w:shd w:val="clear" w:color="auto" w:fill="E1E5EB"/>
            <w:vAlign w:val="center"/>
          </w:tcPr>
          <w:p w14:paraId="6550D1B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168 (5)</w:t>
            </w:r>
          </w:p>
        </w:tc>
      </w:tr>
      <w:tr w:rsidR="00EE5A49" w:rsidRPr="00D44D2F" w14:paraId="65BBBEC5" w14:textId="77777777" w:rsidTr="00816349">
        <w:trPr>
          <w:trHeight w:val="432"/>
        </w:trPr>
        <w:tc>
          <w:tcPr>
            <w:tcW w:w="0" w:type="dxa"/>
            <w:vAlign w:val="center"/>
            <w:hideMark/>
          </w:tcPr>
          <w:p w14:paraId="42FAFD7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Weight, mean (SD), kg</w:t>
            </w:r>
          </w:p>
        </w:tc>
        <w:tc>
          <w:tcPr>
            <w:tcW w:w="1296" w:type="dxa"/>
            <w:vAlign w:val="center"/>
          </w:tcPr>
          <w:p w14:paraId="31DB843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72.0 (14.8)</w:t>
            </w:r>
          </w:p>
        </w:tc>
        <w:tc>
          <w:tcPr>
            <w:tcW w:w="1296" w:type="dxa"/>
            <w:vAlign w:val="center"/>
            <w:hideMark/>
          </w:tcPr>
          <w:p w14:paraId="4D6D2493"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84.1 (19.0) </w:t>
            </w:r>
          </w:p>
        </w:tc>
        <w:tc>
          <w:tcPr>
            <w:tcW w:w="1296" w:type="dxa"/>
            <w:vAlign w:val="center"/>
          </w:tcPr>
          <w:p w14:paraId="6F21046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75.4 (17.0)</w:t>
            </w:r>
          </w:p>
        </w:tc>
        <w:tc>
          <w:tcPr>
            <w:tcW w:w="1296" w:type="dxa"/>
            <w:vAlign w:val="center"/>
            <w:hideMark/>
          </w:tcPr>
          <w:p w14:paraId="60B1C31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82.9 (19.1) </w:t>
            </w:r>
          </w:p>
        </w:tc>
        <w:tc>
          <w:tcPr>
            <w:tcW w:w="1296" w:type="dxa"/>
            <w:vAlign w:val="center"/>
          </w:tcPr>
          <w:p w14:paraId="1E956E7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74.3 (9.6)</w:t>
            </w:r>
          </w:p>
        </w:tc>
      </w:tr>
      <w:tr w:rsidR="00EE5A49" w:rsidRPr="00D44D2F" w14:paraId="55B6F2F0"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6E9268DA"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BMI, mean (SD), </w:t>
            </w:r>
            <w:r w:rsidRPr="00D44D2F">
              <w:rPr>
                <w:rFonts w:ascii="Times New Roman" w:hAnsi="Times New Roman" w:cs="Times New Roman"/>
                <w:color w:val="000000" w:themeColor="dark1"/>
                <w:kern w:val="24"/>
                <w:sz w:val="24"/>
                <w:szCs w:val="24"/>
              </w:rPr>
              <w:t>kg/m</w:t>
            </w:r>
            <w:r w:rsidRPr="00D44D2F">
              <w:rPr>
                <w:rFonts w:ascii="Times New Roman" w:hAnsi="Times New Roman" w:cs="Times New Roman"/>
                <w:color w:val="000000" w:themeColor="dark1"/>
                <w:kern w:val="24"/>
                <w:position w:val="7"/>
                <w:sz w:val="24"/>
                <w:szCs w:val="24"/>
                <w:vertAlign w:val="superscript"/>
              </w:rPr>
              <w:t>2</w:t>
            </w:r>
          </w:p>
        </w:tc>
        <w:tc>
          <w:tcPr>
            <w:tcW w:w="1296" w:type="dxa"/>
            <w:shd w:val="clear" w:color="auto" w:fill="E1E5EB"/>
            <w:vAlign w:val="center"/>
          </w:tcPr>
          <w:p w14:paraId="01CD528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25.4 (11.7)</w:t>
            </w:r>
          </w:p>
        </w:tc>
        <w:tc>
          <w:tcPr>
            <w:tcW w:w="1296" w:type="dxa"/>
            <w:shd w:val="clear" w:color="auto" w:fill="E1E5EB"/>
            <w:vAlign w:val="center"/>
            <w:hideMark/>
          </w:tcPr>
          <w:p w14:paraId="3CE2FA8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29.0 (9.1) </w:t>
            </w:r>
          </w:p>
        </w:tc>
        <w:tc>
          <w:tcPr>
            <w:tcW w:w="1296" w:type="dxa"/>
            <w:shd w:val="clear" w:color="auto" w:fill="E1E5EB"/>
            <w:vAlign w:val="center"/>
          </w:tcPr>
          <w:p w14:paraId="6AB0DFF5"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28.2 (13.1)</w:t>
            </w:r>
          </w:p>
        </w:tc>
        <w:tc>
          <w:tcPr>
            <w:tcW w:w="1296" w:type="dxa"/>
            <w:shd w:val="clear" w:color="auto" w:fill="E1E5EB"/>
            <w:vAlign w:val="center"/>
            <w:hideMark/>
          </w:tcPr>
          <w:p w14:paraId="1E8CBA95"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28.8 (5.7) </w:t>
            </w:r>
          </w:p>
        </w:tc>
        <w:tc>
          <w:tcPr>
            <w:tcW w:w="1296" w:type="dxa"/>
            <w:shd w:val="clear" w:color="auto" w:fill="E1E5EB"/>
            <w:vAlign w:val="center"/>
          </w:tcPr>
          <w:p w14:paraId="17DEB44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26.2 (3.3)</w:t>
            </w:r>
          </w:p>
        </w:tc>
      </w:tr>
      <w:tr w:rsidR="00EE5A49" w:rsidRPr="00D44D2F" w14:paraId="2C438AB7" w14:textId="77777777" w:rsidTr="00816349">
        <w:trPr>
          <w:trHeight w:val="432"/>
        </w:trPr>
        <w:tc>
          <w:tcPr>
            <w:tcW w:w="0" w:type="dxa"/>
            <w:vAlign w:val="center"/>
            <w:hideMark/>
          </w:tcPr>
          <w:p w14:paraId="6692D7A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BSA, mean (SD), m</w:t>
            </w:r>
            <w:r w:rsidRPr="00D44D2F">
              <w:rPr>
                <w:rFonts w:ascii="Times New Roman" w:hAnsi="Times New Roman" w:cs="Times New Roman"/>
                <w:sz w:val="24"/>
                <w:szCs w:val="24"/>
                <w:vertAlign w:val="superscript"/>
              </w:rPr>
              <w:t>2</w:t>
            </w:r>
          </w:p>
        </w:tc>
        <w:tc>
          <w:tcPr>
            <w:tcW w:w="1296" w:type="dxa"/>
            <w:vAlign w:val="center"/>
          </w:tcPr>
          <w:p w14:paraId="2A67DBD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1.75 (0.40)</w:t>
            </w:r>
          </w:p>
        </w:tc>
        <w:tc>
          <w:tcPr>
            <w:tcW w:w="1296" w:type="dxa"/>
            <w:vAlign w:val="center"/>
            <w:hideMark/>
          </w:tcPr>
          <w:p w14:paraId="6D68929A"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 xml:space="preserve">1.96 (0.33) </w:t>
            </w:r>
          </w:p>
        </w:tc>
        <w:tc>
          <w:tcPr>
            <w:tcW w:w="1296" w:type="dxa"/>
            <w:vAlign w:val="center"/>
          </w:tcPr>
          <w:p w14:paraId="5FCD083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1.86 (0.24)</w:t>
            </w:r>
          </w:p>
        </w:tc>
        <w:tc>
          <w:tcPr>
            <w:tcW w:w="1296" w:type="dxa"/>
            <w:vAlign w:val="center"/>
            <w:hideMark/>
          </w:tcPr>
          <w:p w14:paraId="57C02F85"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1.96 (0.25)</w:t>
            </w:r>
          </w:p>
        </w:tc>
        <w:tc>
          <w:tcPr>
            <w:tcW w:w="1296" w:type="dxa"/>
            <w:vAlign w:val="center"/>
          </w:tcPr>
          <w:p w14:paraId="02EBD47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1.86 (0.13)</w:t>
            </w:r>
          </w:p>
        </w:tc>
      </w:tr>
      <w:tr w:rsidR="00EE5A49" w:rsidRPr="00D44D2F" w14:paraId="288A90CC"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362D5704"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LGE positive, no. (%)</w:t>
            </w:r>
          </w:p>
        </w:tc>
        <w:tc>
          <w:tcPr>
            <w:tcW w:w="1296" w:type="dxa"/>
            <w:shd w:val="clear" w:color="auto" w:fill="E1E5EB"/>
            <w:vAlign w:val="center"/>
          </w:tcPr>
          <w:p w14:paraId="046FF85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22 (42%)</w:t>
            </w:r>
          </w:p>
        </w:tc>
        <w:tc>
          <w:tcPr>
            <w:tcW w:w="1296" w:type="dxa"/>
            <w:shd w:val="clear" w:color="auto" w:fill="E1E5EB"/>
            <w:vAlign w:val="center"/>
            <w:hideMark/>
          </w:tcPr>
          <w:p w14:paraId="5696EAC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46 (46%)</w:t>
            </w:r>
          </w:p>
        </w:tc>
        <w:tc>
          <w:tcPr>
            <w:tcW w:w="1296" w:type="dxa"/>
            <w:shd w:val="clear" w:color="auto" w:fill="E1E5EB"/>
            <w:vAlign w:val="center"/>
          </w:tcPr>
          <w:p w14:paraId="76BAF2CB"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16 (53%)</w:t>
            </w:r>
          </w:p>
        </w:tc>
        <w:tc>
          <w:tcPr>
            <w:tcW w:w="1296" w:type="dxa"/>
            <w:shd w:val="clear" w:color="auto" w:fill="E1E5EB"/>
            <w:vAlign w:val="center"/>
            <w:hideMark/>
          </w:tcPr>
          <w:p w14:paraId="7D014FA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8 (32%)</w:t>
            </w:r>
          </w:p>
        </w:tc>
        <w:tc>
          <w:tcPr>
            <w:tcW w:w="1296" w:type="dxa"/>
            <w:shd w:val="clear" w:color="auto" w:fill="E1E5EB"/>
            <w:vAlign w:val="center"/>
          </w:tcPr>
          <w:p w14:paraId="3659A7E3"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3 (38%)</w:t>
            </w:r>
          </w:p>
        </w:tc>
      </w:tr>
      <w:tr w:rsidR="00EE5A49" w:rsidRPr="00D44D2F" w14:paraId="53127901" w14:textId="77777777" w:rsidTr="00816349">
        <w:trPr>
          <w:trHeight w:val="432"/>
        </w:trPr>
        <w:tc>
          <w:tcPr>
            <w:tcW w:w="0" w:type="dxa"/>
            <w:vAlign w:val="center"/>
            <w:hideMark/>
          </w:tcPr>
          <w:p w14:paraId="66E1BA13"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ICM, no (%)</w:t>
            </w:r>
          </w:p>
        </w:tc>
        <w:tc>
          <w:tcPr>
            <w:tcW w:w="1296" w:type="dxa"/>
            <w:vAlign w:val="center"/>
          </w:tcPr>
          <w:p w14:paraId="7CAC4E2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(2%)</w:t>
            </w:r>
          </w:p>
        </w:tc>
        <w:tc>
          <w:tcPr>
            <w:tcW w:w="1296" w:type="dxa"/>
            <w:vAlign w:val="center"/>
            <w:hideMark/>
          </w:tcPr>
          <w:p w14:paraId="79402E6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11 (11%)</w:t>
            </w:r>
          </w:p>
        </w:tc>
        <w:tc>
          <w:tcPr>
            <w:tcW w:w="1296" w:type="dxa"/>
            <w:vAlign w:val="center"/>
          </w:tcPr>
          <w:p w14:paraId="2E40EA4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5 (17%)</w:t>
            </w:r>
          </w:p>
        </w:tc>
        <w:tc>
          <w:tcPr>
            <w:tcW w:w="1296" w:type="dxa"/>
            <w:vAlign w:val="center"/>
            <w:hideMark/>
          </w:tcPr>
          <w:p w14:paraId="0B687CF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3 (12%)</w:t>
            </w:r>
          </w:p>
        </w:tc>
        <w:tc>
          <w:tcPr>
            <w:tcW w:w="1296" w:type="dxa"/>
            <w:vAlign w:val="center"/>
          </w:tcPr>
          <w:p w14:paraId="428DC02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(13%0</w:t>
            </w:r>
          </w:p>
        </w:tc>
      </w:tr>
      <w:tr w:rsidR="00EE5A49" w:rsidRPr="00D44D2F" w14:paraId="46EB1219"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06B9027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NICM, no (%)</w:t>
            </w:r>
          </w:p>
        </w:tc>
        <w:tc>
          <w:tcPr>
            <w:tcW w:w="1296" w:type="dxa"/>
            <w:shd w:val="clear" w:color="auto" w:fill="E1E5EB"/>
            <w:vAlign w:val="center"/>
          </w:tcPr>
          <w:p w14:paraId="02A066A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21 (40%)</w:t>
            </w:r>
          </w:p>
        </w:tc>
        <w:tc>
          <w:tcPr>
            <w:tcW w:w="1296" w:type="dxa"/>
            <w:shd w:val="clear" w:color="auto" w:fill="E1E5EB"/>
            <w:vAlign w:val="center"/>
            <w:hideMark/>
          </w:tcPr>
          <w:p w14:paraId="5E8FAD59"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34 (34%)</w:t>
            </w:r>
          </w:p>
        </w:tc>
        <w:tc>
          <w:tcPr>
            <w:tcW w:w="1296" w:type="dxa"/>
            <w:shd w:val="clear" w:color="auto" w:fill="E1E5EB"/>
            <w:vAlign w:val="center"/>
          </w:tcPr>
          <w:p w14:paraId="48FA198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14 (47%)</w:t>
            </w:r>
          </w:p>
        </w:tc>
        <w:tc>
          <w:tcPr>
            <w:tcW w:w="1296" w:type="dxa"/>
            <w:shd w:val="clear" w:color="auto" w:fill="E1E5EB"/>
            <w:vAlign w:val="center"/>
            <w:hideMark/>
          </w:tcPr>
          <w:p w14:paraId="3DB1697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7 (28%)</w:t>
            </w:r>
          </w:p>
        </w:tc>
        <w:tc>
          <w:tcPr>
            <w:tcW w:w="1296" w:type="dxa"/>
            <w:shd w:val="clear" w:color="auto" w:fill="E1E5EB"/>
            <w:vAlign w:val="center"/>
          </w:tcPr>
          <w:p w14:paraId="5A27E0E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3 (38%)</w:t>
            </w:r>
          </w:p>
        </w:tc>
      </w:tr>
      <w:tr w:rsidR="00EE5A49" w:rsidRPr="00D44D2F" w14:paraId="6A55D32C" w14:textId="77777777" w:rsidTr="00816349">
        <w:trPr>
          <w:trHeight w:val="432"/>
        </w:trPr>
        <w:tc>
          <w:tcPr>
            <w:tcW w:w="0" w:type="dxa"/>
            <w:vAlign w:val="center"/>
            <w:hideMark/>
          </w:tcPr>
          <w:p w14:paraId="4322144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DCM, no (%)</w:t>
            </w:r>
          </w:p>
        </w:tc>
        <w:tc>
          <w:tcPr>
            <w:tcW w:w="1296" w:type="dxa"/>
            <w:vAlign w:val="center"/>
          </w:tcPr>
          <w:p w14:paraId="0D7202A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3 (6%)</w:t>
            </w:r>
          </w:p>
        </w:tc>
        <w:tc>
          <w:tcPr>
            <w:tcW w:w="1296" w:type="dxa"/>
            <w:vAlign w:val="center"/>
            <w:hideMark/>
          </w:tcPr>
          <w:p w14:paraId="69DB8B7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5 (5%)</w:t>
            </w:r>
          </w:p>
        </w:tc>
        <w:tc>
          <w:tcPr>
            <w:tcW w:w="1296" w:type="dxa"/>
            <w:vAlign w:val="center"/>
          </w:tcPr>
          <w:p w14:paraId="268332A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c>
          <w:tcPr>
            <w:tcW w:w="1296" w:type="dxa"/>
            <w:vAlign w:val="center"/>
            <w:hideMark/>
          </w:tcPr>
          <w:p w14:paraId="123BB86B"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 (4%)</w:t>
            </w:r>
          </w:p>
        </w:tc>
        <w:tc>
          <w:tcPr>
            <w:tcW w:w="1296" w:type="dxa"/>
            <w:vAlign w:val="center"/>
          </w:tcPr>
          <w:p w14:paraId="181EA2B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(13%)</w:t>
            </w:r>
          </w:p>
        </w:tc>
      </w:tr>
      <w:tr w:rsidR="00EE5A49" w:rsidRPr="00D44D2F" w14:paraId="060E8195"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799326C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HCM, no (%)</w:t>
            </w:r>
          </w:p>
        </w:tc>
        <w:tc>
          <w:tcPr>
            <w:tcW w:w="1296" w:type="dxa"/>
            <w:shd w:val="clear" w:color="auto" w:fill="E1E5EB"/>
            <w:vAlign w:val="center"/>
          </w:tcPr>
          <w:p w14:paraId="1D42D04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9 (17%)</w:t>
            </w:r>
          </w:p>
        </w:tc>
        <w:tc>
          <w:tcPr>
            <w:tcW w:w="1296" w:type="dxa"/>
            <w:shd w:val="clear" w:color="auto" w:fill="E1E5EB"/>
            <w:vAlign w:val="center"/>
            <w:hideMark/>
          </w:tcPr>
          <w:p w14:paraId="273CC135"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20 (20%)</w:t>
            </w:r>
          </w:p>
        </w:tc>
        <w:tc>
          <w:tcPr>
            <w:tcW w:w="1296" w:type="dxa"/>
            <w:shd w:val="clear" w:color="auto" w:fill="E1E5EB"/>
            <w:vAlign w:val="center"/>
          </w:tcPr>
          <w:p w14:paraId="60CCD56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5 (17%)</w:t>
            </w:r>
          </w:p>
        </w:tc>
        <w:tc>
          <w:tcPr>
            <w:tcW w:w="1296" w:type="dxa"/>
            <w:shd w:val="clear" w:color="auto" w:fill="E1E5EB"/>
            <w:vAlign w:val="center"/>
            <w:hideMark/>
          </w:tcPr>
          <w:p w14:paraId="2D24F29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6 (24%)</w:t>
            </w:r>
          </w:p>
        </w:tc>
        <w:tc>
          <w:tcPr>
            <w:tcW w:w="1296" w:type="dxa"/>
            <w:shd w:val="clear" w:color="auto" w:fill="E1E5EB"/>
            <w:vAlign w:val="center"/>
          </w:tcPr>
          <w:p w14:paraId="7D7B80F0"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(13%)</w:t>
            </w:r>
          </w:p>
        </w:tc>
      </w:tr>
      <w:tr w:rsidR="00EE5A49" w:rsidRPr="00D44D2F" w14:paraId="6EA500FD" w14:textId="77777777" w:rsidTr="00816349">
        <w:trPr>
          <w:trHeight w:val="432"/>
        </w:trPr>
        <w:tc>
          <w:tcPr>
            <w:tcW w:w="0" w:type="dxa"/>
            <w:vAlign w:val="center"/>
            <w:hideMark/>
          </w:tcPr>
          <w:p w14:paraId="758DF77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Valve Dysfunction, no (%)</w:t>
            </w:r>
          </w:p>
        </w:tc>
        <w:tc>
          <w:tcPr>
            <w:tcW w:w="1296" w:type="dxa"/>
            <w:vAlign w:val="center"/>
          </w:tcPr>
          <w:p w14:paraId="625C3F63"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20 (38%)</w:t>
            </w:r>
          </w:p>
        </w:tc>
        <w:tc>
          <w:tcPr>
            <w:tcW w:w="1296" w:type="dxa"/>
            <w:vAlign w:val="center"/>
            <w:hideMark/>
          </w:tcPr>
          <w:p w14:paraId="07F8B62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29 (29%)</w:t>
            </w:r>
          </w:p>
        </w:tc>
        <w:tc>
          <w:tcPr>
            <w:tcW w:w="1296" w:type="dxa"/>
            <w:vAlign w:val="center"/>
          </w:tcPr>
          <w:p w14:paraId="6B717D7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15 (50%)</w:t>
            </w:r>
          </w:p>
        </w:tc>
        <w:tc>
          <w:tcPr>
            <w:tcW w:w="1296" w:type="dxa"/>
            <w:vAlign w:val="center"/>
            <w:hideMark/>
          </w:tcPr>
          <w:p w14:paraId="7BE7230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8 (32%)</w:t>
            </w:r>
          </w:p>
        </w:tc>
        <w:tc>
          <w:tcPr>
            <w:tcW w:w="1296" w:type="dxa"/>
            <w:vAlign w:val="center"/>
          </w:tcPr>
          <w:p w14:paraId="6D36E96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(13%)</w:t>
            </w:r>
          </w:p>
        </w:tc>
      </w:tr>
      <w:tr w:rsidR="00EE5A49" w:rsidRPr="00D44D2F" w14:paraId="050E628D"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4B23CB64"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Pericarditis, no (%)</w:t>
            </w:r>
          </w:p>
        </w:tc>
        <w:tc>
          <w:tcPr>
            <w:tcW w:w="1296" w:type="dxa"/>
            <w:shd w:val="clear" w:color="auto" w:fill="E1E5EB"/>
            <w:vAlign w:val="center"/>
          </w:tcPr>
          <w:p w14:paraId="373EA14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7 (13%)</w:t>
            </w:r>
          </w:p>
        </w:tc>
        <w:tc>
          <w:tcPr>
            <w:tcW w:w="1296" w:type="dxa"/>
            <w:shd w:val="clear" w:color="auto" w:fill="E1E5EB"/>
            <w:vAlign w:val="center"/>
            <w:hideMark/>
          </w:tcPr>
          <w:p w14:paraId="78BF0F5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4 (4%)</w:t>
            </w:r>
          </w:p>
        </w:tc>
        <w:tc>
          <w:tcPr>
            <w:tcW w:w="1296" w:type="dxa"/>
            <w:shd w:val="clear" w:color="auto" w:fill="E1E5EB"/>
            <w:vAlign w:val="center"/>
          </w:tcPr>
          <w:p w14:paraId="54BC6CE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(3%)</w:t>
            </w:r>
          </w:p>
        </w:tc>
        <w:tc>
          <w:tcPr>
            <w:tcW w:w="1296" w:type="dxa"/>
            <w:shd w:val="clear" w:color="auto" w:fill="E1E5EB"/>
            <w:vAlign w:val="center"/>
            <w:hideMark/>
          </w:tcPr>
          <w:p w14:paraId="5BAB7E5D"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0 (0%)</w:t>
            </w:r>
          </w:p>
        </w:tc>
        <w:tc>
          <w:tcPr>
            <w:tcW w:w="1296" w:type="dxa"/>
            <w:shd w:val="clear" w:color="auto" w:fill="E1E5EB"/>
            <w:vAlign w:val="center"/>
          </w:tcPr>
          <w:p w14:paraId="5D1B8D73"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r>
      <w:tr w:rsidR="00EE5A49" w:rsidRPr="00D44D2F" w14:paraId="49A90FE9" w14:textId="77777777" w:rsidTr="00816349">
        <w:trPr>
          <w:trHeight w:val="432"/>
        </w:trPr>
        <w:tc>
          <w:tcPr>
            <w:tcW w:w="0" w:type="dxa"/>
            <w:vAlign w:val="center"/>
            <w:hideMark/>
          </w:tcPr>
          <w:p w14:paraId="13E772A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Dilated Aorta, no (%)</w:t>
            </w:r>
          </w:p>
        </w:tc>
        <w:tc>
          <w:tcPr>
            <w:tcW w:w="1296" w:type="dxa"/>
            <w:vAlign w:val="center"/>
          </w:tcPr>
          <w:p w14:paraId="3126F3D9"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11 (21%)</w:t>
            </w:r>
          </w:p>
        </w:tc>
        <w:tc>
          <w:tcPr>
            <w:tcW w:w="1296" w:type="dxa"/>
            <w:vAlign w:val="center"/>
            <w:hideMark/>
          </w:tcPr>
          <w:p w14:paraId="3E658A9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10 (10%)</w:t>
            </w:r>
          </w:p>
        </w:tc>
        <w:tc>
          <w:tcPr>
            <w:tcW w:w="1296" w:type="dxa"/>
            <w:vAlign w:val="center"/>
          </w:tcPr>
          <w:p w14:paraId="5883D7D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4 (13%)</w:t>
            </w:r>
          </w:p>
        </w:tc>
        <w:tc>
          <w:tcPr>
            <w:tcW w:w="1296" w:type="dxa"/>
            <w:vAlign w:val="center"/>
            <w:hideMark/>
          </w:tcPr>
          <w:p w14:paraId="54FC4A64"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 (4%)</w:t>
            </w:r>
          </w:p>
        </w:tc>
        <w:tc>
          <w:tcPr>
            <w:tcW w:w="1296" w:type="dxa"/>
            <w:vAlign w:val="center"/>
          </w:tcPr>
          <w:p w14:paraId="6DBEBEC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r>
      <w:tr w:rsidR="00EE5A49" w:rsidRPr="00D44D2F" w14:paraId="00FA5CEE"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75D44C29"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Cardiac Mass Thrombus, no (%)</w:t>
            </w:r>
          </w:p>
        </w:tc>
        <w:tc>
          <w:tcPr>
            <w:tcW w:w="1296" w:type="dxa"/>
            <w:shd w:val="clear" w:color="auto" w:fill="E1E5EB"/>
            <w:vAlign w:val="center"/>
          </w:tcPr>
          <w:p w14:paraId="6C7ABE0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c>
          <w:tcPr>
            <w:tcW w:w="1296" w:type="dxa"/>
            <w:shd w:val="clear" w:color="auto" w:fill="E1E5EB"/>
            <w:vAlign w:val="center"/>
            <w:hideMark/>
          </w:tcPr>
          <w:p w14:paraId="3BD8D335"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 (1%)</w:t>
            </w:r>
          </w:p>
        </w:tc>
        <w:tc>
          <w:tcPr>
            <w:tcW w:w="1296" w:type="dxa"/>
            <w:shd w:val="clear" w:color="auto" w:fill="E1E5EB"/>
            <w:vAlign w:val="center"/>
          </w:tcPr>
          <w:p w14:paraId="082B68C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 (3%)</w:t>
            </w:r>
          </w:p>
        </w:tc>
        <w:tc>
          <w:tcPr>
            <w:tcW w:w="1296" w:type="dxa"/>
            <w:shd w:val="clear" w:color="auto" w:fill="E1E5EB"/>
            <w:vAlign w:val="center"/>
            <w:hideMark/>
          </w:tcPr>
          <w:p w14:paraId="0460646E"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0 (0%)</w:t>
            </w:r>
          </w:p>
        </w:tc>
        <w:tc>
          <w:tcPr>
            <w:tcW w:w="1296" w:type="dxa"/>
            <w:shd w:val="clear" w:color="auto" w:fill="E1E5EB"/>
            <w:vAlign w:val="center"/>
          </w:tcPr>
          <w:p w14:paraId="00F98F4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r>
      <w:tr w:rsidR="00EE5A49" w:rsidRPr="00D44D2F" w14:paraId="11EB71AD" w14:textId="77777777" w:rsidTr="00816349">
        <w:trPr>
          <w:trHeight w:val="432"/>
        </w:trPr>
        <w:tc>
          <w:tcPr>
            <w:tcW w:w="0" w:type="dxa"/>
            <w:vAlign w:val="center"/>
            <w:hideMark/>
          </w:tcPr>
          <w:p w14:paraId="1FCBCA8A"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No Significant Findings, no (%)</w:t>
            </w:r>
          </w:p>
        </w:tc>
        <w:tc>
          <w:tcPr>
            <w:tcW w:w="1296" w:type="dxa"/>
            <w:vAlign w:val="center"/>
          </w:tcPr>
          <w:p w14:paraId="6825D852"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12 (23%)</w:t>
            </w:r>
          </w:p>
        </w:tc>
        <w:tc>
          <w:tcPr>
            <w:tcW w:w="1296" w:type="dxa"/>
            <w:vAlign w:val="center"/>
            <w:hideMark/>
          </w:tcPr>
          <w:p w14:paraId="0EE8BE96"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40 (40%)</w:t>
            </w:r>
          </w:p>
        </w:tc>
        <w:tc>
          <w:tcPr>
            <w:tcW w:w="1296" w:type="dxa"/>
            <w:vAlign w:val="center"/>
          </w:tcPr>
          <w:p w14:paraId="11E434CC"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10 (33%)</w:t>
            </w:r>
          </w:p>
        </w:tc>
        <w:tc>
          <w:tcPr>
            <w:tcW w:w="1296" w:type="dxa"/>
            <w:vAlign w:val="center"/>
            <w:hideMark/>
          </w:tcPr>
          <w:p w14:paraId="7ACA2157"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10 (40%)</w:t>
            </w:r>
          </w:p>
        </w:tc>
        <w:tc>
          <w:tcPr>
            <w:tcW w:w="1296" w:type="dxa"/>
            <w:vAlign w:val="center"/>
          </w:tcPr>
          <w:p w14:paraId="376DFF64"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5 (63%)</w:t>
            </w:r>
          </w:p>
        </w:tc>
      </w:tr>
      <w:tr w:rsidR="00EE5A49" w:rsidRPr="00D44D2F" w14:paraId="2305D6A0" w14:textId="77777777" w:rsidTr="00816349">
        <w:trPr>
          <w:cnfStyle w:val="000000100000" w:firstRow="0" w:lastRow="0" w:firstColumn="0" w:lastColumn="0" w:oddVBand="0" w:evenVBand="0" w:oddHBand="1" w:evenHBand="0" w:firstRowFirstColumn="0" w:firstRowLastColumn="0" w:lastRowFirstColumn="0" w:lastRowLastColumn="0"/>
          <w:trHeight w:val="432"/>
        </w:trPr>
        <w:tc>
          <w:tcPr>
            <w:tcW w:w="2880" w:type="dxa"/>
            <w:shd w:val="clear" w:color="auto" w:fill="E1E5EB"/>
            <w:vAlign w:val="center"/>
            <w:hideMark/>
          </w:tcPr>
          <w:p w14:paraId="1074C53B"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Other, no (%)</w:t>
            </w:r>
          </w:p>
        </w:tc>
        <w:tc>
          <w:tcPr>
            <w:tcW w:w="1296" w:type="dxa"/>
            <w:shd w:val="clear" w:color="auto" w:fill="E1E5EB"/>
            <w:vAlign w:val="center"/>
          </w:tcPr>
          <w:p w14:paraId="6ABF1191"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3 (6%)</w:t>
            </w:r>
          </w:p>
        </w:tc>
        <w:tc>
          <w:tcPr>
            <w:tcW w:w="1296" w:type="dxa"/>
            <w:shd w:val="clear" w:color="auto" w:fill="E1E5EB"/>
            <w:vAlign w:val="center"/>
            <w:hideMark/>
          </w:tcPr>
          <w:p w14:paraId="3F11DD2A"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3 (3%)</w:t>
            </w:r>
          </w:p>
        </w:tc>
        <w:tc>
          <w:tcPr>
            <w:tcW w:w="1296" w:type="dxa"/>
            <w:shd w:val="clear" w:color="auto" w:fill="E1E5EB"/>
            <w:vAlign w:val="center"/>
          </w:tcPr>
          <w:p w14:paraId="2B5E66E8"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c>
          <w:tcPr>
            <w:tcW w:w="1296" w:type="dxa"/>
            <w:shd w:val="clear" w:color="auto" w:fill="E1E5EB"/>
            <w:vAlign w:val="center"/>
            <w:hideMark/>
          </w:tcPr>
          <w:p w14:paraId="5F9E932B"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sz w:val="24"/>
                <w:szCs w:val="24"/>
              </w:rPr>
              <w:t>3 (12%)</w:t>
            </w:r>
          </w:p>
        </w:tc>
        <w:tc>
          <w:tcPr>
            <w:tcW w:w="1296" w:type="dxa"/>
            <w:shd w:val="clear" w:color="auto" w:fill="E1E5EB"/>
            <w:vAlign w:val="center"/>
          </w:tcPr>
          <w:p w14:paraId="6180BDFF" w14:textId="77777777" w:rsidR="00EE5A49" w:rsidRPr="00D44D2F" w:rsidRDefault="00EE5A49" w:rsidP="00816349">
            <w:pPr>
              <w:rPr>
                <w:rFonts w:ascii="Times New Roman" w:hAnsi="Times New Roman" w:cs="Times New Roman"/>
                <w:sz w:val="24"/>
                <w:szCs w:val="24"/>
              </w:rPr>
            </w:pPr>
            <w:r w:rsidRPr="00D44D2F">
              <w:rPr>
                <w:rFonts w:ascii="Times New Roman" w:hAnsi="Times New Roman" w:cs="Times New Roman"/>
                <w:color w:val="000000" w:themeColor="dark1"/>
                <w:kern w:val="24"/>
                <w:sz w:val="24"/>
                <w:szCs w:val="24"/>
              </w:rPr>
              <w:t>0 (0%)</w:t>
            </w:r>
          </w:p>
        </w:tc>
      </w:tr>
    </w:tbl>
    <w:p w14:paraId="32077CB0" w14:textId="77777777" w:rsidR="00EE5A49" w:rsidRPr="00D44D2F" w:rsidRDefault="00EE5A49" w:rsidP="00EE5A49">
      <w:pPr>
        <w:spacing w:after="0" w:line="240" w:lineRule="auto"/>
        <w:rPr>
          <w:rFonts w:cs="Calibri"/>
          <w:b/>
          <w:bCs/>
          <w:sz w:val="24"/>
          <w:szCs w:val="24"/>
        </w:rPr>
      </w:pPr>
    </w:p>
    <w:p w14:paraId="64472721" w14:textId="77777777" w:rsidR="00EE5A49" w:rsidRDefault="00EE5A49" w:rsidP="00EE5A49">
      <w:pPr>
        <w:spacing w:after="0" w:line="240" w:lineRule="auto"/>
        <w:rPr>
          <w:rFonts w:cs="Calibri"/>
          <w:b/>
          <w:bCs/>
          <w:sz w:val="24"/>
          <w:szCs w:val="24"/>
        </w:rPr>
      </w:pPr>
    </w:p>
    <w:p w14:paraId="18B509DD" w14:textId="77777777" w:rsidR="00EE5A49" w:rsidRDefault="00EE5A49" w:rsidP="00EE5A49">
      <w:pPr>
        <w:rPr>
          <w:rFonts w:cs="Calibri"/>
          <w:b/>
          <w:bCs/>
          <w:sz w:val="24"/>
          <w:szCs w:val="24"/>
        </w:rPr>
      </w:pPr>
      <w:r>
        <w:rPr>
          <w:rFonts w:cs="Calibri"/>
          <w:b/>
          <w:bCs/>
          <w:sz w:val="24"/>
          <w:szCs w:val="24"/>
        </w:rPr>
        <w:br w:type="page"/>
      </w:r>
    </w:p>
    <w:p w14:paraId="744813D6" w14:textId="77777777" w:rsidR="00EE5A49" w:rsidRDefault="00EE5A49" w:rsidP="00EE5A49">
      <w:pPr>
        <w:rPr>
          <w:rFonts w:cs="Calibri"/>
          <w:b/>
          <w:bCs/>
          <w:sz w:val="24"/>
          <w:szCs w:val="24"/>
        </w:rPr>
      </w:pPr>
      <w:r>
        <w:rPr>
          <w:rFonts w:cs="Calibri"/>
          <w:b/>
          <w:bCs/>
          <w:sz w:val="24"/>
          <w:szCs w:val="24"/>
        </w:rPr>
        <w:lastRenderedPageBreak/>
        <w:t>Video S8: AutoCMR data integrates with extended reality platforms for advanced data visualization and interaction.</w:t>
      </w:r>
    </w:p>
    <w:p w14:paraId="0C2DED8F" w14:textId="77777777" w:rsidR="00EE5A49" w:rsidRDefault="00EE5A49" w:rsidP="00EE5A49">
      <w:pPr>
        <w:rPr>
          <w:rFonts w:cs="Calibri"/>
          <w:b/>
          <w:bCs/>
          <w:sz w:val="24"/>
          <w:szCs w:val="24"/>
        </w:rPr>
      </w:pPr>
      <w:r>
        <w:rPr>
          <w:sz w:val="24"/>
          <w:szCs w:val="24"/>
        </w:rPr>
        <w:t xml:space="preserve">AutoCMR cine images and segmentations from a patient with aortic valve regurgitation were imported to the extended reality platform CWRUXR and visualized with </w:t>
      </w:r>
      <w:r w:rsidRPr="00EC6B71">
        <w:rPr>
          <w:sz w:val="24"/>
          <w:szCs w:val="24"/>
        </w:rPr>
        <w:t>an Android-compatible pho</w:t>
      </w:r>
      <w:r>
        <w:rPr>
          <w:sz w:val="24"/>
          <w:szCs w:val="24"/>
        </w:rPr>
        <w:t>ne.</w:t>
      </w:r>
      <w:r>
        <w:rPr>
          <w:rFonts w:cs="Calibri"/>
          <w:b/>
          <w:bCs/>
          <w:sz w:val="24"/>
          <w:szCs w:val="24"/>
        </w:rPr>
        <w:t xml:space="preserve"> </w:t>
      </w:r>
    </w:p>
    <w:p w14:paraId="58FF4151" w14:textId="77777777" w:rsidR="00EE5A49" w:rsidRDefault="00EE5A49" w:rsidP="00EE5A49">
      <w:pPr>
        <w:rPr>
          <w:rFonts w:cs="Calibri"/>
          <w:b/>
          <w:bCs/>
          <w:sz w:val="24"/>
          <w:szCs w:val="24"/>
        </w:rPr>
      </w:pPr>
    </w:p>
    <w:p w14:paraId="5379AD5F" w14:textId="77777777" w:rsidR="00EE5A49" w:rsidRDefault="00EE5A49" w:rsidP="00EE5A49">
      <w:pPr>
        <w:rPr>
          <w:rFonts w:cs="Calibri"/>
          <w:b/>
          <w:bCs/>
          <w:sz w:val="24"/>
          <w:szCs w:val="24"/>
        </w:rPr>
      </w:pPr>
    </w:p>
    <w:p w14:paraId="7DFCF365" w14:textId="77777777" w:rsidR="00EE5A49" w:rsidRDefault="00EE5A49" w:rsidP="00EE5A49">
      <w:pPr>
        <w:rPr>
          <w:rFonts w:cs="Calibri"/>
          <w:b/>
          <w:bCs/>
          <w:sz w:val="24"/>
          <w:szCs w:val="24"/>
        </w:rPr>
      </w:pPr>
      <w:r>
        <w:rPr>
          <w:rFonts w:cs="Calibri"/>
          <w:b/>
          <w:bCs/>
          <w:sz w:val="24"/>
          <w:szCs w:val="24"/>
        </w:rPr>
        <w:br w:type="page"/>
      </w:r>
    </w:p>
    <w:p w14:paraId="6C125A62" w14:textId="77777777" w:rsidR="00EE5A49" w:rsidRDefault="00EE5A49" w:rsidP="00EE5A49">
      <w:pPr>
        <w:spacing w:after="0" w:line="240" w:lineRule="auto"/>
        <w:rPr>
          <w:rFonts w:cs="Calibri"/>
          <w:b/>
          <w:bCs/>
          <w:sz w:val="24"/>
          <w:szCs w:val="24"/>
        </w:rPr>
      </w:pPr>
      <w:r w:rsidRPr="00D44D2F">
        <w:rPr>
          <w:rFonts w:cs="Calibri"/>
          <w:b/>
          <w:bCs/>
          <w:sz w:val="24"/>
          <w:szCs w:val="24"/>
        </w:rPr>
        <w:lastRenderedPageBreak/>
        <w:t>Figure S</w:t>
      </w:r>
      <w:r>
        <w:rPr>
          <w:rFonts w:cs="Calibri"/>
          <w:b/>
          <w:bCs/>
          <w:sz w:val="24"/>
          <w:szCs w:val="24"/>
        </w:rPr>
        <w:t>9</w:t>
      </w:r>
      <w:r w:rsidRPr="00D44D2F">
        <w:rPr>
          <w:rFonts w:cs="Calibri"/>
          <w:b/>
          <w:bCs/>
          <w:sz w:val="24"/>
          <w:szCs w:val="24"/>
        </w:rPr>
        <w:t xml:space="preserve">: AutoCMR cine segmentations provide high temporal resolution, reducing computational burden for digital twins. </w:t>
      </w:r>
    </w:p>
    <w:p w14:paraId="172242A3" w14:textId="77777777" w:rsidR="00EE5A49" w:rsidRPr="00D44D2F" w:rsidRDefault="00EE5A49" w:rsidP="00EE5A49">
      <w:pPr>
        <w:spacing w:after="0" w:line="240" w:lineRule="auto"/>
        <w:rPr>
          <w:rFonts w:cs="Calibri"/>
          <w:b/>
          <w:bCs/>
          <w:sz w:val="24"/>
          <w:szCs w:val="24"/>
        </w:rPr>
      </w:pPr>
      <w:r w:rsidRPr="002412F4">
        <w:rPr>
          <w:rFonts w:cs="Calibri"/>
          <w:sz w:val="24"/>
          <w:szCs w:val="24"/>
        </w:rPr>
        <w:t>The high-quality LV volume curve across a single cardiac cycle is depicted with blue data points, representing 10 selected LV</w:t>
      </w:r>
      <w:r w:rsidRPr="00D44D2F">
        <w:rPr>
          <w:rFonts w:cs="Calibri"/>
          <w:sz w:val="24"/>
          <w:szCs w:val="24"/>
        </w:rPr>
        <w:t xml:space="preserve"> </w:t>
      </w:r>
      <w:r w:rsidRPr="002412F4">
        <w:rPr>
          <w:rFonts w:cs="Calibri"/>
          <w:sz w:val="24"/>
          <w:szCs w:val="24"/>
        </w:rPr>
        <w:t>geometries from end-diastole (ED) to the end of the cardiac cycle. Two methods for determining the</w:t>
      </w:r>
      <w:r w:rsidRPr="00D44D2F">
        <w:rPr>
          <w:rFonts w:cs="Calibri"/>
          <w:sz w:val="24"/>
          <w:szCs w:val="24"/>
        </w:rPr>
        <w:t xml:space="preserve"> s</w:t>
      </w:r>
      <w:r w:rsidRPr="002412F4">
        <w:rPr>
          <w:rFonts w:cs="Calibri"/>
          <w:sz w:val="24"/>
          <w:szCs w:val="24"/>
        </w:rPr>
        <w:t>tress-free (unloaded) LV geometry</w:t>
      </w:r>
      <w:r w:rsidRPr="00D44D2F">
        <w:rPr>
          <w:rFonts w:cs="Calibri"/>
          <w:sz w:val="24"/>
          <w:szCs w:val="24"/>
        </w:rPr>
        <w:t xml:space="preserve"> </w:t>
      </w:r>
      <w:r w:rsidRPr="002412F4">
        <w:rPr>
          <w:rFonts w:cs="Calibri"/>
          <w:sz w:val="24"/>
          <w:szCs w:val="24"/>
        </w:rPr>
        <w:t>are illustrated</w:t>
      </w:r>
      <w:r w:rsidRPr="00D44D2F">
        <w:rPr>
          <w:rFonts w:cs="Calibri"/>
          <w:sz w:val="24"/>
          <w:szCs w:val="24"/>
        </w:rPr>
        <w:t>. Method I: Utilizing the Klotz curve</w:t>
      </w:r>
      <w:r w:rsidRPr="00A42309">
        <w:rPr>
          <w:rFonts w:ascii="Aptos" w:hAnsi="Aptos" w:cs="Times New Roman"/>
          <w:kern w:val="0"/>
          <w:sz w:val="24"/>
          <w:vertAlign w:val="superscript"/>
        </w:rPr>
        <w:t>62,63</w:t>
      </w:r>
      <w:r w:rsidRPr="00D44D2F">
        <w:rPr>
          <w:rFonts w:cs="Calibri"/>
          <w:sz w:val="24"/>
          <w:szCs w:val="24"/>
        </w:rPr>
        <w:t xml:space="preserve"> with the assumed ED pressure (EDP</w:t>
      </w:r>
      <w:r w:rsidRPr="00D44D2F">
        <w:rPr>
          <w:rFonts w:ascii="Cambria Math" w:hAnsi="Cambria Math" w:cs="Cambria Math"/>
          <w:sz w:val="24"/>
          <w:szCs w:val="24"/>
        </w:rPr>
        <w:t>∼</w:t>
      </w:r>
      <w:r w:rsidRPr="00D44D2F">
        <w:rPr>
          <w:rFonts w:cs="Calibri"/>
          <w:sz w:val="24"/>
          <w:szCs w:val="24"/>
        </w:rPr>
        <w:t xml:space="preserve">8 mmHg), an </w:t>
      </w:r>
      <w:r>
        <w:rPr>
          <w:rFonts w:cs="Calibri"/>
          <w:sz w:val="24"/>
          <w:szCs w:val="24"/>
        </w:rPr>
        <w:t xml:space="preserve">empirical </w:t>
      </w:r>
      <w:r w:rsidRPr="00D44D2F">
        <w:rPr>
          <w:rFonts w:cs="Calibri"/>
          <w:sz w:val="24"/>
          <w:szCs w:val="24"/>
        </w:rPr>
        <w:t xml:space="preserve">estimated stress-free LV volume is calculated. This volume guides selection of the closest intermediate geometry from the 30-frame AutoCMR dataset, representing a near-zero-pressure state occurring prior to ED. The Method I unloaded geometry is calculated in </w:t>
      </w:r>
      <w:r>
        <w:rPr>
          <w:rFonts w:cs="Calibri"/>
          <w:sz w:val="24"/>
          <w:szCs w:val="24"/>
        </w:rPr>
        <w:t>seconds</w:t>
      </w:r>
      <w:r w:rsidRPr="00D44D2F">
        <w:rPr>
          <w:rFonts w:cs="Calibri"/>
          <w:sz w:val="24"/>
          <w:szCs w:val="24"/>
        </w:rPr>
        <w:t xml:space="preserve">. Method II: </w:t>
      </w:r>
      <w:r w:rsidRPr="002412F4">
        <w:rPr>
          <w:rFonts w:cs="Calibri"/>
          <w:sz w:val="24"/>
          <w:szCs w:val="24"/>
        </w:rPr>
        <w:t xml:space="preserve">Starting from the ED geometry, </w:t>
      </w:r>
      <w:r>
        <w:rPr>
          <w:rFonts w:cs="Calibri"/>
          <w:sz w:val="24"/>
          <w:szCs w:val="24"/>
        </w:rPr>
        <w:t>(</w:t>
      </w:r>
      <w:r w:rsidRPr="008F1B58">
        <w:rPr>
          <w:rFonts w:cs="Calibri"/>
          <w:sz w:val="24"/>
          <w:szCs w:val="24"/>
        </w:rPr>
        <w:t>1)</w:t>
      </w:r>
      <w:r w:rsidRPr="002412F4">
        <w:rPr>
          <w:rFonts w:cs="Calibri"/>
          <w:sz w:val="24"/>
          <w:szCs w:val="24"/>
        </w:rPr>
        <w:t xml:space="preserve"> </w:t>
      </w:r>
      <w:r w:rsidRPr="008F1B58">
        <w:rPr>
          <w:rFonts w:cs="Calibri"/>
          <w:sz w:val="24"/>
          <w:szCs w:val="24"/>
        </w:rPr>
        <w:t>the LV cavity volume is incrementally increased and a nonlinear finite-element problem is solved to compute the resulting internal pressure</w:t>
      </w:r>
      <w:r>
        <w:rPr>
          <w:rFonts w:cs="Calibri"/>
          <w:sz w:val="24"/>
          <w:szCs w:val="24"/>
        </w:rPr>
        <w:t xml:space="preserve"> (</w:t>
      </w:r>
      <w:r w:rsidRPr="008F1B58">
        <w:rPr>
          <w:rFonts w:ascii="Cambria Math" w:hAnsi="Cambria Math" w:cs="Cambria Math"/>
          <w:sz w:val="24"/>
          <w:szCs w:val="24"/>
        </w:rPr>
        <w:t>∼</w:t>
      </w:r>
      <w:r w:rsidRPr="008F1B58">
        <w:rPr>
          <w:rFonts w:cs="Calibri"/>
          <w:sz w:val="24"/>
          <w:szCs w:val="24"/>
        </w:rPr>
        <w:t xml:space="preserve"> 8 mmHg</w:t>
      </w:r>
      <w:r>
        <w:rPr>
          <w:rFonts w:cs="Calibri"/>
          <w:sz w:val="24"/>
          <w:szCs w:val="24"/>
        </w:rPr>
        <w:t>)</w:t>
      </w:r>
      <w:r w:rsidRPr="008F1B58">
        <w:rPr>
          <w:rFonts w:cs="Calibri"/>
          <w:sz w:val="24"/>
          <w:szCs w:val="24"/>
        </w:rPr>
        <w:t>, producing a trial loaded geometry</w:t>
      </w:r>
      <w:r w:rsidRPr="002412F4">
        <w:rPr>
          <w:rFonts w:cs="Calibri"/>
          <w:sz w:val="24"/>
          <w:szCs w:val="24"/>
        </w:rPr>
        <w:t xml:space="preserve">. </w:t>
      </w:r>
      <w:r w:rsidRPr="008F1B58">
        <w:rPr>
          <w:rFonts w:cs="Calibri"/>
          <w:sz w:val="24"/>
          <w:szCs w:val="24"/>
        </w:rPr>
        <w:t>The resulting pressure, cavity volume, and shape are then compared with the measured ED state (2)</w:t>
      </w:r>
      <w:r>
        <w:rPr>
          <w:rFonts w:cs="Calibri"/>
          <w:sz w:val="24"/>
          <w:szCs w:val="24"/>
        </w:rPr>
        <w:t>. T</w:t>
      </w:r>
      <w:r w:rsidRPr="008F1B58">
        <w:rPr>
          <w:rFonts w:cs="Calibri"/>
          <w:sz w:val="24"/>
          <w:szCs w:val="24"/>
        </w:rPr>
        <w:t>he volume increment is adjusted and the loading step repeated until good agreement is achieved</w:t>
      </w:r>
      <w:r>
        <w:rPr>
          <w:rFonts w:cs="Calibri"/>
          <w:sz w:val="24"/>
          <w:szCs w:val="24"/>
        </w:rPr>
        <w:t xml:space="preserve"> between the </w:t>
      </w:r>
      <w:r w:rsidRPr="008F1B58">
        <w:rPr>
          <w:rFonts w:cs="Calibri"/>
          <w:sz w:val="24"/>
          <w:szCs w:val="24"/>
        </w:rPr>
        <w:t xml:space="preserve">computed pressure, volume, </w:t>
      </w:r>
      <w:r>
        <w:rPr>
          <w:rFonts w:cs="Calibri"/>
          <w:sz w:val="24"/>
          <w:szCs w:val="24"/>
        </w:rPr>
        <w:t>and</w:t>
      </w:r>
      <w:r w:rsidRPr="008F1B58">
        <w:rPr>
          <w:rFonts w:cs="Calibri"/>
          <w:sz w:val="24"/>
          <w:szCs w:val="24"/>
        </w:rPr>
        <w:t xml:space="preserve"> geometry </w:t>
      </w:r>
      <w:r>
        <w:rPr>
          <w:rFonts w:cs="Calibri"/>
          <w:sz w:val="24"/>
          <w:szCs w:val="24"/>
        </w:rPr>
        <w:t>and</w:t>
      </w:r>
      <w:r w:rsidRPr="008F1B58">
        <w:rPr>
          <w:rFonts w:cs="Calibri"/>
          <w:sz w:val="24"/>
          <w:szCs w:val="24"/>
        </w:rPr>
        <w:t xml:space="preserve"> the measured state. The converged displacement field is inverted and applied to estimate a zero-pressure geometry (3).</w:t>
      </w:r>
      <w:r>
        <w:rPr>
          <w:rFonts w:cs="Calibri"/>
          <w:sz w:val="24"/>
          <w:szCs w:val="24"/>
        </w:rPr>
        <w:t xml:space="preserve"> </w:t>
      </w:r>
      <w:r w:rsidRPr="008F1B58">
        <w:rPr>
          <w:rFonts w:cs="Calibri"/>
          <w:sz w:val="24"/>
          <w:szCs w:val="24"/>
        </w:rPr>
        <w:t>This geometry is reloaded to the target pressure (4) and the cycle is repeated over steps 2-4 until the simulation reproduces the measured ED pressure–volume relationship</w:t>
      </w:r>
      <w:r w:rsidRPr="00A42309">
        <w:rPr>
          <w:rFonts w:ascii="Aptos" w:hAnsi="Aptos" w:cs="Times New Roman"/>
          <w:kern w:val="0"/>
          <w:sz w:val="24"/>
          <w:vertAlign w:val="superscript"/>
        </w:rPr>
        <w:t>63</w:t>
      </w:r>
      <w:r w:rsidRPr="008F1B58">
        <w:rPr>
          <w:rFonts w:cs="Calibri"/>
          <w:sz w:val="24"/>
          <w:szCs w:val="24"/>
        </w:rPr>
        <w:t>.</w:t>
      </w:r>
      <w:r>
        <w:rPr>
          <w:rFonts w:cs="Calibri"/>
          <w:sz w:val="24"/>
          <w:szCs w:val="24"/>
        </w:rPr>
        <w:t xml:space="preserve"> </w:t>
      </w:r>
      <w:r w:rsidRPr="002412F4">
        <w:rPr>
          <w:rFonts w:cs="Calibri"/>
          <w:sz w:val="24"/>
          <w:szCs w:val="24"/>
        </w:rPr>
        <w:t xml:space="preserve"> </w:t>
      </w:r>
      <w:r w:rsidRPr="00D01409">
        <w:rPr>
          <w:rFonts w:cs="Calibri"/>
          <w:sz w:val="24"/>
          <w:szCs w:val="24"/>
        </w:rPr>
        <w:t xml:space="preserve">On a 16-core workstation a typical run of four to five unload–reload cycles converges in </w:t>
      </w:r>
      <w:r>
        <w:rPr>
          <w:rFonts w:cs="Calibri"/>
          <w:sz w:val="24"/>
          <w:szCs w:val="24"/>
        </w:rPr>
        <w:t xml:space="preserve">approximately </w:t>
      </w:r>
      <w:r w:rsidRPr="00D01409">
        <w:rPr>
          <w:rFonts w:cs="Calibri"/>
          <w:sz w:val="24"/>
          <w:szCs w:val="24"/>
        </w:rPr>
        <w:t xml:space="preserve">one hour; runtime decreases almost linearly with additional cores. </w:t>
      </w:r>
      <w:r w:rsidRPr="002412F4">
        <w:rPr>
          <w:rFonts w:cs="Calibri"/>
          <w:sz w:val="24"/>
          <w:szCs w:val="24"/>
        </w:rPr>
        <w:t xml:space="preserve">While offering </w:t>
      </w:r>
      <w:r>
        <w:rPr>
          <w:rFonts w:cs="Calibri"/>
          <w:sz w:val="24"/>
          <w:szCs w:val="24"/>
        </w:rPr>
        <w:t>greater than</w:t>
      </w:r>
      <w:r w:rsidRPr="002412F4">
        <w:rPr>
          <w:rFonts w:cs="Calibri"/>
          <w:sz w:val="24"/>
          <w:szCs w:val="24"/>
        </w:rPr>
        <w:t xml:space="preserve"> </w:t>
      </w:r>
      <w:r>
        <w:rPr>
          <w:rFonts w:cs="Calibri"/>
          <w:sz w:val="24"/>
          <w:szCs w:val="24"/>
        </w:rPr>
        <w:t>100</w:t>
      </w:r>
      <w:r w:rsidRPr="002412F4">
        <w:rPr>
          <w:rFonts w:cs="Calibri"/>
          <w:sz w:val="24"/>
          <w:szCs w:val="24"/>
        </w:rPr>
        <w:t>0x reduction in computational time, t</w:t>
      </w:r>
      <w:r w:rsidRPr="00D44D2F">
        <w:rPr>
          <w:rFonts w:cs="Calibri"/>
          <w:sz w:val="24"/>
          <w:szCs w:val="24"/>
        </w:rPr>
        <w:t>he directly selected AutoCMR geometry (Method I) closely matches the inverse displacement geometry (Method II), showing minor deviations primarily in myocardial thickness, which is an expected outcome given the fixed boundary conditions and material properties</w:t>
      </w:r>
      <w:r w:rsidRPr="00D44D2F">
        <w:rPr>
          <w:rFonts w:cs="Calibri"/>
          <w:b/>
          <w:bCs/>
          <w:sz w:val="24"/>
          <w:szCs w:val="24"/>
        </w:rPr>
        <w:t>.</w:t>
      </w:r>
    </w:p>
    <w:p w14:paraId="18632363" w14:textId="77777777" w:rsidR="00EE5A49" w:rsidRDefault="00EE5A49" w:rsidP="00EE5A49">
      <w:pPr>
        <w:spacing w:after="0" w:line="240" w:lineRule="auto"/>
        <w:jc w:val="center"/>
        <w:rPr>
          <w:rFonts w:cs="Calibri"/>
          <w:sz w:val="24"/>
          <w:szCs w:val="24"/>
        </w:rPr>
      </w:pPr>
      <w:r>
        <w:rPr>
          <w:rFonts w:cs="Calibri"/>
          <w:noProof/>
          <w:sz w:val="24"/>
          <w:szCs w:val="24"/>
        </w:rPr>
        <w:drawing>
          <wp:inline distT="0" distB="0" distL="0" distR="0" wp14:anchorId="7A89FDF3" wp14:editId="4F010A6C">
            <wp:extent cx="4206240" cy="2459804"/>
            <wp:effectExtent l="0" t="0" r="3810" b="0"/>
            <wp:docPr id="67443286" name="Picture 10"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43286" name="Picture 10" descr="A screenshot of a cell phone&#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43" t="722" r="49722" b="77863"/>
                    <a:stretch/>
                  </pic:blipFill>
                  <pic:spPr bwMode="auto">
                    <a:xfrm>
                      <a:off x="0" y="0"/>
                      <a:ext cx="4206240" cy="2459804"/>
                    </a:xfrm>
                    <a:prstGeom prst="rect">
                      <a:avLst/>
                    </a:prstGeom>
                    <a:noFill/>
                    <a:ln>
                      <a:noFill/>
                    </a:ln>
                    <a:extLst>
                      <a:ext uri="{53640926-AAD7-44D8-BBD7-CCE9431645EC}">
                        <a14:shadowObscured xmlns:a14="http://schemas.microsoft.com/office/drawing/2010/main"/>
                      </a:ext>
                    </a:extLst>
                  </pic:spPr>
                </pic:pic>
              </a:graphicData>
            </a:graphic>
          </wp:inline>
        </w:drawing>
      </w:r>
    </w:p>
    <w:p w14:paraId="2E513AF9" w14:textId="77777777" w:rsidR="00EE5A49" w:rsidRDefault="00EE5A49" w:rsidP="00EE5A49">
      <w:pPr>
        <w:spacing w:after="0" w:line="240" w:lineRule="auto"/>
        <w:rPr>
          <w:rFonts w:cs="Calibri"/>
          <w:sz w:val="24"/>
          <w:szCs w:val="24"/>
        </w:rPr>
      </w:pPr>
    </w:p>
    <w:p w14:paraId="7D502A29" w14:textId="77777777" w:rsidR="00EE5A49" w:rsidRDefault="00EE5A49" w:rsidP="00EE5A49">
      <w:pPr>
        <w:rPr>
          <w:rFonts w:cs="Calibri"/>
          <w:sz w:val="24"/>
          <w:szCs w:val="24"/>
        </w:rPr>
      </w:pPr>
      <w:r>
        <w:rPr>
          <w:rFonts w:cs="Calibri"/>
          <w:sz w:val="24"/>
          <w:szCs w:val="24"/>
        </w:rPr>
        <w:br w:type="page"/>
      </w:r>
    </w:p>
    <w:p w14:paraId="076E6095" w14:textId="77777777" w:rsidR="00EE5A49" w:rsidRDefault="00EE5A49" w:rsidP="00EE5A49">
      <w:pPr>
        <w:rPr>
          <w:rFonts w:cs="Calibri"/>
          <w:b/>
          <w:bCs/>
          <w:sz w:val="24"/>
          <w:szCs w:val="24"/>
        </w:rPr>
      </w:pPr>
      <w:r w:rsidRPr="00D44D2F">
        <w:rPr>
          <w:rFonts w:cs="Calibri"/>
          <w:b/>
          <w:bCs/>
          <w:sz w:val="24"/>
          <w:szCs w:val="24"/>
        </w:rPr>
        <w:lastRenderedPageBreak/>
        <w:t>Figure S</w:t>
      </w:r>
      <w:r>
        <w:rPr>
          <w:rFonts w:cs="Calibri"/>
          <w:b/>
          <w:bCs/>
          <w:sz w:val="24"/>
          <w:szCs w:val="24"/>
        </w:rPr>
        <w:t>10</w:t>
      </w:r>
      <w:r w:rsidRPr="00D44D2F">
        <w:rPr>
          <w:rFonts w:cs="Calibri"/>
          <w:b/>
          <w:bCs/>
          <w:sz w:val="24"/>
          <w:szCs w:val="24"/>
        </w:rPr>
        <w:t xml:space="preserve">: AutoCMR cine and delayed enhancement imaging is feasible with metal implants, high BMI, arrythmia, and diffuse LGE. </w:t>
      </w:r>
    </w:p>
    <w:p w14:paraId="307BE702" w14:textId="77777777" w:rsidR="00EE5A49" w:rsidRPr="00D44D2F" w:rsidRDefault="00EE5A49" w:rsidP="00EE5A49">
      <w:pPr>
        <w:rPr>
          <w:rFonts w:cs="Calibri"/>
          <w:b/>
          <w:bCs/>
          <w:sz w:val="24"/>
          <w:szCs w:val="24"/>
        </w:rPr>
      </w:pPr>
      <w:r>
        <w:rPr>
          <w:rFonts w:cs="Calibri"/>
          <w:b/>
          <w:bCs/>
          <w:sz w:val="24"/>
          <w:szCs w:val="24"/>
        </w:rPr>
        <w:t>a,</w:t>
      </w:r>
      <w:r w:rsidRPr="00D44D2F">
        <w:rPr>
          <w:rFonts w:cs="Calibri"/>
          <w:sz w:val="24"/>
          <w:szCs w:val="24"/>
        </w:rPr>
        <w:t xml:space="preserve"> Metal implants and sternal wires are common in cardiac MRI patients. Because AutoCMR cine and DE acquisitions employ spoiled gradient echo acquisitions, susceptibility artifacts surrounding metal are localized and minimized compared to often employed bSSFP acquisitions. i. AutoCMR cine and DE images in a patient with a patent foramen ovale closure device are observed to have minimal artifact. ii-iii. AutoCMR cine (ii) and DE (iii) imaging in a patient with a mitral valve ring and sternotomy wires showing localized susceptibility artifacts. </w:t>
      </w:r>
      <w:r>
        <w:rPr>
          <w:rFonts w:cs="Calibri"/>
          <w:b/>
          <w:bCs/>
          <w:sz w:val="24"/>
          <w:szCs w:val="24"/>
        </w:rPr>
        <w:t>b,</w:t>
      </w:r>
      <w:r w:rsidRPr="00D44D2F">
        <w:rPr>
          <w:rFonts w:cs="Calibri"/>
          <w:sz w:val="24"/>
          <w:szCs w:val="24"/>
        </w:rPr>
        <w:t xml:space="preserve"> The efficacy of regional-optimized virtual coil combination (ROVir</w:t>
      </w:r>
      <w:r w:rsidRPr="007659FA">
        <w:rPr>
          <w:rFonts w:ascii="Aptos" w:hAnsi="Aptos" w:cs="Times New Roman"/>
          <w:kern w:val="0"/>
          <w:sz w:val="24"/>
          <w:vertAlign w:val="superscript"/>
        </w:rPr>
        <w:t>28</w:t>
      </w:r>
      <w:r w:rsidRPr="00D44D2F">
        <w:rPr>
          <w:rFonts w:cs="Calibri"/>
          <w:sz w:val="24"/>
          <w:szCs w:val="24"/>
        </w:rPr>
        <w:t>) in reducing wrap artifacts is demonstrated in a representative high BMI patient (33.1 kg/m</w:t>
      </w:r>
      <w:r w:rsidRPr="00D44D2F">
        <w:rPr>
          <w:rFonts w:cs="Calibri"/>
          <w:sz w:val="24"/>
          <w:szCs w:val="24"/>
          <w:vertAlign w:val="superscript"/>
        </w:rPr>
        <w:t>2</w:t>
      </w:r>
      <w:r w:rsidRPr="00D44D2F">
        <w:rPr>
          <w:rFonts w:cs="Calibri"/>
          <w:sz w:val="24"/>
          <w:szCs w:val="24"/>
        </w:rPr>
        <w:t xml:space="preserve">). </w:t>
      </w:r>
      <w:r>
        <w:rPr>
          <w:rFonts w:cs="Calibri"/>
          <w:b/>
          <w:bCs/>
          <w:sz w:val="24"/>
          <w:szCs w:val="24"/>
        </w:rPr>
        <w:t>c,</w:t>
      </w:r>
      <w:r w:rsidRPr="00D44D2F">
        <w:rPr>
          <w:rFonts w:cs="Calibri"/>
          <w:sz w:val="24"/>
          <w:szCs w:val="24"/>
        </w:rPr>
        <w:t xml:space="preserve"> AutoCMR cine acquisitions are observed to be robust to cardiac arrythmia through rejection of data collected during heartbeats with outlier RR-intervals. Through pulse-oximeter and ECG monitoring at the time of the exam, an example patient was observed to have a regular heart rate during the first five minutes of the cine acquisition, and frequent arrythmia during the remaining five minutes. This trend was similarly observed in the cardiac self-gating signal (i) and the corresponding RR-interval distribution (ii) calculated with peak detection applied to the cardiac signal (blue dots). Despite arrythmia beginning mid-scan, the resulting AutoCMR cine image quality is preserved (iii).  </w:t>
      </w:r>
      <w:r>
        <w:rPr>
          <w:rFonts w:cs="Calibri"/>
          <w:b/>
          <w:bCs/>
          <w:sz w:val="24"/>
          <w:szCs w:val="24"/>
        </w:rPr>
        <w:t>d,</w:t>
      </w:r>
      <w:r w:rsidRPr="00D44D2F">
        <w:rPr>
          <w:rFonts w:cs="Calibri"/>
          <w:sz w:val="24"/>
          <w:szCs w:val="24"/>
        </w:rPr>
        <w:t xml:space="preserve"> AutoCMR DE acquisitions detect enhancement in ischemic and non-ischemic patterns. In an example patient, mild enhancement in the inferoseptal wall and near RV insertion points is observed in both clinical 2DCMR and AutoCMR DE.  </w:t>
      </w:r>
    </w:p>
    <w:p w14:paraId="1C59F804" w14:textId="77777777" w:rsidR="00EE5A49" w:rsidRPr="00D44D2F" w:rsidRDefault="00EE5A49" w:rsidP="00EE5A49">
      <w:pPr>
        <w:spacing w:after="0" w:line="240" w:lineRule="auto"/>
        <w:rPr>
          <w:rFonts w:cs="Calibri"/>
          <w:b/>
          <w:bCs/>
          <w:sz w:val="24"/>
          <w:szCs w:val="24"/>
        </w:rPr>
      </w:pPr>
    </w:p>
    <w:p w14:paraId="428C8573" w14:textId="77777777" w:rsidR="00EE5A49" w:rsidRPr="002412F4" w:rsidRDefault="00EE5A49" w:rsidP="00EE5A49">
      <w:pPr>
        <w:spacing w:after="0" w:line="240" w:lineRule="auto"/>
        <w:jc w:val="center"/>
        <w:rPr>
          <w:rFonts w:cs="Calibri"/>
          <w:sz w:val="24"/>
          <w:szCs w:val="24"/>
        </w:rPr>
      </w:pPr>
      <w:r>
        <w:rPr>
          <w:rFonts w:cs="Calibri"/>
          <w:b/>
          <w:bCs/>
          <w:noProof/>
          <w:sz w:val="24"/>
          <w:szCs w:val="24"/>
        </w:rPr>
        <w:lastRenderedPageBreak/>
        <w:drawing>
          <wp:inline distT="0" distB="0" distL="0" distR="0" wp14:anchorId="289F4213" wp14:editId="07CB5691">
            <wp:extent cx="5486400" cy="4562061"/>
            <wp:effectExtent l="0" t="0" r="0" b="0"/>
            <wp:docPr id="1905031654" name="Picture 1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31654" name="Picture 11" descr="A screenshot of a computer screen&#10;&#10;AI-generated content may be incorrect."/>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902" r="26224" b="53097"/>
                    <a:stretch/>
                  </pic:blipFill>
                  <pic:spPr bwMode="auto">
                    <a:xfrm>
                      <a:off x="0" y="0"/>
                      <a:ext cx="5486400" cy="4562061"/>
                    </a:xfrm>
                    <a:prstGeom prst="rect">
                      <a:avLst/>
                    </a:prstGeom>
                    <a:noFill/>
                    <a:ln>
                      <a:noFill/>
                    </a:ln>
                    <a:extLst>
                      <a:ext uri="{53640926-AAD7-44D8-BBD7-CCE9431645EC}">
                        <a14:shadowObscured xmlns:a14="http://schemas.microsoft.com/office/drawing/2010/main"/>
                      </a:ext>
                    </a:extLst>
                  </pic:spPr>
                </pic:pic>
              </a:graphicData>
            </a:graphic>
          </wp:inline>
        </w:drawing>
      </w:r>
    </w:p>
    <w:p w14:paraId="72C2A3A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A49"/>
    <w:rsid w:val="00011C58"/>
    <w:rsid w:val="0006021D"/>
    <w:rsid w:val="00331A6B"/>
    <w:rsid w:val="00495720"/>
    <w:rsid w:val="00755780"/>
    <w:rsid w:val="00857596"/>
    <w:rsid w:val="00C025DD"/>
    <w:rsid w:val="00EE5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65729"/>
  <w15:chartTrackingRefBased/>
  <w15:docId w15:val="{A5AFC771-4CFA-4EB6-8EF3-A085392B1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A49"/>
    <w:pPr>
      <w:spacing w:line="259" w:lineRule="auto"/>
    </w:pPr>
    <w:rPr>
      <w:sz w:val="22"/>
      <w:szCs w:val="22"/>
    </w:rPr>
  </w:style>
  <w:style w:type="paragraph" w:styleId="Heading1">
    <w:name w:val="heading 1"/>
    <w:basedOn w:val="Normal"/>
    <w:next w:val="Normal"/>
    <w:link w:val="Heading1Char"/>
    <w:uiPriority w:val="9"/>
    <w:qFormat/>
    <w:rsid w:val="00EE5A4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5A4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5A49"/>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5A49"/>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EE5A49"/>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EE5A49"/>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E5A49"/>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E5A49"/>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E5A49"/>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A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A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A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A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A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A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A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A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A49"/>
    <w:rPr>
      <w:rFonts w:eastAsiaTheme="majorEastAsia" w:cstheme="majorBidi"/>
      <w:color w:val="272727" w:themeColor="text1" w:themeTint="D8"/>
    </w:rPr>
  </w:style>
  <w:style w:type="paragraph" w:styleId="Title">
    <w:name w:val="Title"/>
    <w:basedOn w:val="Normal"/>
    <w:next w:val="Normal"/>
    <w:link w:val="TitleChar"/>
    <w:uiPriority w:val="10"/>
    <w:qFormat/>
    <w:rsid w:val="00EE5A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5A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A49"/>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5A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A49"/>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EE5A49"/>
    <w:rPr>
      <w:i/>
      <w:iCs/>
      <w:color w:val="404040" w:themeColor="text1" w:themeTint="BF"/>
    </w:rPr>
  </w:style>
  <w:style w:type="paragraph" w:styleId="ListParagraph">
    <w:name w:val="List Paragraph"/>
    <w:basedOn w:val="Normal"/>
    <w:uiPriority w:val="34"/>
    <w:qFormat/>
    <w:rsid w:val="00EE5A49"/>
    <w:pPr>
      <w:spacing w:line="278" w:lineRule="auto"/>
      <w:ind w:left="720"/>
      <w:contextualSpacing/>
    </w:pPr>
    <w:rPr>
      <w:sz w:val="24"/>
      <w:szCs w:val="24"/>
    </w:rPr>
  </w:style>
  <w:style w:type="character" w:styleId="IntenseEmphasis">
    <w:name w:val="Intense Emphasis"/>
    <w:basedOn w:val="DefaultParagraphFont"/>
    <w:uiPriority w:val="21"/>
    <w:qFormat/>
    <w:rsid w:val="00EE5A49"/>
    <w:rPr>
      <w:i/>
      <w:iCs/>
      <w:color w:val="0F4761" w:themeColor="accent1" w:themeShade="BF"/>
    </w:rPr>
  </w:style>
  <w:style w:type="paragraph" w:styleId="IntenseQuote">
    <w:name w:val="Intense Quote"/>
    <w:basedOn w:val="Normal"/>
    <w:next w:val="Normal"/>
    <w:link w:val="IntenseQuoteChar"/>
    <w:uiPriority w:val="30"/>
    <w:qFormat/>
    <w:rsid w:val="00EE5A4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EE5A49"/>
    <w:rPr>
      <w:i/>
      <w:iCs/>
      <w:color w:val="0F4761" w:themeColor="accent1" w:themeShade="BF"/>
    </w:rPr>
  </w:style>
  <w:style w:type="character" w:styleId="IntenseReference">
    <w:name w:val="Intense Reference"/>
    <w:basedOn w:val="DefaultParagraphFont"/>
    <w:uiPriority w:val="32"/>
    <w:qFormat/>
    <w:rsid w:val="00EE5A49"/>
    <w:rPr>
      <w:b/>
      <w:bCs/>
      <w:smallCaps/>
      <w:color w:val="0F4761" w:themeColor="accent1" w:themeShade="BF"/>
      <w:spacing w:val="5"/>
    </w:rPr>
  </w:style>
  <w:style w:type="table" w:styleId="GridTable4">
    <w:name w:val="Grid Table 4"/>
    <w:basedOn w:val="TableNormal"/>
    <w:uiPriority w:val="49"/>
    <w:rsid w:val="00EE5A49"/>
    <w:pPr>
      <w:spacing w:after="0" w:line="240" w:lineRule="auto"/>
    </w:pPr>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2228</Words>
  <Characters>12702</Characters>
  <Application>Microsoft Office Word</Application>
  <DocSecurity>0</DocSecurity>
  <Lines>105</Lines>
  <Paragraphs>29</Paragraphs>
  <ScaleCrop>false</ScaleCrop>
  <Company>Springer Nature</Company>
  <LinksUpToDate>false</LinksUpToDate>
  <CharactersWithSpaces>14901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2025-07-18T09:44:00Z</dcterms:created>
  <dcterms:modified xsi:type="dcterms:W3CDTF">2025-07-18T09:44:00Z</dcterms:modified>
</cp:coreProperties>
</file>