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996EE" w14:textId="77777777" w:rsidR="00250A3A" w:rsidRPr="00250A3A" w:rsidRDefault="00250A3A" w:rsidP="00250A3A">
      <w:pPr>
        <w:rPr>
          <w:i/>
          <w:iCs/>
          <w:lang w:val="en-GB"/>
        </w:rPr>
      </w:pPr>
      <w:r w:rsidRPr="00250A3A">
        <w:rPr>
          <w:i/>
          <w:iCs/>
          <w:lang w:val="en-GB"/>
        </w:rPr>
        <w:t>Appendix 1: The statements presented to the expert panel, response rates, research interpretations and rankings (high, medium, or low).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817"/>
        <w:gridCol w:w="1494"/>
        <w:gridCol w:w="3243"/>
        <w:gridCol w:w="1102"/>
      </w:tblGrid>
      <w:tr w:rsidR="00250A3A" w:rsidRPr="00250A3A" w14:paraId="414BB837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FE8E6" w14:textId="77777777" w:rsidR="00250A3A" w:rsidRPr="00250A3A" w:rsidRDefault="00250A3A" w:rsidP="00250A3A">
            <w:pPr>
              <w:spacing w:after="160" w:line="278" w:lineRule="auto"/>
              <w:rPr>
                <w:b/>
                <w:bCs/>
              </w:rPr>
            </w:pPr>
            <w:r w:rsidRPr="00250A3A">
              <w:rPr>
                <w:b/>
                <w:bCs/>
              </w:rPr>
              <w:t>Statement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6A17C" w14:textId="77777777" w:rsidR="00250A3A" w:rsidRPr="00250A3A" w:rsidRDefault="00250A3A" w:rsidP="00250A3A">
            <w:pPr>
              <w:spacing w:after="160" w:line="278" w:lineRule="auto"/>
              <w:rPr>
                <w:b/>
                <w:bCs/>
              </w:rPr>
            </w:pPr>
            <w:r w:rsidRPr="00250A3A">
              <w:rPr>
                <w:b/>
                <w:bCs/>
              </w:rPr>
              <w:t>Responses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DFB65" w14:textId="77777777" w:rsidR="00250A3A" w:rsidRPr="00250A3A" w:rsidRDefault="00250A3A" w:rsidP="00250A3A">
            <w:pPr>
              <w:spacing w:after="160" w:line="278" w:lineRule="auto"/>
              <w:rPr>
                <w:b/>
                <w:bCs/>
              </w:rPr>
            </w:pPr>
            <w:r w:rsidRPr="00250A3A">
              <w:rPr>
                <w:b/>
                <w:bCs/>
              </w:rPr>
              <w:t>Interpretation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23A85" w14:textId="77777777" w:rsidR="00250A3A" w:rsidRPr="00250A3A" w:rsidRDefault="00250A3A" w:rsidP="00250A3A">
            <w:pPr>
              <w:spacing w:after="160" w:line="278" w:lineRule="auto"/>
              <w:rPr>
                <w:b/>
                <w:bCs/>
              </w:rPr>
            </w:pPr>
            <w:r w:rsidRPr="00250A3A">
              <w:rPr>
                <w:b/>
                <w:bCs/>
              </w:rPr>
              <w:t xml:space="preserve">Rank </w:t>
            </w:r>
          </w:p>
        </w:tc>
      </w:tr>
      <w:tr w:rsidR="00250A3A" w:rsidRPr="00250A3A" w14:paraId="46BE6C85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6DCCA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Fuel poverty is a key driver of housing insecurity as residents who are able move to more fuel-efficient homes.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0FDD0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64% disagree</w:t>
            </w:r>
          </w:p>
          <w:p w14:paraId="3805D287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32% not sure</w:t>
            </w:r>
          </w:p>
          <w:p w14:paraId="526A6733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4% agree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5E76B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Households that experience fuel poverty do not have the means to move to fuel-efficient housing.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BD02F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Low</w:t>
            </w:r>
          </w:p>
        </w:tc>
      </w:tr>
      <w:tr w:rsidR="00250A3A" w:rsidRPr="00250A3A" w14:paraId="05C8534B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6152B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 xml:space="preserve"> The percentage of primary school children eligible for free school meals tells us about household cost-of-living difficulties in the local area.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6C6DA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50% agree</w:t>
            </w:r>
          </w:p>
          <w:p w14:paraId="66B73D75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29% not sure</w:t>
            </w:r>
          </w:p>
          <w:p w14:paraId="1EBDAE69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21% disagree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8C41D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 xml:space="preserve">Eligibility for free school meals is indicative of household cost-of-living pressures.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881CD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Medium</w:t>
            </w:r>
          </w:p>
        </w:tc>
      </w:tr>
      <w:tr w:rsidR="00250A3A" w:rsidRPr="00250A3A" w14:paraId="0375351A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01219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Black or Asian families are more likely than their White British peers to experience housing insecurity.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34F94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46% agree</w:t>
            </w:r>
          </w:p>
          <w:p w14:paraId="3780BC67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32% disagree</w:t>
            </w:r>
          </w:p>
          <w:p w14:paraId="60C89AE0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22% not sure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6CF4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 xml:space="preserve">Black or Asian households are more likely than their white peers to experience housing insecurity.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27D7E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Medium</w:t>
            </w:r>
          </w:p>
        </w:tc>
      </w:tr>
      <w:tr w:rsidR="00250A3A" w:rsidRPr="00250A3A" w14:paraId="3DD13C5E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2D041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A couple with young children who separate go on to find suitable housing as lone parents.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C3517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63% disagree</w:t>
            </w:r>
          </w:p>
          <w:p w14:paraId="4B0D8746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18.5% not sure</w:t>
            </w:r>
          </w:p>
          <w:p w14:paraId="610B730D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18.5% agree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9A5C6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Relationship breakdown, reflected in proportions of lone parent households, is strongly associated with housing insecurity, though affecting a minority of households overall.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94D90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High</w:t>
            </w:r>
          </w:p>
        </w:tc>
      </w:tr>
      <w:tr w:rsidR="00250A3A" w:rsidRPr="00250A3A" w14:paraId="717BF983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5BEB0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 xml:space="preserve">The frequencies at which properties change hands can show us those places where there </w:t>
            </w:r>
            <w:r w:rsidRPr="00250A3A">
              <w:lastRenderedPageBreak/>
              <w:t>might be housing insecurity.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125ED" w14:textId="77777777" w:rsidR="00250A3A" w:rsidRPr="00250A3A" w:rsidRDefault="00250A3A" w:rsidP="00250A3A">
            <w:pPr>
              <w:spacing w:after="160" w:line="278" w:lineRule="auto"/>
            </w:pPr>
            <w:r w:rsidRPr="00250A3A">
              <w:lastRenderedPageBreak/>
              <w:t>46% not sure</w:t>
            </w:r>
          </w:p>
          <w:p w14:paraId="21C8D396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40% agree</w:t>
            </w:r>
          </w:p>
          <w:p w14:paraId="3069D6D8" w14:textId="77777777" w:rsidR="00250A3A" w:rsidRPr="00250A3A" w:rsidRDefault="00250A3A" w:rsidP="00250A3A">
            <w:pPr>
              <w:spacing w:after="160" w:line="278" w:lineRule="auto"/>
            </w:pPr>
            <w:r w:rsidRPr="00250A3A">
              <w:lastRenderedPageBreak/>
              <w:t>14% disagree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3DC88" w14:textId="77777777" w:rsidR="00250A3A" w:rsidRPr="00250A3A" w:rsidRDefault="00250A3A" w:rsidP="00250A3A">
            <w:pPr>
              <w:spacing w:after="160" w:line="278" w:lineRule="auto"/>
            </w:pPr>
            <w:r w:rsidRPr="00250A3A">
              <w:lastRenderedPageBreak/>
              <w:t>Residential churn is indicative of housing insecurity but requires additional evidence to develop a risk index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032DB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Medium</w:t>
            </w:r>
          </w:p>
        </w:tc>
      </w:tr>
      <w:tr w:rsidR="00250A3A" w:rsidRPr="00250A3A" w14:paraId="7FF78082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FFD78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Rental properties that are over one hundred years old provide suitable housing for families.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BA735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39% disagree</w:t>
            </w:r>
          </w:p>
          <w:p w14:paraId="1B5A6217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32% agree</w:t>
            </w:r>
          </w:p>
          <w:p w14:paraId="7571CAEB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29% not sure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28CEA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The age of property might be indicative of its overall quality and suitability for families.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4A415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Low</w:t>
            </w:r>
          </w:p>
        </w:tc>
      </w:tr>
      <w:tr w:rsidR="00250A3A" w:rsidRPr="00250A3A" w14:paraId="4DA9C29D" w14:textId="77777777" w:rsidTr="00250A3A">
        <w:trPr>
          <w:trHeight w:val="300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9F4FC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Families living in rental properties often have to move residence when they don't want to.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847D4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88.5% agree</w:t>
            </w:r>
          </w:p>
          <w:p w14:paraId="2AB87984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8% not sure</w:t>
            </w:r>
          </w:p>
          <w:p w14:paraId="021A8D35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3.5% disagree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7CBF9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>Families living in private rented properties are at greatest risk overall of housing insecurity.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8DF41" w14:textId="77777777" w:rsidR="00250A3A" w:rsidRPr="00250A3A" w:rsidRDefault="00250A3A" w:rsidP="00250A3A">
            <w:pPr>
              <w:spacing w:after="160" w:line="278" w:lineRule="auto"/>
            </w:pPr>
            <w:r w:rsidRPr="00250A3A">
              <w:t xml:space="preserve">Highest </w:t>
            </w:r>
          </w:p>
        </w:tc>
      </w:tr>
    </w:tbl>
    <w:p w14:paraId="049BE093" w14:textId="77777777" w:rsidR="00250A3A" w:rsidRPr="00250A3A" w:rsidRDefault="00250A3A" w:rsidP="00250A3A">
      <w:pPr>
        <w:rPr>
          <w:b/>
          <w:bCs/>
          <w:lang w:val="en-GB"/>
        </w:rPr>
      </w:pPr>
    </w:p>
    <w:p w14:paraId="6550A7B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A3A"/>
    <w:rsid w:val="00156A6D"/>
    <w:rsid w:val="00250A3A"/>
    <w:rsid w:val="002C4453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E43CD"/>
  <w15:chartTrackingRefBased/>
  <w15:docId w15:val="{897092FD-42C3-459B-8353-41A2F8192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A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A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0A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A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0A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0A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A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A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A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A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A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0A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A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0A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0A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A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A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A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A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0A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A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0A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A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0A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A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0A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A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A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A3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0A3A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06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1702</Characters>
  <Application>Microsoft Office Word</Application>
  <DocSecurity>0</DocSecurity>
  <Lines>14</Lines>
  <Paragraphs>3</Paragraphs>
  <ScaleCrop>false</ScaleCrop>
  <Company>Springer Nature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2025-06-19T11:52:00Z</dcterms:created>
  <dcterms:modified xsi:type="dcterms:W3CDTF">2025-06-19T11:52:00Z</dcterms:modified>
</cp:coreProperties>
</file>