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2AAC" w14:textId="77777777" w:rsidR="00246D17" w:rsidRPr="00014E96" w:rsidRDefault="00246D17" w:rsidP="00246D17">
      <w:pPr>
        <w:pStyle w:val="Heading2"/>
        <w:spacing w:before="240"/>
        <w:rPr>
          <w:rFonts w:ascii="Times New Roman" w:hAnsi="Times New Roman" w:cs="Times New Roman"/>
          <w:b/>
          <w:bCs/>
          <w:color w:val="000000" w:themeColor="text1"/>
        </w:rPr>
      </w:pPr>
      <w:r w:rsidRPr="00014E96">
        <w:rPr>
          <w:rFonts w:ascii="Times New Roman" w:hAnsi="Times New Roman" w:cs="Times New Roman"/>
          <w:b/>
          <w:bCs/>
          <w:color w:val="000000" w:themeColor="text1"/>
        </w:rPr>
        <w:t>Supplement - Garrett-Larsen et. al., Reinfection with a Bacterial Pathogen Augments Heterogeneity in Host Disease Responses</w:t>
      </w:r>
    </w:p>
    <w:p w14:paraId="3F0CBECF" w14:textId="77777777" w:rsidR="00246D17" w:rsidRPr="00204067" w:rsidRDefault="00246D17" w:rsidP="00246D17">
      <w:pPr>
        <w:pStyle w:val="Heading2"/>
        <w:spacing w:before="240"/>
        <w:rPr>
          <w:rFonts w:ascii="Times New Roman" w:hAnsi="Times New Roman" w:cs="Times New Roman"/>
          <w:b/>
          <w:bCs/>
          <w:color w:val="000000" w:themeColor="text1"/>
          <w:sz w:val="28"/>
          <w:szCs w:val="28"/>
        </w:rPr>
      </w:pPr>
      <w:bookmarkStart w:id="0" w:name="_p4tl5w4h8hn6" w:colFirst="0" w:colLast="0"/>
      <w:bookmarkEnd w:id="0"/>
      <w:r w:rsidRPr="00204067">
        <w:rPr>
          <w:rFonts w:ascii="Times New Roman" w:hAnsi="Times New Roman" w:cs="Times New Roman"/>
          <w:b/>
          <w:bCs/>
          <w:color w:val="000000" w:themeColor="text1"/>
          <w:sz w:val="28"/>
          <w:szCs w:val="28"/>
        </w:rPr>
        <w:t>Supplemental Methods</w:t>
      </w:r>
    </w:p>
    <w:p w14:paraId="6700F020" w14:textId="77777777" w:rsidR="00246D17" w:rsidRPr="00246D17" w:rsidRDefault="00246D17" w:rsidP="00246D17">
      <w:pPr>
        <w:pStyle w:val="Heading3"/>
        <w:spacing w:line="240" w:lineRule="auto"/>
        <w:rPr>
          <w:rFonts w:ascii="Times New Roman" w:hAnsi="Times New Roman" w:cs="Times New Roman"/>
          <w:b/>
          <w:bCs/>
          <w:color w:val="000000" w:themeColor="text1"/>
          <w:sz w:val="24"/>
          <w:szCs w:val="24"/>
        </w:rPr>
      </w:pPr>
      <w:bookmarkStart w:id="1" w:name="_hvzizksd0n7t" w:colFirst="0" w:colLast="0"/>
      <w:bookmarkEnd w:id="1"/>
      <w:r w:rsidRPr="00246D17">
        <w:rPr>
          <w:rFonts w:ascii="Times New Roman" w:hAnsi="Times New Roman" w:cs="Times New Roman"/>
          <w:b/>
          <w:bCs/>
          <w:color w:val="000000" w:themeColor="text1"/>
          <w:sz w:val="24"/>
          <w:szCs w:val="24"/>
        </w:rPr>
        <w:t>Field capture &amp; quarantine</w:t>
      </w:r>
    </w:p>
    <w:p w14:paraId="33CBFB8B" w14:textId="7A9A807D" w:rsidR="00246D17" w:rsidRPr="00204067" w:rsidRDefault="00246D17" w:rsidP="00204067">
      <w:pPr>
        <w:spacing w:line="36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May to August 2023, 157 wild house finches were caught in Montgomery County, VA using wire cage traps and mist nets at baited feeders. Only hatch year (juvenile) birds without clinical signs of </w:t>
      </w:r>
      <w:proofErr w:type="spellStart"/>
      <w:r>
        <w:rPr>
          <w:rFonts w:ascii="Times New Roman" w:eastAsia="Times New Roman" w:hAnsi="Times New Roman" w:cs="Times New Roman"/>
          <w:sz w:val="24"/>
          <w:szCs w:val="24"/>
        </w:rPr>
        <w:t>Mycoplasmal</w:t>
      </w:r>
      <w:proofErr w:type="spellEnd"/>
      <w:r>
        <w:rPr>
          <w:rFonts w:ascii="Times New Roman" w:eastAsia="Times New Roman" w:hAnsi="Times New Roman" w:cs="Times New Roman"/>
          <w:sz w:val="24"/>
          <w:szCs w:val="24"/>
        </w:rPr>
        <w:t xml:space="preserve"> conjunctivitis were retained. Birds were pair-housed in indoor cages (46 x 76 x 46 cm) in rooms set to a 12L:12D light cycle and monitored for clinical signs of MG infection (i.e., conjunctivitis) for three weeks upon intake. In the third week of quarantine, blood plasma was collected from the brachial vein to confirm </w:t>
      </w:r>
      <w:proofErr w:type="spellStart"/>
      <w:r>
        <w:rPr>
          <w:rFonts w:ascii="Times New Roman" w:eastAsia="Times New Roman" w:hAnsi="Times New Roman" w:cs="Times New Roman"/>
          <w:sz w:val="24"/>
          <w:szCs w:val="24"/>
        </w:rPr>
        <w:t>seronegativity</w:t>
      </w:r>
      <w:proofErr w:type="spellEnd"/>
      <w:r>
        <w:rPr>
          <w:rFonts w:ascii="Times New Roman" w:eastAsia="Times New Roman" w:hAnsi="Times New Roman" w:cs="Times New Roman"/>
          <w:sz w:val="24"/>
          <w:szCs w:val="24"/>
        </w:rPr>
        <w:t xml:space="preserve"> for MG </w:t>
      </w:r>
      <w:proofErr w:type="spellStart"/>
      <w:r>
        <w:rPr>
          <w:rFonts w:ascii="Times New Roman" w:eastAsia="Times New Roman" w:hAnsi="Times New Roman" w:cs="Times New Roman"/>
          <w:sz w:val="24"/>
          <w:szCs w:val="24"/>
        </w:rPr>
        <w:t>IgY</w:t>
      </w:r>
      <w:proofErr w:type="spellEnd"/>
      <w:r>
        <w:rPr>
          <w:rFonts w:ascii="Times New Roman" w:eastAsia="Times New Roman" w:hAnsi="Times New Roman" w:cs="Times New Roman"/>
          <w:sz w:val="24"/>
          <w:szCs w:val="24"/>
        </w:rPr>
        <w:t xml:space="preserve"> antibodies using a commercial ELISA kit (described in methods). To ensure all birds were pathogen-naive, any bird that developed pathology during their quarantine, had an infected </w:t>
      </w:r>
      <w:proofErr w:type="spellStart"/>
      <w:r>
        <w:rPr>
          <w:rFonts w:ascii="Times New Roman" w:eastAsia="Times New Roman" w:hAnsi="Times New Roman" w:cs="Times New Roman"/>
          <w:sz w:val="24"/>
          <w:szCs w:val="24"/>
        </w:rPr>
        <w:t>cagemate</w:t>
      </w:r>
      <w:proofErr w:type="spellEnd"/>
      <w:r>
        <w:rPr>
          <w:rFonts w:ascii="Times New Roman" w:eastAsia="Times New Roman" w:hAnsi="Times New Roman" w:cs="Times New Roman"/>
          <w:sz w:val="24"/>
          <w:szCs w:val="24"/>
        </w:rPr>
        <w:t xml:space="preserve">, or was seropositive for MG </w:t>
      </w:r>
      <w:proofErr w:type="spellStart"/>
      <w:r>
        <w:rPr>
          <w:rFonts w:ascii="Times New Roman" w:eastAsia="Times New Roman" w:hAnsi="Times New Roman" w:cs="Times New Roman"/>
          <w:sz w:val="24"/>
          <w:szCs w:val="24"/>
        </w:rPr>
        <w:t>IgY</w:t>
      </w:r>
      <w:proofErr w:type="spellEnd"/>
      <w:r>
        <w:rPr>
          <w:rFonts w:ascii="Times New Roman" w:eastAsia="Times New Roman" w:hAnsi="Times New Roman" w:cs="Times New Roman"/>
          <w:sz w:val="24"/>
          <w:szCs w:val="24"/>
        </w:rPr>
        <w:t xml:space="preserve"> antibodies, was excluded from the study. </w:t>
      </w:r>
      <w:bookmarkStart w:id="2" w:name="_7u06d3ngu7g6" w:colFirst="0" w:colLast="0"/>
      <w:bookmarkEnd w:id="2"/>
    </w:p>
    <w:p w14:paraId="337DE2CE" w14:textId="77777777" w:rsidR="00246D17" w:rsidRPr="00246D17" w:rsidRDefault="00246D17" w:rsidP="00246D17">
      <w:pPr>
        <w:pStyle w:val="Heading3"/>
        <w:rPr>
          <w:rFonts w:ascii="Times New Roman" w:hAnsi="Times New Roman" w:cs="Times New Roman"/>
          <w:b/>
          <w:bCs/>
          <w:color w:val="000000" w:themeColor="text1"/>
          <w:sz w:val="24"/>
          <w:szCs w:val="24"/>
        </w:rPr>
      </w:pPr>
      <w:bookmarkStart w:id="3" w:name="_qn8by3vftq66" w:colFirst="0" w:colLast="0"/>
      <w:bookmarkEnd w:id="3"/>
      <w:r w:rsidRPr="00246D17">
        <w:rPr>
          <w:rFonts w:ascii="Times New Roman" w:hAnsi="Times New Roman" w:cs="Times New Roman"/>
          <w:b/>
          <w:bCs/>
          <w:color w:val="000000" w:themeColor="text1"/>
          <w:sz w:val="24"/>
          <w:szCs w:val="24"/>
        </w:rPr>
        <w:t>Sample Sizes</w:t>
      </w:r>
    </w:p>
    <w:p w14:paraId="06D99A9B" w14:textId="0E4BE571" w:rsidR="00CE0681" w:rsidRDefault="00246D17" w:rsidP="00246D1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157 wild-caught birds, 11 were excluded from some or all analyses: One died of unknown causes before the completion of the experiment and another was </w:t>
      </w:r>
      <w:r w:rsidR="00CE0681">
        <w:rPr>
          <w:rFonts w:ascii="Times New Roman" w:eastAsia="Times New Roman" w:hAnsi="Times New Roman" w:cs="Times New Roman"/>
          <w:sz w:val="24"/>
          <w:szCs w:val="24"/>
        </w:rPr>
        <w:t xml:space="preserve">later </w:t>
      </w:r>
      <w:r>
        <w:rPr>
          <w:rFonts w:ascii="Times New Roman" w:eastAsia="Times New Roman" w:hAnsi="Times New Roman" w:cs="Times New Roman"/>
          <w:sz w:val="24"/>
          <w:szCs w:val="24"/>
        </w:rPr>
        <w:t xml:space="preserve">determined to be seropositive </w:t>
      </w:r>
      <w:r w:rsidR="00CE0681">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 xml:space="preserve">prior to the start of the experiment, and these were excluded from all analyses. Following primary challenge, birds were considered unrecovered if their </w:t>
      </w:r>
      <w:proofErr w:type="spellStart"/>
      <w:r>
        <w:rPr>
          <w:rFonts w:ascii="Times New Roman" w:eastAsia="Times New Roman" w:hAnsi="Times New Roman" w:cs="Times New Roman"/>
          <w:sz w:val="24"/>
          <w:szCs w:val="24"/>
        </w:rPr>
        <w:t>eyeswab</w:t>
      </w:r>
      <w:proofErr w:type="spellEnd"/>
      <w:r>
        <w:rPr>
          <w:rFonts w:ascii="Times New Roman" w:eastAsia="Times New Roman" w:hAnsi="Times New Roman" w:cs="Times New Roman"/>
          <w:sz w:val="24"/>
          <w:szCs w:val="24"/>
        </w:rPr>
        <w:t xml:space="preserve"> had a pathogen load greater than 50 copies in a qPCR assay on DPPI </w:t>
      </w:r>
      <w:r w:rsidR="00747ADE">
        <w:rPr>
          <w:rFonts w:ascii="Times New Roman" w:eastAsia="Times New Roman" w:hAnsi="Times New Roman" w:cs="Times New Roman"/>
          <w:sz w:val="24"/>
          <w:szCs w:val="24"/>
        </w:rPr>
        <w:t>[days post</w:t>
      </w:r>
      <w:r w:rsidR="00747ADE">
        <w:rPr>
          <w:rFonts w:ascii="Times New Roman" w:eastAsia="Times New Roman" w:hAnsi="Times New Roman" w:cs="Times New Roman"/>
          <w:sz w:val="24"/>
          <w:szCs w:val="24"/>
        </w:rPr>
        <w:t xml:space="preserve">-priming </w:t>
      </w:r>
      <w:r w:rsidR="00747ADE">
        <w:rPr>
          <w:rFonts w:ascii="Times New Roman" w:eastAsia="Times New Roman" w:hAnsi="Times New Roman" w:cs="Times New Roman"/>
          <w:sz w:val="24"/>
          <w:szCs w:val="24"/>
        </w:rPr>
        <w:t xml:space="preserve">inoculation] </w:t>
      </w:r>
      <w:r>
        <w:rPr>
          <w:rFonts w:ascii="Times New Roman" w:eastAsia="Times New Roman" w:hAnsi="Times New Roman" w:cs="Times New Roman"/>
          <w:sz w:val="24"/>
          <w:szCs w:val="24"/>
        </w:rPr>
        <w:t>41</w:t>
      </w:r>
      <w:r w:rsidR="003C106C">
        <w:rPr>
          <w:rFonts w:ascii="Times New Roman" w:eastAsia="Times New Roman" w:hAnsi="Times New Roman" w:cs="Times New Roman"/>
          <w:sz w:val="24"/>
          <w:szCs w:val="24"/>
        </w:rPr>
        <w:t xml:space="preserve"> </w:t>
      </w:r>
      <w:r>
        <w:fldChar w:fldCharType="begin"/>
      </w:r>
      <w:r w:rsidR="003C106C">
        <w:instrText xml:space="preserve"> ADDIN ZOTERO_ITEM CSL_CITATION {"citationID":"pPUufR3Y","properties":{"formattedCitation":"[1]","plainCitation":"[1]","noteIndex":0},"citationItems":[{"id":5116,"uris":["http://zotero.org/users/8408114/items/NRZUL6DZ"],"itemData":{"id":5116,"type":"article-journal","abstract":"Pathogen epidemics are key threats to human and wildlife health. Across systems, host protection from pathogens following initial exposure is often incomplete, resulting in recurrent epidemics through partially-immune hosts. Variation in population-level protection has important consequences for epidemic dynamics, but how acquired protection influences inter-individual heterogeneity in susceptibility and its epidemiological consequences remains understudied. We experimentally investigated whether prior exposure (none, low-dose, or high-dose) to a bacterial pathogen alters host heterogeneity in susceptibility among songbirds. Hosts with no prior pathogen exposure had little variation in protection, but heterogeneity in susceptibility was significantly augmented by prior pathogen exposure, with the highest variability detected in hosts given high-dose prior exposure. An epidemiological model parameterized with experimental data found that heterogeneity in susceptibility from prior exposure more than halved epidemic sizes compared with a homogeneous population with identical mean protection. However, because infection-induced mortality was also greatly reduced in hosts with prior pathogen exposure, reductions in epidemic size were smaller than expected in hosts with prior exposure. These results highlight the importance of variable protection from prior exposure and/or vaccination in driving population-level heterogeneity and epidemiological dynamics.","container-title":"PLOS Pathogens","DOI":"10.1371/journal.ppat.1012092","ISSN":"1553-7374","issue":"9","journalAbbreviation":"PLOS Pathogens","language":"en","note":"publisher: Public Library of Science","page":"e1012092","source":"PLoS Journals","title":"Prior exposure to pathogens augments host heterogeneity in susceptibility and has key epidemiological consequences","volume":"20","author":[{"family":"Hawley","given":"Dana M."},{"family":"Pérez-Umphrey","given":"Anna A."},{"family":"Adelman","given":"James S."},{"family":"Fleming-Davies","given":"Arietta E."},{"family":"Garrett-Larsen","given":"Jesse"},{"family":"Geary","given":"Steven J."},{"family":"Childs","given":"Lauren M."},{"family":"Langwig","given":"Kate E."}],"issued":{"date-parts":[["2024",9,4]]}}}],"schema":"https://github.com/citation-style-language/schema/raw/master/csl-citation.json"} </w:instrText>
      </w:r>
      <w:r>
        <w:fldChar w:fldCharType="separate"/>
      </w:r>
      <w:r w:rsidR="003C106C">
        <w:rPr>
          <w:rFonts w:eastAsiaTheme="minorHAnsi"/>
          <w:szCs w:val="24"/>
          <w:lang w:val="en-US"/>
          <w14:ligatures w14:val="standardContextual"/>
        </w:rPr>
        <w:t>[1]</w:t>
      </w:r>
      <w:r>
        <w:fldChar w:fldCharType="end"/>
      </w:r>
      <w:r>
        <w:rPr>
          <w:rFonts w:ascii="Times New Roman" w:eastAsia="Times New Roman" w:hAnsi="Times New Roman" w:cs="Times New Roman"/>
          <w:sz w:val="24"/>
          <w:szCs w:val="24"/>
        </w:rPr>
        <w:t xml:space="preserve">. Four birds (three that received a high primary </w:t>
      </w:r>
      <w:r w:rsidR="00CE0681">
        <w:rPr>
          <w:rFonts w:ascii="Times New Roman" w:eastAsia="Times New Roman" w:hAnsi="Times New Roman" w:cs="Times New Roman"/>
          <w:sz w:val="24"/>
          <w:szCs w:val="24"/>
        </w:rPr>
        <w:t xml:space="preserve">dose </w:t>
      </w:r>
      <w:r>
        <w:rPr>
          <w:rFonts w:ascii="Times New Roman" w:eastAsia="Times New Roman" w:hAnsi="Times New Roman" w:cs="Times New Roman"/>
          <w:sz w:val="24"/>
          <w:szCs w:val="24"/>
        </w:rPr>
        <w:t>treatment, and one low</w:t>
      </w:r>
      <w:r w:rsidR="00CE0681">
        <w:rPr>
          <w:rFonts w:ascii="Times New Roman" w:eastAsia="Times New Roman" w:hAnsi="Times New Roman" w:cs="Times New Roman"/>
          <w:sz w:val="24"/>
          <w:szCs w:val="24"/>
        </w:rPr>
        <w:t xml:space="preserve"> primary dose</w:t>
      </w:r>
      <w:r>
        <w:rPr>
          <w:rFonts w:ascii="Times New Roman" w:eastAsia="Times New Roman" w:hAnsi="Times New Roman" w:cs="Times New Roman"/>
          <w:sz w:val="24"/>
          <w:szCs w:val="24"/>
        </w:rPr>
        <w:t>) met these criteria directly before reinfection and were excluded from secondary challenge analyses</w:t>
      </w:r>
      <w:r w:rsidR="00CE0681">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w:t>
      </w:r>
      <w:r w:rsidR="00CE0681">
        <w:rPr>
          <w:rFonts w:ascii="Times New Roman" w:eastAsia="Times New Roman" w:hAnsi="Times New Roman" w:cs="Times New Roman"/>
          <w:sz w:val="24"/>
          <w:szCs w:val="24"/>
        </w:rPr>
        <w:t xml:space="preserve">these four birds </w:t>
      </w:r>
      <w:r>
        <w:rPr>
          <w:rFonts w:ascii="Times New Roman" w:eastAsia="Times New Roman" w:hAnsi="Times New Roman" w:cs="Times New Roman"/>
          <w:sz w:val="24"/>
          <w:szCs w:val="24"/>
        </w:rPr>
        <w:t xml:space="preserve">were retained for analyses of </w:t>
      </w:r>
      <w:r w:rsidR="00CE0681">
        <w:rPr>
          <w:rFonts w:ascii="Times New Roman" w:eastAsia="Times New Roman" w:hAnsi="Times New Roman" w:cs="Times New Roman"/>
          <w:sz w:val="24"/>
          <w:szCs w:val="24"/>
        </w:rPr>
        <w:t xml:space="preserve">mean and variation in </w:t>
      </w:r>
      <w:r>
        <w:rPr>
          <w:rFonts w:ascii="Times New Roman" w:eastAsia="Times New Roman" w:hAnsi="Times New Roman" w:cs="Times New Roman"/>
          <w:sz w:val="24"/>
          <w:szCs w:val="24"/>
        </w:rPr>
        <w:t xml:space="preserve">antibody levels, </w:t>
      </w:r>
      <w:r w:rsidR="00CE0681">
        <w:rPr>
          <w:rFonts w:ascii="Times New Roman" w:eastAsia="Times New Roman" w:hAnsi="Times New Roman" w:cs="Times New Roman"/>
          <w:sz w:val="24"/>
          <w:szCs w:val="24"/>
        </w:rPr>
        <w:t xml:space="preserve">because the </w:t>
      </w:r>
      <w:r>
        <w:rPr>
          <w:rFonts w:ascii="Times New Roman" w:eastAsia="Times New Roman" w:hAnsi="Times New Roman" w:cs="Times New Roman"/>
          <w:sz w:val="24"/>
          <w:szCs w:val="24"/>
        </w:rPr>
        <w:t>data</w:t>
      </w:r>
      <w:r w:rsidR="00CE0681">
        <w:rPr>
          <w:rFonts w:ascii="Times New Roman" w:eastAsia="Times New Roman" w:hAnsi="Times New Roman" w:cs="Times New Roman"/>
          <w:sz w:val="24"/>
          <w:szCs w:val="24"/>
        </w:rPr>
        <w:t xml:space="preserve"> for these analyses</w:t>
      </w:r>
      <w:r>
        <w:rPr>
          <w:rFonts w:ascii="Times New Roman" w:eastAsia="Times New Roman" w:hAnsi="Times New Roman" w:cs="Times New Roman"/>
          <w:sz w:val="24"/>
          <w:szCs w:val="24"/>
        </w:rPr>
        <w:t xml:space="preserve"> were collected in response to primary treatment and are </w:t>
      </w:r>
      <w:r w:rsidR="00CE0681">
        <w:rPr>
          <w:rFonts w:ascii="Times New Roman" w:eastAsia="Times New Roman" w:hAnsi="Times New Roman" w:cs="Times New Roman"/>
          <w:sz w:val="24"/>
          <w:szCs w:val="24"/>
        </w:rPr>
        <w:t xml:space="preserve">thus </w:t>
      </w:r>
      <w:r>
        <w:rPr>
          <w:rFonts w:ascii="Times New Roman" w:eastAsia="Times New Roman" w:hAnsi="Times New Roman" w:cs="Times New Roman"/>
          <w:sz w:val="24"/>
          <w:szCs w:val="24"/>
        </w:rPr>
        <w:t xml:space="preserve">unaffected by residual infection prior to secondary treatment. </w:t>
      </w:r>
    </w:p>
    <w:p w14:paraId="734E056A" w14:textId="147F350F" w:rsidR="00246D17" w:rsidRDefault="00CE0681" w:rsidP="00246D1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Five s</w:t>
      </w:r>
      <w:r w:rsidR="00246D17">
        <w:rPr>
          <w:rFonts w:ascii="Times New Roman" w:eastAsia="Times New Roman" w:hAnsi="Times New Roman" w:cs="Times New Roman"/>
          <w:sz w:val="24"/>
          <w:szCs w:val="24"/>
        </w:rPr>
        <w:t>ham-inoculated birds (5/51)</w:t>
      </w:r>
      <w:r>
        <w:rPr>
          <w:rFonts w:ascii="Times New Roman" w:eastAsia="Times New Roman" w:hAnsi="Times New Roman" w:cs="Times New Roman"/>
          <w:sz w:val="24"/>
          <w:szCs w:val="24"/>
        </w:rPr>
        <w:t>, which were never exposed to MG,</w:t>
      </w:r>
      <w:r w:rsidR="00246D17">
        <w:rPr>
          <w:rFonts w:ascii="Times New Roman" w:eastAsia="Times New Roman" w:hAnsi="Times New Roman" w:cs="Times New Roman"/>
          <w:sz w:val="24"/>
          <w:szCs w:val="24"/>
        </w:rPr>
        <w:t xml:space="preserve"> were conservatively excluded from all analyses </w:t>
      </w:r>
      <w:r>
        <w:rPr>
          <w:rFonts w:ascii="Times New Roman" w:eastAsia="Times New Roman" w:hAnsi="Times New Roman" w:cs="Times New Roman"/>
          <w:sz w:val="24"/>
          <w:szCs w:val="24"/>
        </w:rPr>
        <w:t xml:space="preserve">for one of the following two reasons: 1) for 2 birds: they were given a low </w:t>
      </w:r>
      <w:proofErr w:type="spellStart"/>
      <w:r>
        <w:rPr>
          <w:rFonts w:ascii="Times New Roman" w:eastAsia="Times New Roman" w:hAnsi="Times New Roman" w:cs="Times New Roman"/>
          <w:sz w:val="24"/>
          <w:szCs w:val="24"/>
        </w:rPr>
        <w:t>eyescore</w:t>
      </w:r>
      <w:proofErr w:type="spellEnd"/>
      <w:r>
        <w:rPr>
          <w:rFonts w:ascii="Times New Roman" w:eastAsia="Times New Roman" w:hAnsi="Times New Roman" w:cs="Times New Roman"/>
          <w:sz w:val="24"/>
          <w:szCs w:val="24"/>
        </w:rPr>
        <w:t xml:space="preserve"> (0.5) on a single day, but it was the only pathology reported for a bird, and there was no other indication of infection (i.e., all of that bird’s swab samples were qPCR negative).</w:t>
      </w:r>
      <w:r w:rsidR="00246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For </w:t>
      </w:r>
      <w:r w:rsidR="00747ADE">
        <w:rPr>
          <w:rFonts w:ascii="Times New Roman" w:eastAsia="Times New Roman" w:hAnsi="Times New Roman" w:cs="Times New Roman"/>
          <w:sz w:val="24"/>
          <w:szCs w:val="24"/>
        </w:rPr>
        <w:t xml:space="preserve">three </w:t>
      </w:r>
      <w:r>
        <w:rPr>
          <w:rFonts w:ascii="Times New Roman" w:eastAsia="Times New Roman" w:hAnsi="Times New Roman" w:cs="Times New Roman"/>
          <w:sz w:val="24"/>
          <w:szCs w:val="24"/>
        </w:rPr>
        <w:t xml:space="preserve">birds: they </w:t>
      </w:r>
      <w:r w:rsidR="00246D17">
        <w:rPr>
          <w:rFonts w:ascii="Times New Roman" w:eastAsia="Times New Roman" w:hAnsi="Times New Roman" w:cs="Times New Roman"/>
          <w:sz w:val="24"/>
          <w:szCs w:val="24"/>
        </w:rPr>
        <w:t xml:space="preserve">had positive, low </w:t>
      </w:r>
      <w:proofErr w:type="spellStart"/>
      <w:r w:rsidR="00246D17">
        <w:rPr>
          <w:rFonts w:ascii="Times New Roman" w:eastAsia="Times New Roman" w:hAnsi="Times New Roman" w:cs="Times New Roman"/>
          <w:sz w:val="24"/>
          <w:szCs w:val="24"/>
        </w:rPr>
        <w:t>eyeswab</w:t>
      </w:r>
      <w:proofErr w:type="spellEnd"/>
      <w:r w:rsidR="00246D17">
        <w:rPr>
          <w:rFonts w:ascii="Times New Roman" w:eastAsia="Times New Roman" w:hAnsi="Times New Roman" w:cs="Times New Roman"/>
          <w:sz w:val="24"/>
          <w:szCs w:val="24"/>
        </w:rPr>
        <w:t xml:space="preserve"> samples on one day of the </w:t>
      </w:r>
      <w:r w:rsidR="00246D17">
        <w:rPr>
          <w:rFonts w:ascii="Times New Roman" w:eastAsia="Times New Roman" w:hAnsi="Times New Roman" w:cs="Times New Roman"/>
          <w:sz w:val="24"/>
          <w:szCs w:val="24"/>
        </w:rPr>
        <w:lastRenderedPageBreak/>
        <w:t xml:space="preserve">primary inoculation, which was likely due to contamination at some point during the sample’s collection or processing. </w:t>
      </w:r>
    </w:p>
    <w:p w14:paraId="17C105EC" w14:textId="0A13AD30" w:rsidR="00246D17" w:rsidRPr="00204067" w:rsidRDefault="00246D17" w:rsidP="0020406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 sample sizes were n=150 for all analyses of eye score and pathogen load primary infection and n=146 for all analyses of reinfection (i.e., antibody analyses). Fifteen plasma samples were lost from DPPI 14 and one from DPPI 41 sampling, resulting in reduced sample sizes for antibody analyses. Of the fifteen samples lost from DPPI 14, fourteen were sham inoculated and one was inoculated with a low dose. The one plasma sample lost from DPPI 41 was from a bird inoculated with a low dose. Because GLMMs were performed separately for individual sampling days, individuals with missing samples were retained in antibody analyses on days on which they did have samples, resulting in variable sample sizes (Table S4). Complete removal of individuals with missing plasma samples from all antibody analyses did not meaningfully change effect sizes, significance, means, or variability metrics (Table S5). </w:t>
      </w:r>
      <w:bookmarkStart w:id="4" w:name="_tjaat75jhxk0" w:colFirst="0" w:colLast="0"/>
      <w:bookmarkEnd w:id="4"/>
    </w:p>
    <w:p w14:paraId="630CF9A9" w14:textId="77777777" w:rsidR="00246D17" w:rsidRPr="00246D17" w:rsidRDefault="00246D17" w:rsidP="00246D17">
      <w:pPr>
        <w:pStyle w:val="Heading3"/>
        <w:rPr>
          <w:rFonts w:ascii="Times New Roman" w:hAnsi="Times New Roman" w:cs="Times New Roman"/>
          <w:b/>
          <w:bCs/>
          <w:color w:val="000000" w:themeColor="text1"/>
          <w:sz w:val="24"/>
          <w:szCs w:val="24"/>
        </w:rPr>
      </w:pPr>
      <w:bookmarkStart w:id="5" w:name="_cqad5pfg01v8" w:colFirst="0" w:colLast="0"/>
      <w:bookmarkEnd w:id="5"/>
      <w:r w:rsidRPr="00246D17">
        <w:rPr>
          <w:rFonts w:ascii="Times New Roman" w:hAnsi="Times New Roman" w:cs="Times New Roman"/>
          <w:b/>
          <w:bCs/>
          <w:color w:val="000000" w:themeColor="text1"/>
          <w:sz w:val="24"/>
          <w:szCs w:val="24"/>
        </w:rPr>
        <w:t>Experimental timeline &amp; inoculations</w:t>
      </w:r>
    </w:p>
    <w:p w14:paraId="03D2BAD0" w14:textId="77777777" w:rsidR="00246D17" w:rsidRPr="00246D17" w:rsidRDefault="00246D17" w:rsidP="00246D17">
      <w:pPr>
        <w:spacing w:line="360" w:lineRule="auto"/>
        <w:rPr>
          <w:rFonts w:ascii="Times New Roman" w:eastAsia="Times New Roman" w:hAnsi="Times New Roman" w:cs="Times New Roman"/>
          <w:i/>
          <w:sz w:val="24"/>
          <w:szCs w:val="24"/>
        </w:rPr>
      </w:pPr>
      <w:r w:rsidRPr="00246D17">
        <w:rPr>
          <w:rFonts w:ascii="Times New Roman" w:eastAsia="Times New Roman" w:hAnsi="Times New Roman" w:cs="Times New Roman"/>
          <w:i/>
          <w:sz w:val="24"/>
          <w:szCs w:val="24"/>
        </w:rPr>
        <w:t>Primary exposure</w:t>
      </w:r>
    </w:p>
    <w:p w14:paraId="46557F0D" w14:textId="02418F57" w:rsidR="00246D17" w:rsidRDefault="00246D17" w:rsidP="00246D17">
      <w:pPr>
        <w:spacing w:line="36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weeks prior to the start of the experiment, birds were moved into clean (46 x 76 x 46 cm) cages and single-housed within the same facility where they were quarantined (Supplemental - Methods). Baseline plasma and </w:t>
      </w:r>
      <w:proofErr w:type="spellStart"/>
      <w:r>
        <w:rPr>
          <w:rFonts w:ascii="Times New Roman" w:eastAsia="Times New Roman" w:hAnsi="Times New Roman" w:cs="Times New Roman"/>
          <w:sz w:val="24"/>
          <w:szCs w:val="24"/>
        </w:rPr>
        <w:t>eyeswab</w:t>
      </w:r>
      <w:proofErr w:type="spellEnd"/>
      <w:r>
        <w:rPr>
          <w:rFonts w:ascii="Times New Roman" w:eastAsia="Times New Roman" w:hAnsi="Times New Roman" w:cs="Times New Roman"/>
          <w:sz w:val="24"/>
          <w:szCs w:val="24"/>
        </w:rPr>
        <w:t xml:space="preserve"> samples were collected (described below) one week prior to when primary inoculations were administered (Experimental Timeline - Table S2). To create a gradient of prior exposure, birds were inoculated via ocular absorption with 70 µL (35 µl per eye) of a solution of MG suspended in Frey’s media. Birds received one of three primary treatments: sham</w:t>
      </w:r>
      <w:r w:rsidR="00067426">
        <w:rPr>
          <w:rFonts w:ascii="Times New Roman" w:eastAsia="Times New Roman" w:hAnsi="Times New Roman" w:cs="Times New Roman"/>
          <w:sz w:val="24"/>
          <w:szCs w:val="24"/>
        </w:rPr>
        <w:t xml:space="preserve"> control</w:t>
      </w:r>
      <w:r>
        <w:rPr>
          <w:rFonts w:ascii="Times New Roman" w:eastAsia="Times New Roman" w:hAnsi="Times New Roman" w:cs="Times New Roman"/>
          <w:sz w:val="24"/>
          <w:szCs w:val="24"/>
        </w:rPr>
        <w:t xml:space="preserve"> [0.0 CCU/mL; sterile Frey’s media]; low dose [7.5 x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CCU/mL]; or high dose [3.0 x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CCU/mL] (Fig</w:t>
      </w:r>
      <w:r w:rsidR="003B3A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The MG strain used was the original index isolate, VA1994 </w:t>
      </w:r>
      <w:r w:rsidR="00747ADE">
        <w:rPr>
          <w:rFonts w:ascii="Times New Roman" w:eastAsia="Times New Roman" w:hAnsi="Times New Roman" w:cs="Times New Roman"/>
          <w:sz w:val="24"/>
          <w:szCs w:val="24"/>
        </w:rPr>
        <w:fldChar w:fldCharType="begin"/>
      </w:r>
      <w:r w:rsidR="00747ADE">
        <w:rPr>
          <w:rFonts w:ascii="Times New Roman" w:eastAsia="Times New Roman" w:hAnsi="Times New Roman" w:cs="Times New Roman"/>
          <w:sz w:val="24"/>
          <w:szCs w:val="24"/>
        </w:rPr>
        <w:instrText xml:space="preserve"> ADDIN ZOTERO_ITEM CSL_CITATION {"citationID":"zr3iIwAk","properties":{"unsorted":false,"formattedCitation":"[2]","plainCitation":"[2]","noteIndex":0},"citationItems":[{"id":160,"uris":["http://zotero.org/users/8408114/items/MYQNVH35"],"itemData":{"id":160,"type":"article-journal","abstract":"An epornitic of conjunctivitis in free-flying house finches (Carpodacus mexicanus) occurred in several mid-Atlantic and eastern states of the USA in 1994. Clinical signs and gross lesions ranged from mild to severe unilateral or bilateral conjunctival swelling with serous to mucopurulent drainage and nasal exudate. Microscopic lesions consisted of chronic lymphoplasmacytic conjunctivitis, rhinitis, and sinusitis. Notably slow-growing mycoplasmas were isolated from conjunctival and/or infraorbital sinus swabs from clinically affected birds. Isolates were identified as Mycoplasma gallisepticum (MG) by direct immunofluorescence and DNA probe-based polymerase chain reactions. These findings suggest that MG is the likely etiology for this epornitic of conjunctivitis in house finches. /// Se presentó una epizootia de conjuntivitis en pinzones caseros (Carpodacus mexicanus) en varios estados de Estados Unidos en el año 1994. Los signos clínicos y las lesiones macroscópicas incluyeron la inflamación conjuntival uni o bilateral, variando de leve a severa, con presencia de exudado seroso o mucopurulento ocular y nasal. Se aislaron micoplasmas de lento crecimiento a partir de hisopos de la conjuntiva y del seno infraorbital de las aves clínicamente afectadas. Las cepas fueron identificadas como Mycoplasma gallisepticum (MG) por inmunofluorescencia directa y mediante la reacción en cadena por la polimerasa con sondas de DNA. Estos resultados sugieren que el MG fue el agente etiológico de esta epizootia en pinzones caseros.","container-title":"Avian Diseases","DOI":"10.2307/1592250","ISSN":"0005-2086","issue":"2","note":"publisher: [American Association of Avian Pathologists, Allen Press]","page":"480-483","source":"JSTOR","title":"Mycoplasma gallisepticum Isolated from House Finches (Carpodacus mexicanus) with Conjunctivitis","volume":"40","author":[{"family":"Ley","given":"David H."},{"family":"Berkhoff","given":"J. Edward"},{"family":"McLaren","given":"Judith M."}],"issued":{"date-parts":[["1996"]]}},"locator":null,"label":null,"suppress-author":null,"prefix":null,"suffix":null}],"schema":"https://github.com/citation-style-language/schema/raw/master/csl-citation.json"} </w:instrText>
      </w:r>
      <w:r w:rsidR="00747ADE">
        <w:rPr>
          <w:rFonts w:ascii="Times New Roman" w:eastAsia="Times New Roman" w:hAnsi="Times New Roman" w:cs="Times New Roman"/>
          <w:sz w:val="24"/>
          <w:szCs w:val="24"/>
        </w:rPr>
        <w:fldChar w:fldCharType="separate"/>
      </w:r>
      <w:r w:rsidR="00747ADE">
        <w:rPr>
          <w:rFonts w:ascii="Times New Roman" w:eastAsia="Times New Roman" w:hAnsi="Times New Roman" w:cs="Times New Roman"/>
          <w:noProof/>
          <w:sz w:val="24"/>
          <w:szCs w:val="24"/>
        </w:rPr>
        <w:t>[2]</w:t>
      </w:r>
      <w:r w:rsidR="00747AD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Beginning one week (DPPI 7) after the inoculations, samples and data were collected weekly until DPPI 41. Measurements of pathology (</w:t>
      </w:r>
      <w:proofErr w:type="spellStart"/>
      <w:r>
        <w:rPr>
          <w:rFonts w:ascii="Times New Roman" w:eastAsia="Times New Roman" w:hAnsi="Times New Roman" w:cs="Times New Roman"/>
          <w:sz w:val="24"/>
          <w:szCs w:val="24"/>
        </w:rPr>
        <w:t>eyescores</w:t>
      </w:r>
      <w:proofErr w:type="spellEnd"/>
      <w:r>
        <w:rPr>
          <w:rFonts w:ascii="Times New Roman" w:eastAsia="Times New Roman" w:hAnsi="Times New Roman" w:cs="Times New Roman"/>
          <w:sz w:val="24"/>
          <w:szCs w:val="24"/>
        </w:rPr>
        <w:t>), pathogen load (</w:t>
      </w:r>
      <w:proofErr w:type="spellStart"/>
      <w:r>
        <w:rPr>
          <w:rFonts w:ascii="Times New Roman" w:eastAsia="Times New Roman" w:hAnsi="Times New Roman" w:cs="Times New Roman"/>
          <w:sz w:val="24"/>
          <w:szCs w:val="24"/>
        </w:rPr>
        <w:t>eyeswabs</w:t>
      </w:r>
      <w:proofErr w:type="spellEnd"/>
      <w:r>
        <w:rPr>
          <w:rFonts w:ascii="Times New Roman" w:eastAsia="Times New Roman" w:hAnsi="Times New Roman" w:cs="Times New Roman"/>
          <w:sz w:val="24"/>
          <w:szCs w:val="24"/>
        </w:rPr>
        <w:t xml:space="preserve">), and antibody data were collected longitudinally for each bird (Table S2). Because </w:t>
      </w:r>
      <w:proofErr w:type="spellStart"/>
      <w:r>
        <w:rPr>
          <w:rFonts w:ascii="Times New Roman" w:eastAsia="Times New Roman" w:hAnsi="Times New Roman" w:cs="Times New Roman"/>
          <w:sz w:val="24"/>
          <w:szCs w:val="24"/>
        </w:rPr>
        <w:t>IgY</w:t>
      </w:r>
      <w:proofErr w:type="spellEnd"/>
      <w:r>
        <w:rPr>
          <w:rFonts w:ascii="Times New Roman" w:eastAsia="Times New Roman" w:hAnsi="Times New Roman" w:cs="Times New Roman"/>
          <w:sz w:val="24"/>
          <w:szCs w:val="24"/>
        </w:rPr>
        <w:t xml:space="preserve"> antibody data were collected on DPPI 41 (i.e., one day before secondary inoculations took place), those antibody measurements should relate to a bird’s reinfection susceptibility the following day when they received their secondary exposure dose (below).</w:t>
      </w:r>
    </w:p>
    <w:p w14:paraId="58F7E61F" w14:textId="77777777" w:rsidR="00246D17" w:rsidRPr="00246D17" w:rsidRDefault="00246D17" w:rsidP="00246D17">
      <w:pPr>
        <w:spacing w:line="360" w:lineRule="auto"/>
        <w:rPr>
          <w:rFonts w:ascii="Times New Roman" w:eastAsia="Times New Roman" w:hAnsi="Times New Roman" w:cs="Times New Roman"/>
          <w:sz w:val="28"/>
          <w:szCs w:val="28"/>
        </w:rPr>
      </w:pPr>
      <w:r w:rsidRPr="00246D17">
        <w:rPr>
          <w:rFonts w:ascii="Times New Roman" w:eastAsia="Times New Roman" w:hAnsi="Times New Roman" w:cs="Times New Roman"/>
          <w:i/>
          <w:sz w:val="24"/>
          <w:szCs w:val="24"/>
        </w:rPr>
        <w:t>Secondary exposure</w:t>
      </w:r>
    </w:p>
    <w:p w14:paraId="39440948" w14:textId="0E4905CC" w:rsidR="00246D17" w:rsidRDefault="00246D17" w:rsidP="00246D1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Birds were allowed to recover from their primary exposure for forty-one days, at which point they were checked for unresolved MG infections</w:t>
      </w:r>
      <w:r w:rsidR="00067426">
        <w:rPr>
          <w:rFonts w:ascii="Times New Roman" w:eastAsia="Times New Roman" w:hAnsi="Times New Roman" w:cs="Times New Roman"/>
          <w:sz w:val="24"/>
          <w:szCs w:val="24"/>
        </w:rPr>
        <w:t xml:space="preserve"> via eye scoring and swabbing</w:t>
      </w:r>
      <w:r>
        <w:rPr>
          <w:rFonts w:ascii="Times New Roman" w:eastAsia="Times New Roman" w:hAnsi="Times New Roman" w:cs="Times New Roman"/>
          <w:sz w:val="24"/>
          <w:szCs w:val="24"/>
        </w:rPr>
        <w:t xml:space="preserve">. The next </w:t>
      </w:r>
      <w:r>
        <w:rPr>
          <w:rFonts w:ascii="Times New Roman" w:eastAsia="Times New Roman" w:hAnsi="Times New Roman" w:cs="Times New Roman"/>
          <w:sz w:val="24"/>
          <w:szCs w:val="24"/>
        </w:rPr>
        <w:lastRenderedPageBreak/>
        <w:t>day (DPPI 42), birds from each primary treatment group received one of five secondary challenge doses in the same manner as the primary inoculations: 0.0 CCU/mL (i.e., sham), 3.0 x 10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CCU/mL, 1.0 x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CCU/mL, 3.0 x 10</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CCU/mL, or 7.0 x 10</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CCU/mL (Figure 1; Table S2). Measurements of pathology (</w:t>
      </w:r>
      <w:proofErr w:type="spellStart"/>
      <w:r>
        <w:rPr>
          <w:rFonts w:ascii="Times New Roman" w:eastAsia="Times New Roman" w:hAnsi="Times New Roman" w:cs="Times New Roman"/>
          <w:sz w:val="24"/>
          <w:szCs w:val="24"/>
        </w:rPr>
        <w:t>eyescores</w:t>
      </w:r>
      <w:proofErr w:type="spellEnd"/>
      <w:r>
        <w:rPr>
          <w:rFonts w:ascii="Times New Roman" w:eastAsia="Times New Roman" w:hAnsi="Times New Roman" w:cs="Times New Roman"/>
          <w:sz w:val="24"/>
          <w:szCs w:val="24"/>
        </w:rPr>
        <w:t>) and pathogen load data (</w:t>
      </w:r>
      <w:proofErr w:type="spellStart"/>
      <w:r>
        <w:rPr>
          <w:rFonts w:ascii="Times New Roman" w:eastAsia="Times New Roman" w:hAnsi="Times New Roman" w:cs="Times New Roman"/>
          <w:sz w:val="24"/>
          <w:szCs w:val="24"/>
        </w:rPr>
        <w:t>eyeswabs</w:t>
      </w:r>
      <w:proofErr w:type="spellEnd"/>
      <w:r>
        <w:rPr>
          <w:rFonts w:ascii="Times New Roman" w:eastAsia="Times New Roman" w:hAnsi="Times New Roman" w:cs="Times New Roman"/>
          <w:sz w:val="24"/>
          <w:szCs w:val="24"/>
        </w:rPr>
        <w:t xml:space="preserve">) were collected beginning four days after secondary challenge (DPSI [days post-secondary inoculation] 4), and then weekly through the end of the study on DPSI 21. </w:t>
      </w:r>
      <w:r>
        <w:br w:type="page"/>
      </w:r>
    </w:p>
    <w:p w14:paraId="76BBC78B" w14:textId="77777777" w:rsidR="001D6A91" w:rsidRPr="003B3ABB" w:rsidRDefault="00246D17" w:rsidP="001D6A91">
      <w:pPr>
        <w:pStyle w:val="Heading3"/>
        <w:spacing w:before="240"/>
        <w:rPr>
          <w:rFonts w:ascii="Times New Roman" w:hAnsi="Times New Roman" w:cs="Times New Roman"/>
          <w:b/>
          <w:bCs/>
          <w:color w:val="000000" w:themeColor="text1"/>
          <w:sz w:val="24"/>
          <w:szCs w:val="24"/>
        </w:rPr>
      </w:pPr>
      <w:bookmarkStart w:id="6" w:name="_pyopy3lrg1bx" w:colFirst="0" w:colLast="0"/>
      <w:bookmarkEnd w:id="6"/>
      <w:r w:rsidRPr="003B3ABB">
        <w:rPr>
          <w:rFonts w:ascii="Times New Roman" w:hAnsi="Times New Roman" w:cs="Times New Roman"/>
          <w:b/>
          <w:bCs/>
          <w:color w:val="000000" w:themeColor="text1"/>
          <w:sz w:val="24"/>
          <w:szCs w:val="24"/>
        </w:rPr>
        <w:lastRenderedPageBreak/>
        <w:t>Supplemental Tables and Figures</w:t>
      </w:r>
    </w:p>
    <w:p w14:paraId="73BA5237" w14:textId="4E8D3360" w:rsidR="00246D17" w:rsidRPr="003B3ABB" w:rsidRDefault="00246D17" w:rsidP="001D6A91">
      <w:pPr>
        <w:pStyle w:val="Heading3"/>
        <w:spacing w:before="240"/>
        <w:rPr>
          <w:rFonts w:ascii="Times New Roman" w:hAnsi="Times New Roman" w:cs="Times New Roman"/>
          <w:color w:val="000000" w:themeColor="text1"/>
          <w:sz w:val="24"/>
          <w:szCs w:val="24"/>
        </w:rPr>
      </w:pPr>
      <w:r w:rsidRPr="003B3ABB">
        <w:rPr>
          <w:rFonts w:ascii="Times New Roman" w:hAnsi="Times New Roman" w:cs="Times New Roman"/>
          <w:b/>
          <w:bCs/>
          <w:color w:val="000000" w:themeColor="text1"/>
          <w:sz w:val="24"/>
          <w:szCs w:val="24"/>
        </w:rPr>
        <w:t>Table S1. Model results for antibody analyses.</w:t>
      </w:r>
      <w:r w:rsidRPr="003B3ABB">
        <w:rPr>
          <w:rFonts w:ascii="Times New Roman" w:hAnsi="Times New Roman" w:cs="Times New Roman"/>
          <w:color w:val="000000" w:themeColor="text1"/>
          <w:sz w:val="24"/>
          <w:szCs w:val="24"/>
        </w:rPr>
        <w:t xml:space="preserve"> Model output for GLMM testing the effect of primary treatment on mean antibody levels on three different days post primary inoculation (DPPI -8, 14, and 41). Estimates for both the conditional model (mean response) and dispersion estimates (variance structure) are presented on the log scale. Reference categories were Primary Treatment = Sham and DPPI = -8. Bolded p-values are significant (ɑ = 0.05). </w:t>
      </w:r>
    </w:p>
    <w:p w14:paraId="0C429C25" w14:textId="037463AE" w:rsidR="005C7792" w:rsidRPr="005C7792" w:rsidRDefault="00271FC8" w:rsidP="005C7792">
      <w:pPr>
        <w:rPr>
          <w:lang w:val="en-US"/>
        </w:rPr>
      </w:pPr>
      <w:r w:rsidRPr="00271FC8">
        <w:rPr>
          <w:noProof/>
          <w:lang w:val="en-US"/>
          <w14:ligatures w14:val="standardContextual"/>
        </w:rPr>
        <w:object w:dxaOrig="15840" w:dyaOrig="7420" w14:anchorId="2320B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92pt;height:230pt;mso-width-percent:0;mso-height-percent:0;mso-width-percent:0;mso-height-percent:0" o:ole="">
            <v:imagedata r:id="rId5" o:title=""/>
          </v:shape>
          <o:OLEObject Type="Embed" ProgID="Excel.Sheet.12" ShapeID="_x0000_i1029" DrawAspect="Content" ObjectID="_1810725596" r:id="rId6"/>
        </w:object>
      </w:r>
    </w:p>
    <w:p w14:paraId="4DF10436" w14:textId="68D234DE" w:rsidR="00246D17" w:rsidRDefault="00246D17" w:rsidP="00246D17">
      <w:pPr>
        <w:pStyle w:val="Heading5"/>
        <w:spacing w:before="240"/>
        <w:rPr>
          <w:color w:val="000000" w:themeColor="text1"/>
        </w:rPr>
      </w:pPr>
      <w:bookmarkStart w:id="7" w:name="_9459bsfru1jl" w:colFirst="0" w:colLast="0"/>
      <w:bookmarkEnd w:id="7"/>
      <w:r w:rsidRPr="00246D17">
        <w:rPr>
          <w:rFonts w:ascii="Times New Roman" w:hAnsi="Times New Roman" w:cs="Times New Roman"/>
          <w:b/>
          <w:bCs/>
          <w:color w:val="000000" w:themeColor="text1"/>
        </w:rPr>
        <w:t>Table S2. Model results for antibody analyses.</w:t>
      </w:r>
      <w:r w:rsidRPr="00246D17">
        <w:rPr>
          <w:rFonts w:ascii="Times New Roman" w:hAnsi="Times New Roman" w:cs="Times New Roman"/>
          <w:color w:val="000000" w:themeColor="text1"/>
        </w:rPr>
        <w:t xml:space="preserve"> Model outputs for three GLMs (</w:t>
      </w:r>
      <w:r>
        <w:rPr>
          <w:rFonts w:ascii="Times New Roman" w:hAnsi="Times New Roman" w:cs="Times New Roman"/>
          <w:color w:val="000000" w:themeColor="text1"/>
        </w:rPr>
        <w:t>s</w:t>
      </w:r>
      <w:r w:rsidRPr="00246D17">
        <w:rPr>
          <w:rFonts w:ascii="Times New Roman" w:hAnsi="Times New Roman" w:cs="Times New Roman"/>
          <w:color w:val="000000" w:themeColor="text1"/>
        </w:rPr>
        <w:t xml:space="preserve">usceptibility to </w:t>
      </w:r>
      <w:r>
        <w:rPr>
          <w:rFonts w:ascii="Times New Roman" w:hAnsi="Times New Roman" w:cs="Times New Roman"/>
          <w:color w:val="000000" w:themeColor="text1"/>
        </w:rPr>
        <w:t>r</w:t>
      </w:r>
      <w:r w:rsidRPr="00246D17">
        <w:rPr>
          <w:rFonts w:ascii="Times New Roman" w:hAnsi="Times New Roman" w:cs="Times New Roman"/>
          <w:color w:val="000000" w:themeColor="text1"/>
        </w:rPr>
        <w:t xml:space="preserve">einfection) testing the predictive ability of antibodies for reinfection susceptibility </w:t>
      </w:r>
      <w:r w:rsidR="00067426">
        <w:rPr>
          <w:rFonts w:ascii="Times New Roman" w:hAnsi="Times New Roman" w:cs="Times New Roman"/>
          <w:color w:val="000000" w:themeColor="text1"/>
        </w:rPr>
        <w:t xml:space="preserve">(yes or no) </w:t>
      </w:r>
      <w:r w:rsidRPr="00246D17">
        <w:rPr>
          <w:rFonts w:ascii="Times New Roman" w:hAnsi="Times New Roman" w:cs="Times New Roman"/>
          <w:color w:val="000000" w:themeColor="text1"/>
        </w:rPr>
        <w:t>independently on two different days post-priming inoculation (14, and 41). Bolded p-values are significant (ɑ = 0.05).</w:t>
      </w:r>
      <w:r w:rsidRPr="00246D17">
        <w:rPr>
          <w:color w:val="000000" w:themeColor="text1"/>
        </w:rPr>
        <w:t xml:space="preserve"> </w:t>
      </w:r>
    </w:p>
    <w:p w14:paraId="7470EAD6" w14:textId="04BF25E3" w:rsidR="005C7792" w:rsidRPr="005C7792" w:rsidRDefault="00271FC8" w:rsidP="005C7792">
      <w:pPr>
        <w:rPr>
          <w:lang w:val="en-US"/>
        </w:rPr>
      </w:pPr>
      <w:r w:rsidRPr="00271FC8">
        <w:rPr>
          <w:noProof/>
          <w:lang w:val="en-US"/>
          <w14:ligatures w14:val="standardContextual"/>
        </w:rPr>
        <w:object w:dxaOrig="10800" w:dyaOrig="2960" w14:anchorId="35EF6D9C">
          <v:shape id="_x0000_i1028" type="#_x0000_t75" alt="" style="width:468pt;height:128pt;mso-width-percent:0;mso-height-percent:0;mso-width-percent:0;mso-height-percent:0" o:ole="">
            <v:imagedata r:id="rId7" o:title=""/>
          </v:shape>
          <o:OLEObject Type="Embed" ProgID="Excel.Sheet.12" ShapeID="_x0000_i1028" DrawAspect="Content" ObjectID="_1810725597" r:id="rId8"/>
        </w:object>
      </w:r>
    </w:p>
    <w:p w14:paraId="566E9633" w14:textId="77777777" w:rsidR="00014E96" w:rsidRDefault="00014E96" w:rsidP="00014E96">
      <w:pPr>
        <w:rPr>
          <w:lang w:val="en-US"/>
        </w:rPr>
      </w:pPr>
    </w:p>
    <w:p w14:paraId="67203BD6" w14:textId="77777777" w:rsidR="00014E96" w:rsidRDefault="00014E96" w:rsidP="00014E96">
      <w:pPr>
        <w:rPr>
          <w:lang w:val="en-US"/>
        </w:rPr>
      </w:pPr>
    </w:p>
    <w:p w14:paraId="71EE2CDD" w14:textId="77777777" w:rsidR="00014E96" w:rsidRDefault="00014E96" w:rsidP="00014E96">
      <w:pPr>
        <w:rPr>
          <w:lang w:val="en-US"/>
        </w:rPr>
      </w:pPr>
    </w:p>
    <w:p w14:paraId="6DEE6BE7" w14:textId="77777777" w:rsidR="00014E96" w:rsidRDefault="00014E96" w:rsidP="00014E96">
      <w:pPr>
        <w:rPr>
          <w:lang w:val="en-US"/>
        </w:rPr>
      </w:pPr>
    </w:p>
    <w:p w14:paraId="323B6B9A" w14:textId="77777777" w:rsidR="00246D17" w:rsidRDefault="00246D17" w:rsidP="00246D17">
      <w:pPr>
        <w:spacing w:line="240" w:lineRule="auto"/>
        <w:rPr>
          <w:rFonts w:ascii="Times New Roman" w:eastAsia="Times New Roman" w:hAnsi="Times New Roman" w:cs="Times New Roman"/>
          <w:b/>
          <w:sz w:val="24"/>
          <w:szCs w:val="24"/>
        </w:rPr>
      </w:pPr>
    </w:p>
    <w:p w14:paraId="6E3781C5" w14:textId="643729B2" w:rsidR="00246D17" w:rsidRPr="00246D17" w:rsidRDefault="00246D17" w:rsidP="00246D17">
      <w:pPr>
        <w:pStyle w:val="Heading5"/>
        <w:spacing w:before="240"/>
        <w:rPr>
          <w:rFonts w:ascii="Times New Roman" w:hAnsi="Times New Roman" w:cs="Times New Roman"/>
          <w:color w:val="000000" w:themeColor="text1"/>
        </w:rPr>
      </w:pPr>
      <w:bookmarkStart w:id="8" w:name="_xji72tt9jeq4" w:colFirst="0" w:colLast="0"/>
      <w:bookmarkEnd w:id="8"/>
      <w:r w:rsidRPr="00246D17">
        <w:rPr>
          <w:rFonts w:ascii="Times New Roman" w:hAnsi="Times New Roman" w:cs="Times New Roman"/>
          <w:b/>
          <w:bCs/>
          <w:color w:val="000000" w:themeColor="text1"/>
        </w:rPr>
        <w:lastRenderedPageBreak/>
        <w:t xml:space="preserve">Table S3. Summary of results for </w:t>
      </w:r>
      <w:proofErr w:type="spellStart"/>
      <w:r w:rsidRPr="00246D17">
        <w:rPr>
          <w:rFonts w:ascii="Times New Roman" w:hAnsi="Times New Roman" w:cs="Times New Roman"/>
          <w:b/>
          <w:bCs/>
          <w:color w:val="000000" w:themeColor="text1"/>
        </w:rPr>
        <w:t>eyescore</w:t>
      </w:r>
      <w:proofErr w:type="spellEnd"/>
      <w:r w:rsidRPr="00246D17">
        <w:rPr>
          <w:rFonts w:ascii="Times New Roman" w:hAnsi="Times New Roman" w:cs="Times New Roman"/>
          <w:b/>
          <w:bCs/>
          <w:color w:val="000000" w:themeColor="text1"/>
        </w:rPr>
        <w:t xml:space="preserve"> and pathogen load data.</w:t>
      </w:r>
      <w:r w:rsidRPr="00246D17">
        <w:rPr>
          <w:rFonts w:ascii="Times New Roman" w:hAnsi="Times New Roman" w:cs="Times New Roman"/>
          <w:color w:val="000000" w:themeColor="text1"/>
        </w:rPr>
        <w:t xml:space="preserve"> Variability metrics (coefficient of variation [CV] and proportional variability [PV]) calculated for each primary treatment group based on maximum eye score and log</w:t>
      </w:r>
      <w:r w:rsidRPr="00246D17">
        <w:rPr>
          <w:rFonts w:ascii="Times New Roman" w:hAnsi="Times New Roman" w:cs="Times New Roman"/>
          <w:color w:val="000000" w:themeColor="text1"/>
          <w:vertAlign w:val="subscript"/>
        </w:rPr>
        <w:t>10</w:t>
      </w:r>
      <w:r w:rsidRPr="00246D17">
        <w:rPr>
          <w:rFonts w:ascii="Times New Roman" w:hAnsi="Times New Roman" w:cs="Times New Roman"/>
          <w:color w:val="000000" w:themeColor="text1"/>
        </w:rPr>
        <w:t xml:space="preserve"> pathogen load following secondary (7,000 dose only) pathogen challenge for all individuals. Mean value per metric (maximum recorded “</w:t>
      </w:r>
      <w:proofErr w:type="spellStart"/>
      <w:r w:rsidRPr="00246D17">
        <w:rPr>
          <w:rFonts w:ascii="Times New Roman" w:hAnsi="Times New Roman" w:cs="Times New Roman"/>
          <w:color w:val="000000" w:themeColor="text1"/>
        </w:rPr>
        <w:t>eyescore</w:t>
      </w:r>
      <w:proofErr w:type="spellEnd"/>
      <w:r w:rsidRPr="00246D17">
        <w:rPr>
          <w:rFonts w:ascii="Times New Roman" w:hAnsi="Times New Roman" w:cs="Times New Roman"/>
          <w:color w:val="000000" w:themeColor="text1"/>
        </w:rPr>
        <w:t xml:space="preserve">” and “pathogen load”), standard error (SE), and number of infected and uninfected individuals are reported. </w:t>
      </w:r>
    </w:p>
    <w:p w14:paraId="627A4F83" w14:textId="2C3D69A2" w:rsidR="00246D17" w:rsidRDefault="00271FC8" w:rsidP="00246D17">
      <w:pPr>
        <w:spacing w:line="240" w:lineRule="auto"/>
        <w:rPr>
          <w:rFonts w:ascii="Times New Roman" w:eastAsia="Times New Roman" w:hAnsi="Times New Roman" w:cs="Times New Roman"/>
          <w:b/>
          <w:sz w:val="24"/>
          <w:szCs w:val="24"/>
        </w:rPr>
      </w:pPr>
      <w:r w:rsidRPr="00271FC8">
        <w:rPr>
          <w:rFonts w:ascii="Times New Roman" w:eastAsia="Times New Roman" w:hAnsi="Times New Roman" w:cs="Times New Roman"/>
          <w:b/>
          <w:noProof/>
          <w:sz w:val="24"/>
          <w:szCs w:val="24"/>
          <w14:ligatures w14:val="standardContextual"/>
        </w:rPr>
        <w:object w:dxaOrig="15620" w:dyaOrig="2060" w14:anchorId="4B0A470A">
          <v:shape id="_x0000_i1027" type="#_x0000_t75" alt="" style="width:473pt;height:62pt;mso-width-percent:0;mso-height-percent:0;mso-width-percent:0;mso-height-percent:0" o:ole="">
            <v:imagedata r:id="rId9" o:title=""/>
          </v:shape>
          <o:OLEObject Type="Embed" ProgID="Excel.Sheet.12" ShapeID="_x0000_i1027" DrawAspect="Content" ObjectID="_1810725598" r:id="rId10"/>
        </w:object>
      </w:r>
    </w:p>
    <w:p w14:paraId="0949327B" w14:textId="77777777" w:rsidR="00246D17" w:rsidRDefault="00246D17" w:rsidP="00246D17">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Table S4. Primary and secondary challenge sample sizes. </w:t>
      </w:r>
      <w:r>
        <w:rPr>
          <w:rFonts w:ascii="Times New Roman" w:eastAsia="Times New Roman" w:hAnsi="Times New Roman" w:cs="Times New Roman"/>
          <w:sz w:val="24"/>
          <w:szCs w:val="24"/>
        </w:rPr>
        <w:t>Number of birds per treatment group. Primary and Secondary Dose columns indicate the pathogen inoculation doses in CCU/mL and the respective number of birds that received each dose. More birds are shown for the Primary Challenge (n = 150) than indicated in the Total column (n = 146) due to the non-recovery of four birds from their initial infection.</w:t>
      </w:r>
    </w:p>
    <w:p w14:paraId="58223CA6" w14:textId="44CA4F7F" w:rsidR="00246D17" w:rsidRDefault="00271FC8" w:rsidP="00246D17">
      <w:pPr>
        <w:spacing w:before="240" w:after="240" w:line="240" w:lineRule="auto"/>
        <w:rPr>
          <w:rFonts w:ascii="Times New Roman" w:eastAsia="Times New Roman" w:hAnsi="Times New Roman" w:cs="Times New Roman"/>
          <w:b/>
          <w:sz w:val="28"/>
          <w:szCs w:val="28"/>
        </w:rPr>
      </w:pPr>
      <w:r w:rsidRPr="00271FC8">
        <w:rPr>
          <w:rFonts w:ascii="Times New Roman" w:eastAsia="Times New Roman" w:hAnsi="Times New Roman" w:cs="Times New Roman"/>
          <w:b/>
          <w:noProof/>
          <w:sz w:val="28"/>
          <w:szCs w:val="28"/>
          <w14:ligatures w14:val="standardContextual"/>
        </w:rPr>
        <w:object w:dxaOrig="12300" w:dyaOrig="2320" w14:anchorId="2058A78F">
          <v:shape id="_x0000_i1026" type="#_x0000_t75" alt="" style="width:475pt;height:89pt;mso-width-percent:0;mso-height-percent:0;mso-width-percent:0;mso-height-percent:0" o:ole="">
            <v:imagedata r:id="rId11" o:title=""/>
          </v:shape>
          <o:OLEObject Type="Embed" ProgID="Excel.Sheet.12" ShapeID="_x0000_i1026" DrawAspect="Content" ObjectID="_1810725599" r:id="rId12"/>
        </w:object>
      </w:r>
    </w:p>
    <w:p w14:paraId="347D8D56" w14:textId="77777777" w:rsidR="00246D17" w:rsidRDefault="00246D17" w:rsidP="00246D1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S5. Summary of results for raw max pathogen load and log10 transformed max pathogen load data. </w:t>
      </w:r>
      <w:r>
        <w:rPr>
          <w:rFonts w:ascii="Times New Roman" w:eastAsia="Times New Roman" w:hAnsi="Times New Roman" w:cs="Times New Roman"/>
          <w:sz w:val="24"/>
          <w:szCs w:val="24"/>
        </w:rPr>
        <w:t>Variability metrics (coefficient of variation [CV] and proportional variability [PV]) calculated for each primary treatment group based on maximum raw pathogen load and log</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pathogen load following secondary (7,000 dose only) pathogen challenge for all individuals. Mean value per metric (maximum recorded “pathogen load”), standard error (SE), and number of infected and uninfected individuals are reported. </w:t>
      </w:r>
    </w:p>
    <w:p w14:paraId="4FA3FEB3" w14:textId="20C55D8E" w:rsidR="00246D17" w:rsidRDefault="00271FC8" w:rsidP="00246D17">
      <w:pPr>
        <w:spacing w:before="240" w:after="240" w:line="240" w:lineRule="auto"/>
        <w:rPr>
          <w:rFonts w:ascii="Times New Roman" w:eastAsia="Times New Roman" w:hAnsi="Times New Roman" w:cs="Times New Roman"/>
          <w:b/>
          <w:sz w:val="24"/>
          <w:szCs w:val="24"/>
        </w:rPr>
      </w:pPr>
      <w:r w:rsidRPr="00271FC8">
        <w:rPr>
          <w:rFonts w:ascii="Times New Roman" w:eastAsia="Times New Roman" w:hAnsi="Times New Roman" w:cs="Times New Roman"/>
          <w:b/>
          <w:noProof/>
          <w:sz w:val="24"/>
          <w:szCs w:val="24"/>
          <w14:ligatures w14:val="standardContextual"/>
        </w:rPr>
        <w:object w:dxaOrig="15620" w:dyaOrig="2060" w14:anchorId="4EA2D2D2">
          <v:shape id="_x0000_i1025" type="#_x0000_t75" alt="" style="width:476pt;height:63pt;mso-width-percent:0;mso-height-percent:0;mso-width-percent:0;mso-height-percent:0" o:ole="">
            <v:imagedata r:id="rId13" o:title=""/>
          </v:shape>
          <o:OLEObject Type="Embed" ProgID="Excel.Sheet.12" ShapeID="_x0000_i1025" DrawAspect="Content" ObjectID="_1810725600" r:id="rId14"/>
        </w:object>
      </w:r>
    </w:p>
    <w:p w14:paraId="616EE66D" w14:textId="77777777" w:rsidR="00246D17" w:rsidRDefault="00246D17" w:rsidP="00246D17">
      <w:pPr>
        <w:spacing w:line="240" w:lineRule="auto"/>
        <w:rPr>
          <w:rFonts w:ascii="Times New Roman" w:eastAsia="Times New Roman" w:hAnsi="Times New Roman" w:cs="Times New Roman"/>
          <w:b/>
          <w:sz w:val="24"/>
          <w:szCs w:val="24"/>
        </w:rPr>
      </w:pPr>
    </w:p>
    <w:p w14:paraId="768AD5C9" w14:textId="77777777" w:rsidR="00246D17" w:rsidRDefault="00246D17" w:rsidP="00246D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270016C" wp14:editId="5CBD6824">
            <wp:extent cx="5943600" cy="3937000"/>
            <wp:effectExtent l="0" t="0" r="0" b="0"/>
            <wp:docPr id="5" name="image10.png" descr="A graph of a number of patients&#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0.png" descr="A graph of a number of patients&#10;&#10;AI-generated content may be incorrect."/>
                    <pic:cNvPicPr preferRelativeResize="0"/>
                  </pic:nvPicPr>
                  <pic:blipFill>
                    <a:blip r:embed="rId15"/>
                    <a:srcRect/>
                    <a:stretch>
                      <a:fillRect/>
                    </a:stretch>
                  </pic:blipFill>
                  <pic:spPr>
                    <a:xfrm>
                      <a:off x="0" y="0"/>
                      <a:ext cx="5943600" cy="3937000"/>
                    </a:xfrm>
                    <a:prstGeom prst="rect">
                      <a:avLst/>
                    </a:prstGeom>
                    <a:ln/>
                  </pic:spPr>
                </pic:pic>
              </a:graphicData>
            </a:graphic>
          </wp:inline>
        </w:drawing>
      </w:r>
    </w:p>
    <w:p w14:paraId="47387954" w14:textId="02F13755" w:rsidR="00246D17" w:rsidRDefault="00246D17" w:rsidP="00246D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S1. Comparison of metrics of variability for antibody levels across primary challenge</w:t>
      </w:r>
      <w:r>
        <w:rPr>
          <w:rFonts w:ascii="Times New Roman" w:eastAsia="Times New Roman" w:hAnsi="Times New Roman" w:cs="Times New Roman"/>
          <w:sz w:val="24"/>
          <w:szCs w:val="24"/>
        </w:rPr>
        <w:t>. Proportional variability (PV; solid points and lines) and coefficient of variation (CV; transparent points and dashed lines) of antibody levels calculated for each primary treatment group per sampling day following primary challenge (</w:t>
      </w:r>
      <w:r w:rsidR="003B3ABB">
        <w:rPr>
          <w:rFonts w:ascii="Times New Roman" w:eastAsia="Times New Roman" w:hAnsi="Times New Roman" w:cs="Times New Roman"/>
          <w:sz w:val="24"/>
          <w:szCs w:val="24"/>
        </w:rPr>
        <w:t>days post-priming inoculation</w:t>
      </w:r>
      <w:r>
        <w:rPr>
          <w:rFonts w:ascii="Times New Roman" w:eastAsia="Times New Roman" w:hAnsi="Times New Roman" w:cs="Times New Roman"/>
          <w:sz w:val="24"/>
          <w:szCs w:val="24"/>
        </w:rPr>
        <w:t xml:space="preserve"> 0).</w:t>
      </w:r>
      <w:r w:rsidR="003B3ABB">
        <w:rPr>
          <w:rFonts w:ascii="Times New Roman" w:eastAsia="Times New Roman" w:hAnsi="Times New Roman" w:cs="Times New Roman"/>
          <w:sz w:val="24"/>
          <w:szCs w:val="24"/>
        </w:rPr>
        <w:t xml:space="preserve"> </w:t>
      </w:r>
      <w:r w:rsidR="003B3ABB" w:rsidRPr="003B3ABB">
        <w:rPr>
          <w:rFonts w:ascii="Times New Roman" w:eastAsia="Times New Roman" w:hAnsi="Times New Roman" w:cs="Times New Roman"/>
          <w:sz w:val="24"/>
          <w:szCs w:val="24"/>
        </w:rPr>
        <w:t>Error bars represent 95% CIs calculated by bootstrapping the raw data 1,000 times with replacement.</w:t>
      </w:r>
    </w:p>
    <w:p w14:paraId="5C93685A" w14:textId="77777777" w:rsidR="00246D17" w:rsidRDefault="00246D17" w:rsidP="00246D17">
      <w:pPr>
        <w:spacing w:line="240" w:lineRule="auto"/>
        <w:rPr>
          <w:rFonts w:ascii="Times New Roman" w:eastAsia="Times New Roman" w:hAnsi="Times New Roman" w:cs="Times New Roman"/>
          <w:sz w:val="24"/>
          <w:szCs w:val="24"/>
        </w:rPr>
      </w:pPr>
    </w:p>
    <w:p w14:paraId="1E17208F" w14:textId="119819DE" w:rsidR="00246D17" w:rsidRDefault="005C7792" w:rsidP="00246D17">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14:ligatures w14:val="standardContextual"/>
        </w:rPr>
        <w:lastRenderedPageBreak/>
        <w:drawing>
          <wp:inline distT="0" distB="0" distL="0" distR="0" wp14:anchorId="132517EB" wp14:editId="4B44FBFB">
            <wp:extent cx="5943600" cy="3962400"/>
            <wp:effectExtent l="0" t="0" r="0" b="0"/>
            <wp:docPr id="914980920" name="Picture 1" descr="A graph of different levels of a patient's l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80920" name="Picture 1" descr="A graph of different levels of a patient's loa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7848DBF2" w14:textId="0D3D771E" w:rsidR="00246D17" w:rsidRDefault="00246D17" w:rsidP="00246D17">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S2. Comparison of variability metrics between raw and log10 max pathogen load. </w:t>
      </w:r>
      <w:r>
        <w:rPr>
          <w:rFonts w:ascii="Times New Roman" w:eastAsia="Times New Roman" w:hAnsi="Times New Roman" w:cs="Times New Roman"/>
          <w:sz w:val="24"/>
          <w:szCs w:val="24"/>
        </w:rPr>
        <w:t>Proportional variability (PV; solid points and error bars) and coefficient of variation (CV; hollow points and dashed error bars) of raw and log10 transformed max pathogen loads calculated for each primary treatment group rechallenged with 7</w:t>
      </w:r>
      <w:r w:rsidR="005C7792">
        <w:rPr>
          <w:rFonts w:ascii="Times New Roman" w:eastAsia="Times New Roman" w:hAnsi="Times New Roman" w:cs="Times New Roman"/>
          <w:sz w:val="24"/>
          <w:szCs w:val="24"/>
        </w:rPr>
        <w:t>,</w:t>
      </w:r>
      <w:r>
        <w:rPr>
          <w:rFonts w:ascii="Times New Roman" w:eastAsia="Times New Roman" w:hAnsi="Times New Roman" w:cs="Times New Roman"/>
          <w:sz w:val="24"/>
          <w:szCs w:val="24"/>
        </w:rPr>
        <w:t>000 CCU/mL MG.</w:t>
      </w:r>
      <w:r w:rsidR="005C7792">
        <w:rPr>
          <w:rFonts w:ascii="Times New Roman" w:eastAsia="Times New Roman" w:hAnsi="Times New Roman" w:cs="Times New Roman"/>
          <w:sz w:val="24"/>
          <w:szCs w:val="24"/>
        </w:rPr>
        <w:t xml:space="preserve"> Error bars represent 95% Cis calculated by bootstrapping the raw data 1,000 times with replacement. </w:t>
      </w:r>
    </w:p>
    <w:p w14:paraId="13D657C9" w14:textId="77777777" w:rsidR="00750583" w:rsidRDefault="00750583" w:rsidP="00750583">
      <w:pPr>
        <w:spacing w:line="240" w:lineRule="auto"/>
        <w:rPr>
          <w:rFonts w:ascii="Times New Roman" w:eastAsia="Times New Roman" w:hAnsi="Times New Roman" w:cs="Times New Roman"/>
          <w:b/>
          <w:sz w:val="24"/>
          <w:szCs w:val="24"/>
        </w:rPr>
      </w:pPr>
    </w:p>
    <w:p w14:paraId="43F8821D" w14:textId="1089DC55" w:rsidR="00750583" w:rsidRPr="00750583" w:rsidRDefault="00750583" w:rsidP="0075058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0DBD6F1" w14:textId="77777777" w:rsidR="007F10BC" w:rsidRDefault="007F10BC"/>
    <w:p w14:paraId="6572BDAE" w14:textId="77777777" w:rsidR="00747ADE" w:rsidRPr="0033542E" w:rsidRDefault="00750583" w:rsidP="0033542E">
      <w:pPr>
        <w:pStyle w:val="Bibliography"/>
        <w:spacing w:line="240" w:lineRule="auto"/>
        <w:rPr>
          <w:rFonts w:ascii="Times New Roman" w:hAnsi="Times New Roman" w:cs="Times New Roman"/>
          <w:sz w:val="24"/>
          <w:szCs w:val="24"/>
          <w:lang w:val="en-US"/>
        </w:rPr>
      </w:pPr>
      <w:r w:rsidRPr="0033542E">
        <w:rPr>
          <w:rFonts w:ascii="Times New Roman" w:hAnsi="Times New Roman" w:cs="Times New Roman"/>
          <w:sz w:val="24"/>
          <w:szCs w:val="24"/>
        </w:rPr>
        <w:fldChar w:fldCharType="begin"/>
      </w:r>
      <w:r w:rsidR="003C106C" w:rsidRPr="0033542E">
        <w:rPr>
          <w:rFonts w:ascii="Times New Roman" w:hAnsi="Times New Roman" w:cs="Times New Roman"/>
          <w:sz w:val="24"/>
          <w:szCs w:val="24"/>
        </w:rPr>
        <w:instrText xml:space="preserve"> ADDIN ZOTERO_BIBL {"uncited":[],"omitted":[],"custom":[]} CSL_BIBLIOGRAPHY </w:instrText>
      </w:r>
      <w:r w:rsidRPr="0033542E">
        <w:rPr>
          <w:rFonts w:ascii="Times New Roman" w:hAnsi="Times New Roman" w:cs="Times New Roman"/>
          <w:sz w:val="24"/>
          <w:szCs w:val="24"/>
        </w:rPr>
        <w:fldChar w:fldCharType="separate"/>
      </w:r>
      <w:r w:rsidR="00747ADE" w:rsidRPr="0033542E">
        <w:rPr>
          <w:rFonts w:ascii="Times New Roman" w:hAnsi="Times New Roman" w:cs="Times New Roman"/>
          <w:sz w:val="24"/>
          <w:szCs w:val="24"/>
          <w:lang w:val="en-US"/>
        </w:rPr>
        <w:t>1.</w:t>
      </w:r>
      <w:r w:rsidR="00747ADE" w:rsidRPr="0033542E">
        <w:rPr>
          <w:rFonts w:ascii="Times New Roman" w:hAnsi="Times New Roman" w:cs="Times New Roman"/>
          <w:sz w:val="24"/>
          <w:szCs w:val="24"/>
          <w:lang w:val="en-US"/>
        </w:rPr>
        <w:tab/>
        <w:t xml:space="preserve">Hawley, D. M. </w:t>
      </w:r>
      <w:r w:rsidR="00747ADE" w:rsidRPr="0033542E">
        <w:rPr>
          <w:rFonts w:ascii="Times New Roman" w:hAnsi="Times New Roman" w:cs="Times New Roman"/>
          <w:i/>
          <w:iCs/>
          <w:sz w:val="24"/>
          <w:szCs w:val="24"/>
          <w:lang w:val="en-US"/>
        </w:rPr>
        <w:t>et al.</w:t>
      </w:r>
      <w:r w:rsidR="00747ADE" w:rsidRPr="0033542E">
        <w:rPr>
          <w:rFonts w:ascii="Times New Roman" w:hAnsi="Times New Roman" w:cs="Times New Roman"/>
          <w:sz w:val="24"/>
          <w:szCs w:val="24"/>
          <w:lang w:val="en-US"/>
        </w:rPr>
        <w:t xml:space="preserve"> Prior exposure to pathogens augments host heterogeneity in susceptibility and has key epidemiological consequences. </w:t>
      </w:r>
      <w:r w:rsidR="00747ADE" w:rsidRPr="0033542E">
        <w:rPr>
          <w:rFonts w:ascii="Times New Roman" w:hAnsi="Times New Roman" w:cs="Times New Roman"/>
          <w:i/>
          <w:iCs/>
          <w:sz w:val="24"/>
          <w:szCs w:val="24"/>
          <w:lang w:val="en-US"/>
        </w:rPr>
        <w:t>PLOS Pathogens</w:t>
      </w:r>
      <w:r w:rsidR="00747ADE" w:rsidRPr="0033542E">
        <w:rPr>
          <w:rFonts w:ascii="Times New Roman" w:hAnsi="Times New Roman" w:cs="Times New Roman"/>
          <w:sz w:val="24"/>
          <w:szCs w:val="24"/>
          <w:lang w:val="en-US"/>
        </w:rPr>
        <w:t xml:space="preserve"> </w:t>
      </w:r>
      <w:r w:rsidR="00747ADE" w:rsidRPr="0033542E">
        <w:rPr>
          <w:rFonts w:ascii="Times New Roman" w:hAnsi="Times New Roman" w:cs="Times New Roman"/>
          <w:b/>
          <w:bCs/>
          <w:sz w:val="24"/>
          <w:szCs w:val="24"/>
          <w:lang w:val="en-US"/>
        </w:rPr>
        <w:t>20</w:t>
      </w:r>
      <w:r w:rsidR="00747ADE" w:rsidRPr="0033542E">
        <w:rPr>
          <w:rFonts w:ascii="Times New Roman" w:hAnsi="Times New Roman" w:cs="Times New Roman"/>
          <w:sz w:val="24"/>
          <w:szCs w:val="24"/>
          <w:lang w:val="en-US"/>
        </w:rPr>
        <w:t>, e1012092 (2024).</w:t>
      </w:r>
    </w:p>
    <w:p w14:paraId="7DE397B2" w14:textId="77777777" w:rsidR="00747ADE" w:rsidRPr="0033542E" w:rsidRDefault="00747ADE" w:rsidP="0033542E">
      <w:pPr>
        <w:pStyle w:val="Bibliography"/>
        <w:spacing w:line="240" w:lineRule="auto"/>
        <w:rPr>
          <w:rFonts w:ascii="Times New Roman" w:hAnsi="Times New Roman" w:cs="Times New Roman"/>
          <w:sz w:val="24"/>
          <w:szCs w:val="24"/>
          <w:lang w:val="en-US"/>
        </w:rPr>
      </w:pPr>
      <w:r w:rsidRPr="0033542E">
        <w:rPr>
          <w:rFonts w:ascii="Times New Roman" w:hAnsi="Times New Roman" w:cs="Times New Roman"/>
          <w:sz w:val="24"/>
          <w:szCs w:val="24"/>
          <w:lang w:val="en-US"/>
        </w:rPr>
        <w:t>2.</w:t>
      </w:r>
      <w:r w:rsidRPr="0033542E">
        <w:rPr>
          <w:rFonts w:ascii="Times New Roman" w:hAnsi="Times New Roman" w:cs="Times New Roman"/>
          <w:sz w:val="24"/>
          <w:szCs w:val="24"/>
          <w:lang w:val="en-US"/>
        </w:rPr>
        <w:tab/>
        <w:t xml:space="preserve">Ley, D. H., </w:t>
      </w:r>
      <w:proofErr w:type="spellStart"/>
      <w:r w:rsidRPr="0033542E">
        <w:rPr>
          <w:rFonts w:ascii="Times New Roman" w:hAnsi="Times New Roman" w:cs="Times New Roman"/>
          <w:sz w:val="24"/>
          <w:szCs w:val="24"/>
          <w:lang w:val="en-US"/>
        </w:rPr>
        <w:t>Berkhoff</w:t>
      </w:r>
      <w:proofErr w:type="spellEnd"/>
      <w:r w:rsidRPr="0033542E">
        <w:rPr>
          <w:rFonts w:ascii="Times New Roman" w:hAnsi="Times New Roman" w:cs="Times New Roman"/>
          <w:sz w:val="24"/>
          <w:szCs w:val="24"/>
          <w:lang w:val="en-US"/>
        </w:rPr>
        <w:t xml:space="preserve">, J. E. &amp; McLaren, J. M. Mycoplasma gallisepticum Isolated from House Finches (Carpodacus mexicanus) with Conjunctivitis. </w:t>
      </w:r>
      <w:r w:rsidRPr="0033542E">
        <w:rPr>
          <w:rFonts w:ascii="Times New Roman" w:hAnsi="Times New Roman" w:cs="Times New Roman"/>
          <w:i/>
          <w:iCs/>
          <w:sz w:val="24"/>
          <w:szCs w:val="24"/>
          <w:lang w:val="en-US"/>
        </w:rPr>
        <w:t>Avian Diseases</w:t>
      </w:r>
      <w:r w:rsidRPr="0033542E">
        <w:rPr>
          <w:rFonts w:ascii="Times New Roman" w:hAnsi="Times New Roman" w:cs="Times New Roman"/>
          <w:sz w:val="24"/>
          <w:szCs w:val="24"/>
          <w:lang w:val="en-US"/>
        </w:rPr>
        <w:t xml:space="preserve"> </w:t>
      </w:r>
      <w:r w:rsidRPr="0033542E">
        <w:rPr>
          <w:rFonts w:ascii="Times New Roman" w:hAnsi="Times New Roman" w:cs="Times New Roman"/>
          <w:b/>
          <w:bCs/>
          <w:sz w:val="24"/>
          <w:szCs w:val="24"/>
          <w:lang w:val="en-US"/>
        </w:rPr>
        <w:t>40</w:t>
      </w:r>
      <w:r w:rsidRPr="0033542E">
        <w:rPr>
          <w:rFonts w:ascii="Times New Roman" w:hAnsi="Times New Roman" w:cs="Times New Roman"/>
          <w:sz w:val="24"/>
          <w:szCs w:val="24"/>
          <w:lang w:val="en-US"/>
        </w:rPr>
        <w:t>, 480–483 (1996).</w:t>
      </w:r>
    </w:p>
    <w:p w14:paraId="71108696" w14:textId="1F3F7F8D" w:rsidR="00750583" w:rsidRDefault="00750583" w:rsidP="0033542E">
      <w:pPr>
        <w:pStyle w:val="Bibliography"/>
        <w:spacing w:line="240" w:lineRule="auto"/>
      </w:pPr>
      <w:r w:rsidRPr="0033542E">
        <w:rPr>
          <w:rFonts w:ascii="Times New Roman" w:hAnsi="Times New Roman" w:cs="Times New Roman"/>
          <w:sz w:val="24"/>
          <w:szCs w:val="24"/>
        </w:rPr>
        <w:fldChar w:fldCharType="end"/>
      </w:r>
    </w:p>
    <w:sectPr w:rsidR="0075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17"/>
    <w:rsid w:val="00014E96"/>
    <w:rsid w:val="00067426"/>
    <w:rsid w:val="001D6A91"/>
    <w:rsid w:val="00204067"/>
    <w:rsid w:val="00246D17"/>
    <w:rsid w:val="00271FC8"/>
    <w:rsid w:val="0027784F"/>
    <w:rsid w:val="002A14CB"/>
    <w:rsid w:val="0033542E"/>
    <w:rsid w:val="003B3ABB"/>
    <w:rsid w:val="003C106C"/>
    <w:rsid w:val="005C7792"/>
    <w:rsid w:val="00747ADE"/>
    <w:rsid w:val="00750583"/>
    <w:rsid w:val="007F10BC"/>
    <w:rsid w:val="00854224"/>
    <w:rsid w:val="008A7C8B"/>
    <w:rsid w:val="00960BC0"/>
    <w:rsid w:val="00AB4D1A"/>
    <w:rsid w:val="00B84AE0"/>
    <w:rsid w:val="00B85006"/>
    <w:rsid w:val="00C6252C"/>
    <w:rsid w:val="00CE0681"/>
    <w:rsid w:val="00DB6C09"/>
    <w:rsid w:val="00EA7384"/>
    <w:rsid w:val="00ED55F8"/>
    <w:rsid w:val="00F8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A2E5"/>
  <w15:chartTrackingRefBased/>
  <w15:docId w15:val="{3EEA48F7-D8E4-8647-A00F-41684B9C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1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46D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246D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246D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46D1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unhideWhenUsed/>
    <w:qFormat/>
    <w:rsid w:val="00246D1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46D1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46D1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46D1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46D1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D17"/>
    <w:rPr>
      <w:rFonts w:eastAsiaTheme="majorEastAsia" w:cstheme="majorBidi"/>
      <w:color w:val="272727" w:themeColor="text1" w:themeTint="D8"/>
    </w:rPr>
  </w:style>
  <w:style w:type="paragraph" w:styleId="Title">
    <w:name w:val="Title"/>
    <w:basedOn w:val="Normal"/>
    <w:next w:val="Normal"/>
    <w:link w:val="TitleChar"/>
    <w:uiPriority w:val="10"/>
    <w:qFormat/>
    <w:rsid w:val="00246D1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46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D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46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D1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46D17"/>
    <w:rPr>
      <w:i/>
      <w:iCs/>
      <w:color w:val="404040" w:themeColor="text1" w:themeTint="BF"/>
    </w:rPr>
  </w:style>
  <w:style w:type="paragraph" w:styleId="ListParagraph">
    <w:name w:val="List Paragraph"/>
    <w:basedOn w:val="Normal"/>
    <w:uiPriority w:val="34"/>
    <w:qFormat/>
    <w:rsid w:val="00246D17"/>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46D17"/>
    <w:rPr>
      <w:i/>
      <w:iCs/>
      <w:color w:val="0F4761" w:themeColor="accent1" w:themeShade="BF"/>
    </w:rPr>
  </w:style>
  <w:style w:type="paragraph" w:styleId="IntenseQuote">
    <w:name w:val="Intense Quote"/>
    <w:basedOn w:val="Normal"/>
    <w:next w:val="Normal"/>
    <w:link w:val="IntenseQuoteChar"/>
    <w:uiPriority w:val="30"/>
    <w:qFormat/>
    <w:rsid w:val="00246D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46D17"/>
    <w:rPr>
      <w:i/>
      <w:iCs/>
      <w:color w:val="0F4761" w:themeColor="accent1" w:themeShade="BF"/>
    </w:rPr>
  </w:style>
  <w:style w:type="character" w:styleId="IntenseReference">
    <w:name w:val="Intense Reference"/>
    <w:basedOn w:val="DefaultParagraphFont"/>
    <w:uiPriority w:val="32"/>
    <w:qFormat/>
    <w:rsid w:val="00246D17"/>
    <w:rPr>
      <w:b/>
      <w:bCs/>
      <w:smallCaps/>
      <w:color w:val="0F4761" w:themeColor="accent1" w:themeShade="BF"/>
      <w:spacing w:val="5"/>
    </w:rPr>
  </w:style>
  <w:style w:type="paragraph" w:styleId="Bibliography">
    <w:name w:val="Bibliography"/>
    <w:basedOn w:val="Normal"/>
    <w:next w:val="Normal"/>
    <w:uiPriority w:val="37"/>
    <w:unhideWhenUsed/>
    <w:rsid w:val="00750583"/>
    <w:pPr>
      <w:tabs>
        <w:tab w:val="left" w:pos="260"/>
      </w:tabs>
      <w:spacing w:line="480" w:lineRule="auto"/>
      <w:ind w:left="264" w:hanging="264"/>
    </w:pPr>
  </w:style>
  <w:style w:type="table" w:styleId="TableGrid">
    <w:name w:val="Table Grid"/>
    <w:basedOn w:val="TableNormal"/>
    <w:uiPriority w:val="39"/>
    <w:rsid w:val="001D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0681"/>
    <w:pPr>
      <w:spacing w:after="0" w:line="240" w:lineRule="auto"/>
    </w:pPr>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CE0681"/>
    <w:rPr>
      <w:sz w:val="16"/>
      <w:szCs w:val="16"/>
    </w:rPr>
  </w:style>
  <w:style w:type="paragraph" w:styleId="CommentText">
    <w:name w:val="annotation text"/>
    <w:basedOn w:val="Normal"/>
    <w:link w:val="CommentTextChar"/>
    <w:uiPriority w:val="99"/>
    <w:semiHidden/>
    <w:unhideWhenUsed/>
    <w:rsid w:val="00CE0681"/>
    <w:pPr>
      <w:spacing w:line="240" w:lineRule="auto"/>
    </w:pPr>
    <w:rPr>
      <w:sz w:val="20"/>
      <w:szCs w:val="20"/>
    </w:rPr>
  </w:style>
  <w:style w:type="character" w:customStyle="1" w:styleId="CommentTextChar">
    <w:name w:val="Comment Text Char"/>
    <w:basedOn w:val="DefaultParagraphFont"/>
    <w:link w:val="CommentText"/>
    <w:uiPriority w:val="99"/>
    <w:semiHidden/>
    <w:rsid w:val="00CE0681"/>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E0681"/>
    <w:rPr>
      <w:b/>
      <w:bCs/>
    </w:rPr>
  </w:style>
  <w:style w:type="character" w:customStyle="1" w:styleId="CommentSubjectChar">
    <w:name w:val="Comment Subject Char"/>
    <w:basedOn w:val="CommentTextChar"/>
    <w:link w:val="CommentSubject"/>
    <w:uiPriority w:val="99"/>
    <w:semiHidden/>
    <w:rsid w:val="00CE0681"/>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4886">
      <w:bodyDiv w:val="1"/>
      <w:marLeft w:val="0"/>
      <w:marRight w:val="0"/>
      <w:marTop w:val="0"/>
      <w:marBottom w:val="0"/>
      <w:divBdr>
        <w:top w:val="none" w:sz="0" w:space="0" w:color="auto"/>
        <w:left w:val="none" w:sz="0" w:space="0" w:color="auto"/>
        <w:bottom w:val="none" w:sz="0" w:space="0" w:color="auto"/>
        <w:right w:val="none" w:sz="0" w:space="0" w:color="auto"/>
      </w:divBdr>
    </w:div>
    <w:div w:id="364797989">
      <w:bodyDiv w:val="1"/>
      <w:marLeft w:val="0"/>
      <w:marRight w:val="0"/>
      <w:marTop w:val="0"/>
      <w:marBottom w:val="0"/>
      <w:divBdr>
        <w:top w:val="none" w:sz="0" w:space="0" w:color="auto"/>
        <w:left w:val="none" w:sz="0" w:space="0" w:color="auto"/>
        <w:bottom w:val="none" w:sz="0" w:space="0" w:color="auto"/>
        <w:right w:val="none" w:sz="0" w:space="0" w:color="auto"/>
      </w:divBdr>
    </w:div>
    <w:div w:id="697390217">
      <w:bodyDiv w:val="1"/>
      <w:marLeft w:val="0"/>
      <w:marRight w:val="0"/>
      <w:marTop w:val="0"/>
      <w:marBottom w:val="0"/>
      <w:divBdr>
        <w:top w:val="none" w:sz="0" w:space="0" w:color="auto"/>
        <w:left w:val="none" w:sz="0" w:space="0" w:color="auto"/>
        <w:bottom w:val="none" w:sz="0" w:space="0" w:color="auto"/>
        <w:right w:val="none" w:sz="0" w:space="0" w:color="auto"/>
      </w:divBdr>
    </w:div>
    <w:div w:id="875695821">
      <w:bodyDiv w:val="1"/>
      <w:marLeft w:val="0"/>
      <w:marRight w:val="0"/>
      <w:marTop w:val="0"/>
      <w:marBottom w:val="0"/>
      <w:divBdr>
        <w:top w:val="none" w:sz="0" w:space="0" w:color="auto"/>
        <w:left w:val="none" w:sz="0" w:space="0" w:color="auto"/>
        <w:bottom w:val="none" w:sz="0" w:space="0" w:color="auto"/>
        <w:right w:val="none" w:sz="0" w:space="0" w:color="auto"/>
      </w:divBdr>
    </w:div>
    <w:div w:id="974023690">
      <w:bodyDiv w:val="1"/>
      <w:marLeft w:val="0"/>
      <w:marRight w:val="0"/>
      <w:marTop w:val="0"/>
      <w:marBottom w:val="0"/>
      <w:divBdr>
        <w:top w:val="none" w:sz="0" w:space="0" w:color="auto"/>
        <w:left w:val="none" w:sz="0" w:space="0" w:color="auto"/>
        <w:bottom w:val="none" w:sz="0" w:space="0" w:color="auto"/>
        <w:right w:val="none" w:sz="0" w:space="0" w:color="auto"/>
      </w:divBdr>
    </w:div>
    <w:div w:id="1156722969">
      <w:bodyDiv w:val="1"/>
      <w:marLeft w:val="0"/>
      <w:marRight w:val="0"/>
      <w:marTop w:val="0"/>
      <w:marBottom w:val="0"/>
      <w:divBdr>
        <w:top w:val="none" w:sz="0" w:space="0" w:color="auto"/>
        <w:left w:val="none" w:sz="0" w:space="0" w:color="auto"/>
        <w:bottom w:val="none" w:sz="0" w:space="0" w:color="auto"/>
        <w:right w:val="none" w:sz="0" w:space="0" w:color="auto"/>
      </w:divBdr>
    </w:div>
    <w:div w:id="1552039069">
      <w:bodyDiv w:val="1"/>
      <w:marLeft w:val="0"/>
      <w:marRight w:val="0"/>
      <w:marTop w:val="0"/>
      <w:marBottom w:val="0"/>
      <w:divBdr>
        <w:top w:val="none" w:sz="0" w:space="0" w:color="auto"/>
        <w:left w:val="none" w:sz="0" w:space="0" w:color="auto"/>
        <w:bottom w:val="none" w:sz="0" w:space="0" w:color="auto"/>
        <w:right w:val="none" w:sz="0" w:space="0" w:color="auto"/>
      </w:divBdr>
    </w:div>
    <w:div w:id="1621912081">
      <w:bodyDiv w:val="1"/>
      <w:marLeft w:val="0"/>
      <w:marRight w:val="0"/>
      <w:marTop w:val="0"/>
      <w:marBottom w:val="0"/>
      <w:divBdr>
        <w:top w:val="none" w:sz="0" w:space="0" w:color="auto"/>
        <w:left w:val="none" w:sz="0" w:space="0" w:color="auto"/>
        <w:bottom w:val="none" w:sz="0" w:space="0" w:color="auto"/>
        <w:right w:val="none" w:sz="0" w:space="0" w:color="auto"/>
      </w:divBdr>
    </w:div>
    <w:div w:id="1727220571">
      <w:bodyDiv w:val="1"/>
      <w:marLeft w:val="0"/>
      <w:marRight w:val="0"/>
      <w:marTop w:val="0"/>
      <w:marBottom w:val="0"/>
      <w:divBdr>
        <w:top w:val="none" w:sz="0" w:space="0" w:color="auto"/>
        <w:left w:val="none" w:sz="0" w:space="0" w:color="auto"/>
        <w:bottom w:val="none" w:sz="0" w:space="0" w:color="auto"/>
        <w:right w:val="none" w:sz="0" w:space="0" w:color="auto"/>
      </w:divBdr>
    </w:div>
    <w:div w:id="1986615941">
      <w:bodyDiv w:val="1"/>
      <w:marLeft w:val="0"/>
      <w:marRight w:val="0"/>
      <w:marTop w:val="0"/>
      <w:marBottom w:val="0"/>
      <w:divBdr>
        <w:top w:val="none" w:sz="0" w:space="0" w:color="auto"/>
        <w:left w:val="none" w:sz="0" w:space="0" w:color="auto"/>
        <w:bottom w:val="none" w:sz="0" w:space="0" w:color="auto"/>
        <w:right w:val="none" w:sz="0" w:space="0" w:color="auto"/>
      </w:divBdr>
    </w:div>
    <w:div w:id="205719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Excel_Worksheet3.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package" Target="embeddings/Microsoft_Excel_Worksheet.xls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png"/><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Excel_Worksheet4.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5E87-70EF-124F-BFDF-87926FB4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Garrett-Larsen, Jesse</dc:creator>
  <cp:keywords/>
  <dc:description/>
  <cp:lastModifiedBy>Garrett-Larsen, Jesse</cp:lastModifiedBy>
  <cp:revision>2</cp:revision>
  <dcterms:created xsi:type="dcterms:W3CDTF">2025-06-06T18:32:00Z</dcterms:created>
  <dcterms:modified xsi:type="dcterms:W3CDTF">2025-06-06T18:32:00Z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zotero-version="7.1-beta.36+1eacc8bbd"&gt;&lt;session id="hWylSRKX"/&gt;&lt;style id="http://www.zotero.org/styles/nature" hasBibliography="1" bibliographyStyleHasBeenSet="1"/&gt;&lt;prefs&gt;&lt;pref name="fieldType" value="Field"/&gt;&lt;/prefs&gt;&lt;/data&gt;</vt:lpwstr>
  </property>
</Properties>
</file>