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C45C6" w14:textId="5DE67637" w:rsidR="001F6A26" w:rsidRDefault="001F6A26" w:rsidP="00E05E8F">
      <w:pPr>
        <w:snapToGrid w:val="0"/>
        <w:spacing w:line="480" w:lineRule="auto"/>
        <w:rPr>
          <w:rFonts w:ascii="Times New Roman" w:hAnsi="Times New Roman" w:cs="Times New Roman"/>
          <w:b/>
          <w:bCs/>
          <w:szCs w:val="21"/>
        </w:rPr>
      </w:pPr>
      <w:r>
        <w:rPr>
          <w:rFonts w:ascii="Times New Roman" w:hAnsi="Times New Roman" w:cs="Times New Roman" w:hint="eastAsia"/>
          <w:b/>
          <w:bCs/>
          <w:szCs w:val="21"/>
        </w:rPr>
        <w:t xml:space="preserve">Supplementary figure </w:t>
      </w:r>
    </w:p>
    <w:p w14:paraId="0955F987" w14:textId="70C544A4" w:rsidR="003D5D36" w:rsidRDefault="008F6CD1" w:rsidP="00E05E8F">
      <w:pPr>
        <w:snapToGrid w:val="0"/>
        <w:spacing w:line="480" w:lineRule="auto"/>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5AE743E2" wp14:editId="5F914E3F">
            <wp:extent cx="5274310" cy="4344035"/>
            <wp:effectExtent l="0" t="0" r="0" b="0"/>
            <wp:docPr id="2094820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20103" name="图片 209482010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4344035"/>
                    </a:xfrm>
                    <a:prstGeom prst="rect">
                      <a:avLst/>
                    </a:prstGeom>
                  </pic:spPr>
                </pic:pic>
              </a:graphicData>
            </a:graphic>
          </wp:inline>
        </w:drawing>
      </w:r>
    </w:p>
    <w:p w14:paraId="65EC36E9" w14:textId="63247804" w:rsidR="00E05E8F" w:rsidRPr="00E05E8F" w:rsidRDefault="00E05E8F" w:rsidP="00E05E8F">
      <w:pPr>
        <w:snapToGrid w:val="0"/>
        <w:spacing w:line="480" w:lineRule="auto"/>
        <w:rPr>
          <w:rFonts w:ascii="Times New Roman" w:hAnsi="Times New Roman" w:cs="Times New Roman"/>
          <w:b/>
          <w:bCs/>
          <w:szCs w:val="21"/>
        </w:rPr>
      </w:pPr>
      <w:r w:rsidRPr="00E05E8F">
        <w:rPr>
          <w:rFonts w:ascii="Times New Roman" w:hAnsi="Times New Roman" w:cs="Times New Roman" w:hint="eastAsia"/>
          <w:b/>
          <w:bCs/>
          <w:szCs w:val="21"/>
        </w:rPr>
        <w:t>Fig. S1</w:t>
      </w:r>
      <w:r w:rsidR="00A5733C">
        <w:rPr>
          <w:rFonts w:ascii="Times New Roman" w:hAnsi="Times New Roman" w:cs="Times New Roman" w:hint="eastAsia"/>
          <w:b/>
          <w:bCs/>
          <w:szCs w:val="21"/>
        </w:rPr>
        <w:t>.</w:t>
      </w:r>
      <w:r w:rsidRPr="00E05E8F">
        <w:rPr>
          <w:rFonts w:ascii="Times New Roman" w:hAnsi="Times New Roman" w:cs="Times New Roman"/>
          <w:b/>
          <w:bCs/>
          <w:szCs w:val="21"/>
        </w:rPr>
        <w:t xml:space="preserve"> RFC4 gene expression in TCGA </w:t>
      </w:r>
      <w:proofErr w:type="spellStart"/>
      <w:r w:rsidRPr="00E05E8F">
        <w:rPr>
          <w:rFonts w:ascii="Times New Roman" w:hAnsi="Times New Roman" w:cs="Times New Roman"/>
          <w:b/>
          <w:bCs/>
          <w:szCs w:val="21"/>
        </w:rPr>
        <w:t>PanCancer</w:t>
      </w:r>
      <w:proofErr w:type="spellEnd"/>
      <w:r w:rsidRPr="00E05E8F">
        <w:rPr>
          <w:rFonts w:ascii="Times New Roman" w:hAnsi="Times New Roman" w:cs="Times New Roman"/>
          <w:b/>
          <w:bCs/>
          <w:szCs w:val="21"/>
        </w:rPr>
        <w:t xml:space="preserve"> database. </w:t>
      </w:r>
    </w:p>
    <w:p w14:paraId="1928938C" w14:textId="42162091" w:rsidR="00E05E8F" w:rsidRPr="00555CF8" w:rsidRDefault="00E05E8F" w:rsidP="00E05E8F">
      <w:pPr>
        <w:snapToGrid w:val="0"/>
        <w:spacing w:line="480" w:lineRule="auto"/>
        <w:rPr>
          <w:rFonts w:ascii="Times New Roman" w:hAnsi="Times New Roman" w:cs="Times New Roman"/>
          <w:szCs w:val="21"/>
        </w:rPr>
      </w:pPr>
      <w:r w:rsidRPr="00555CF8">
        <w:rPr>
          <w:rFonts w:ascii="Times New Roman" w:hAnsi="Times New Roman" w:cs="Times New Roman"/>
          <w:szCs w:val="21"/>
        </w:rPr>
        <w:t>A) Analysis of RFC4 mRNA expression across multiple glioblastoma cohorts in the BEST database (https://rookieutopia.hiplot.com.cn/app_direct/BEST/) revealed consistent upregulation in GBM specimens compared to non-tumor controls. B) BEST database analysis revealed higher RFC4 expression in recurrent tumors. C) Kaplan–Meier survival analysis on cases with RFC4</w:t>
      </w:r>
      <w:r w:rsidRPr="00555CF8">
        <w:rPr>
          <w:rFonts w:ascii="Times New Roman" w:hAnsi="Times New Roman" w:cs="Times New Roman"/>
          <w:szCs w:val="21"/>
          <w:vertAlign w:val="superscript"/>
        </w:rPr>
        <w:t>High</w:t>
      </w:r>
      <w:r w:rsidRPr="00555CF8">
        <w:rPr>
          <w:rFonts w:ascii="Times New Roman" w:hAnsi="Times New Roman" w:cs="Times New Roman"/>
          <w:szCs w:val="21"/>
        </w:rPr>
        <w:t xml:space="preserve"> vs. RFC4</w:t>
      </w:r>
      <w:r w:rsidRPr="00555CF8">
        <w:rPr>
          <w:rFonts w:ascii="Times New Roman" w:hAnsi="Times New Roman" w:cs="Times New Roman"/>
          <w:szCs w:val="21"/>
          <w:vertAlign w:val="superscript"/>
        </w:rPr>
        <w:t>Low</w:t>
      </w:r>
      <w:r w:rsidRPr="00555CF8">
        <w:rPr>
          <w:rFonts w:ascii="Times New Roman" w:hAnsi="Times New Roman" w:cs="Times New Roman"/>
          <w:szCs w:val="21"/>
        </w:rPr>
        <w:t xml:space="preserve"> from TCGA-GBMLGG (left) and CGGA (right) database. D) High RFC4 expression promotes tumor recurrence and shortens time to recurrence. E) Patients undergoing chemotherapy exhibited elevated RFC4 expression compared to untreated controls in TCGA-GBMLGG database. F) Kaplan–Meier survival analysis and recurrence curve on cases receiving chemotherapy without radiation therapy under specific gene expression patterns according to TCGA_GBMLGG database. Elevated RFC4 expression is associated with reduced overall survival (OS) in glioblastoma patients receiving chemoradiotherapy, particularly demonstrating pronounced prognostic impact in chemotherapy-only treated cohorts. </w:t>
      </w:r>
      <w:r>
        <w:rPr>
          <w:rFonts w:ascii="Times New Roman" w:hAnsi="Times New Roman" w:cs="Times New Roman" w:hint="eastAsia"/>
          <w:szCs w:val="21"/>
        </w:rPr>
        <w:t xml:space="preserve">G, H) </w:t>
      </w:r>
      <w:r w:rsidRPr="00555CF8">
        <w:rPr>
          <w:rFonts w:ascii="Times New Roman" w:hAnsi="Times New Roman" w:cs="Times New Roman"/>
          <w:szCs w:val="21"/>
        </w:rPr>
        <w:t>Stable isogenic U251</w:t>
      </w:r>
      <w:r>
        <w:rPr>
          <w:rFonts w:ascii="Times New Roman" w:hAnsi="Times New Roman" w:cs="Times New Roman" w:hint="eastAsia"/>
          <w:szCs w:val="21"/>
        </w:rPr>
        <w:t xml:space="preserve"> and Ln18</w:t>
      </w:r>
      <w:r w:rsidRPr="00555CF8">
        <w:rPr>
          <w:rFonts w:ascii="Times New Roman" w:hAnsi="Times New Roman" w:cs="Times New Roman"/>
          <w:szCs w:val="21"/>
        </w:rPr>
        <w:t xml:space="preserve"> cell lines with RFC4 </w:t>
      </w:r>
      <w:r w:rsidRPr="00555CF8">
        <w:rPr>
          <w:rFonts w:ascii="Times New Roman" w:hAnsi="Times New Roman" w:cs="Times New Roman"/>
          <w:szCs w:val="21"/>
        </w:rPr>
        <w:lastRenderedPageBreak/>
        <w:t>overexpression (</w:t>
      </w:r>
      <w:r>
        <w:rPr>
          <w:rFonts w:ascii="Times New Roman" w:hAnsi="Times New Roman" w:cs="Times New Roman" w:hint="eastAsia"/>
          <w:szCs w:val="21"/>
        </w:rPr>
        <w:t>G</w:t>
      </w:r>
      <w:r w:rsidRPr="00555CF8">
        <w:rPr>
          <w:rFonts w:ascii="Times New Roman" w:hAnsi="Times New Roman" w:cs="Times New Roman"/>
          <w:szCs w:val="21"/>
        </w:rPr>
        <w:t>) and shRNA-mediated knockdown (</w:t>
      </w:r>
      <w:r>
        <w:rPr>
          <w:rFonts w:ascii="Times New Roman" w:hAnsi="Times New Roman" w:cs="Times New Roman" w:hint="eastAsia"/>
          <w:szCs w:val="21"/>
        </w:rPr>
        <w:t>H</w:t>
      </w:r>
      <w:r w:rsidRPr="00555CF8">
        <w:rPr>
          <w:rFonts w:ascii="Times New Roman" w:hAnsi="Times New Roman" w:cs="Times New Roman"/>
          <w:szCs w:val="21"/>
        </w:rPr>
        <w:t>) were established, with RFC4 expression levels validated by western blot (β-actin loading control).</w:t>
      </w:r>
    </w:p>
    <w:p w14:paraId="53D5EFA2" w14:textId="783C0BC2" w:rsidR="00241000" w:rsidRDefault="0046423E" w:rsidP="00E05E8F">
      <w:pPr>
        <w:snapToGrid w:val="0"/>
        <w:spacing w:line="480" w:lineRule="auto"/>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329BF92E" wp14:editId="564F1509">
            <wp:extent cx="5274310" cy="3722370"/>
            <wp:effectExtent l="0" t="0" r="0" b="0"/>
            <wp:docPr id="11661097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109761" name="图片 11661097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22370"/>
                    </a:xfrm>
                    <a:prstGeom prst="rect">
                      <a:avLst/>
                    </a:prstGeom>
                  </pic:spPr>
                </pic:pic>
              </a:graphicData>
            </a:graphic>
          </wp:inline>
        </w:drawing>
      </w:r>
    </w:p>
    <w:p w14:paraId="6ED7BCA8" w14:textId="09E5D194" w:rsidR="00F62548" w:rsidRDefault="00241000" w:rsidP="00241000">
      <w:pPr>
        <w:snapToGrid w:val="0"/>
        <w:spacing w:line="480" w:lineRule="auto"/>
        <w:rPr>
          <w:rFonts w:ascii="Times New Roman" w:hAnsi="Times New Roman" w:cs="Times New Roman"/>
          <w:b/>
          <w:bCs/>
          <w:szCs w:val="21"/>
        </w:rPr>
      </w:pPr>
      <w:r w:rsidRPr="00241000">
        <w:rPr>
          <w:rFonts w:ascii="Times New Roman" w:hAnsi="Times New Roman" w:cs="Times New Roman"/>
          <w:b/>
          <w:bCs/>
          <w:szCs w:val="21"/>
        </w:rPr>
        <w:t>Fig</w:t>
      </w:r>
      <w:r w:rsidR="00F62548">
        <w:rPr>
          <w:rFonts w:ascii="Times New Roman" w:hAnsi="Times New Roman" w:cs="Times New Roman" w:hint="eastAsia"/>
          <w:b/>
          <w:bCs/>
          <w:szCs w:val="21"/>
        </w:rPr>
        <w:t>.</w:t>
      </w:r>
      <w:r w:rsidRPr="00241000">
        <w:rPr>
          <w:rFonts w:ascii="Times New Roman" w:hAnsi="Times New Roman" w:cs="Times New Roman"/>
          <w:b/>
          <w:bCs/>
          <w:szCs w:val="21"/>
        </w:rPr>
        <w:t xml:space="preserve"> S2</w:t>
      </w:r>
      <w:r w:rsidR="00A5733C">
        <w:rPr>
          <w:rFonts w:ascii="Times New Roman" w:hAnsi="Times New Roman" w:cs="Times New Roman" w:hint="eastAsia"/>
          <w:b/>
          <w:bCs/>
          <w:szCs w:val="21"/>
        </w:rPr>
        <w:t>.</w:t>
      </w:r>
      <w:r w:rsidRPr="00241000">
        <w:rPr>
          <w:rFonts w:ascii="Times New Roman" w:hAnsi="Times New Roman" w:cs="Times New Roman"/>
          <w:b/>
          <w:bCs/>
          <w:szCs w:val="21"/>
        </w:rPr>
        <w:t xml:space="preserve"> Gene Set Enrichment Analysis (GSEA) reveals enrichment of autophagy pathway in recurrent glioblastoma and RFC4-high tumors.​​</w:t>
      </w:r>
    </w:p>
    <w:p w14:paraId="6002BDBF" w14:textId="77777777" w:rsidR="00833FF8" w:rsidRPr="00833FF8" w:rsidRDefault="00241000" w:rsidP="00833FF8">
      <w:pPr>
        <w:snapToGrid w:val="0"/>
        <w:spacing w:line="480" w:lineRule="auto"/>
        <w:rPr>
          <w:rFonts w:ascii="Times New Roman" w:hAnsi="Times New Roman" w:cs="Times New Roman"/>
          <w:szCs w:val="21"/>
        </w:rPr>
      </w:pPr>
      <w:r w:rsidRPr="00241000">
        <w:rPr>
          <w:rFonts w:ascii="Times New Roman" w:hAnsi="Times New Roman" w:cs="Times New Roman"/>
          <w:szCs w:val="21"/>
        </w:rPr>
        <w:t xml:space="preserve">A, B)​​ </w:t>
      </w:r>
      <w:r w:rsidR="00F318D3" w:rsidRPr="00F318D3">
        <w:rPr>
          <w:rFonts w:ascii="Times New Roman" w:hAnsi="Times New Roman" w:cs="Times New Roman"/>
          <w:szCs w:val="21"/>
        </w:rPr>
        <w:t>Significant enrichment of the REACTOME_AUTOPHAGY gene set in recurrent versus primary glioblastoma (</w:t>
      </w:r>
      <w:proofErr w:type="spellStart"/>
      <w:r w:rsidR="00F318D3" w:rsidRPr="00F318D3">
        <w:rPr>
          <w:rFonts w:ascii="Times New Roman" w:hAnsi="Times New Roman" w:cs="Times New Roman"/>
          <w:szCs w:val="21"/>
        </w:rPr>
        <w:t>rGBM</w:t>
      </w:r>
      <w:proofErr w:type="spellEnd"/>
      <w:r w:rsidR="00F318D3" w:rsidRPr="00F318D3">
        <w:rPr>
          <w:rFonts w:ascii="Times New Roman" w:hAnsi="Times New Roman" w:cs="Times New Roman"/>
          <w:szCs w:val="21"/>
        </w:rPr>
        <w:t xml:space="preserve"> vs. </w:t>
      </w:r>
      <w:proofErr w:type="spellStart"/>
      <w:r w:rsidR="00F318D3" w:rsidRPr="00F318D3">
        <w:rPr>
          <w:rFonts w:ascii="Times New Roman" w:hAnsi="Times New Roman" w:cs="Times New Roman"/>
          <w:szCs w:val="21"/>
        </w:rPr>
        <w:t>pGBM</w:t>
      </w:r>
      <w:proofErr w:type="spellEnd"/>
      <w:r w:rsidR="00F318D3" w:rsidRPr="00F318D3">
        <w:rPr>
          <w:rFonts w:ascii="Times New Roman" w:hAnsi="Times New Roman" w:cs="Times New Roman"/>
          <w:szCs w:val="21"/>
        </w:rPr>
        <w:t>) was demonstrated by GSEA analysis of the CGGA database.​</w:t>
      </w:r>
      <w:r w:rsidR="002616F7">
        <w:rPr>
          <w:rFonts w:ascii="Times New Roman" w:hAnsi="Times New Roman" w:cs="Times New Roman" w:hint="eastAsia"/>
          <w:szCs w:val="21"/>
        </w:rPr>
        <w:t xml:space="preserve"> </w:t>
      </w:r>
      <w:r w:rsidRPr="00241000">
        <w:rPr>
          <w:rFonts w:ascii="Times New Roman" w:hAnsi="Times New Roman" w:cs="Times New Roman"/>
          <w:szCs w:val="21"/>
        </w:rPr>
        <w:t xml:space="preserve">C, D)​​ </w:t>
      </w:r>
      <w:r w:rsidR="00833FF8" w:rsidRPr="00833FF8">
        <w:rPr>
          <w:rFonts w:ascii="Times New Roman" w:hAnsi="Times New Roman" w:cs="Times New Roman"/>
          <w:szCs w:val="21"/>
        </w:rPr>
        <w:t>GSEA (CGGA): REACTOME_AUTOPHAGY enriched in RFC4-high vs. RFC4-low GBM tumors.</w:t>
      </w:r>
    </w:p>
    <w:p w14:paraId="65BB6E14" w14:textId="28C6887B" w:rsidR="00E05E8F" w:rsidRPr="003A3CC7" w:rsidRDefault="00241000" w:rsidP="00E05E8F">
      <w:pPr>
        <w:snapToGrid w:val="0"/>
        <w:spacing w:line="480" w:lineRule="auto"/>
        <w:rPr>
          <w:rFonts w:ascii="Times New Roman" w:hAnsi="Times New Roman" w:cs="Times New Roman"/>
          <w:b/>
          <w:bCs/>
          <w:szCs w:val="21"/>
        </w:rPr>
      </w:pPr>
      <w:r w:rsidRPr="00241000">
        <w:rPr>
          <w:rFonts w:ascii="Times New Roman" w:hAnsi="Times New Roman" w:cs="Times New Roman"/>
          <w:b/>
          <w:bCs/>
          <w:szCs w:val="21"/>
        </w:rPr>
        <w:lastRenderedPageBreak/>
        <w:t>​</w:t>
      </w:r>
      <w:r w:rsidR="0046423E">
        <w:rPr>
          <w:rFonts w:ascii="Times New Roman" w:hAnsi="Times New Roman" w:cs="Times New Roman"/>
          <w:b/>
          <w:bCs/>
          <w:noProof/>
          <w:szCs w:val="21"/>
        </w:rPr>
        <w:drawing>
          <wp:inline distT="0" distB="0" distL="0" distR="0" wp14:anchorId="636EB1B8" wp14:editId="79052AFD">
            <wp:extent cx="5274310" cy="2791460"/>
            <wp:effectExtent l="0" t="0" r="0" b="0"/>
            <wp:docPr id="17048757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75704" name="图片 17048757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791460"/>
                    </a:xfrm>
                    <a:prstGeom prst="rect">
                      <a:avLst/>
                    </a:prstGeom>
                  </pic:spPr>
                </pic:pic>
              </a:graphicData>
            </a:graphic>
          </wp:inline>
        </w:drawing>
      </w:r>
    </w:p>
    <w:p w14:paraId="5211965C" w14:textId="513080EA" w:rsidR="00E05E8F" w:rsidRDefault="00E05E8F" w:rsidP="00E05E8F">
      <w:pPr>
        <w:snapToGrid w:val="0"/>
        <w:spacing w:line="480" w:lineRule="auto"/>
        <w:rPr>
          <w:rFonts w:ascii="Times New Roman" w:hAnsi="Times New Roman" w:cs="Times New Roman"/>
          <w:szCs w:val="21"/>
        </w:rPr>
      </w:pPr>
      <w:r w:rsidRPr="00E05E8F">
        <w:rPr>
          <w:rFonts w:ascii="Times New Roman" w:hAnsi="Times New Roman" w:cs="Times New Roman" w:hint="eastAsia"/>
          <w:b/>
          <w:bCs/>
          <w:szCs w:val="21"/>
        </w:rPr>
        <w:t>Fig. S</w:t>
      </w:r>
      <w:r>
        <w:rPr>
          <w:rFonts w:ascii="Times New Roman" w:hAnsi="Times New Roman" w:cs="Times New Roman" w:hint="eastAsia"/>
          <w:b/>
          <w:bCs/>
          <w:szCs w:val="21"/>
        </w:rPr>
        <w:t>3</w:t>
      </w:r>
      <w:r w:rsidR="00A5733C">
        <w:rPr>
          <w:rFonts w:ascii="Times New Roman" w:hAnsi="Times New Roman" w:cs="Times New Roman" w:hint="eastAsia"/>
          <w:b/>
          <w:bCs/>
          <w:szCs w:val="21"/>
        </w:rPr>
        <w:t>.</w:t>
      </w:r>
      <w:r w:rsidRPr="00E05E8F">
        <w:rPr>
          <w:rFonts w:ascii="Times New Roman" w:hAnsi="Times New Roman" w:cs="Times New Roman"/>
          <w:b/>
          <w:bCs/>
          <w:szCs w:val="21"/>
        </w:rPr>
        <w:t xml:space="preserve"> The clinical and therapeutic significance of STK38 in GBM.</w:t>
      </w:r>
      <w:r w:rsidRPr="00555CF8">
        <w:rPr>
          <w:rFonts w:ascii="Times New Roman" w:hAnsi="Times New Roman" w:cs="Times New Roman"/>
          <w:szCs w:val="21"/>
        </w:rPr>
        <w:t xml:space="preserve"> </w:t>
      </w:r>
    </w:p>
    <w:p w14:paraId="431F17EC" w14:textId="17EF4AB4" w:rsidR="00E05E8F" w:rsidRDefault="00E05E8F" w:rsidP="00E05E8F">
      <w:pPr>
        <w:snapToGrid w:val="0"/>
        <w:spacing w:line="480" w:lineRule="auto"/>
        <w:rPr>
          <w:rFonts w:ascii="Times New Roman" w:hAnsi="Times New Roman" w:cs="Times New Roman"/>
          <w:szCs w:val="21"/>
        </w:rPr>
      </w:pPr>
      <w:r w:rsidRPr="00555CF8">
        <w:rPr>
          <w:rFonts w:ascii="Times New Roman" w:hAnsi="Times New Roman" w:cs="Times New Roman"/>
          <w:szCs w:val="21"/>
        </w:rPr>
        <w:t xml:space="preserve">A-C) STK38 mRNA expression is significantly elevated in GBM compared to non-tumor tissues (A) and progressively increases with higher WHO tumor grades (​B), particularly in IDH-wildtype subtypes(C). D) Therapeutic exposures modulate STK38 levels, showing marked upregulation in chemotherapy-treated patients (​P=0.0108) and dose-dependent induction by TMZ across six GBM cell lines (E, 100-800μM, ​**​P&lt;0.001). F) Survival analyses of three independent CGGA cohorts (301/325/693, total n=1,263) reveal STK38-high patients exhibit substantially reduced median overall survival. </w:t>
      </w:r>
    </w:p>
    <w:p w14:paraId="46042BE2" w14:textId="77777777" w:rsidR="0006575E" w:rsidRDefault="0006575E" w:rsidP="00E05E8F">
      <w:pPr>
        <w:snapToGrid w:val="0"/>
        <w:spacing w:line="480" w:lineRule="auto"/>
        <w:rPr>
          <w:rFonts w:ascii="Times New Roman" w:hAnsi="Times New Roman" w:cs="Times New Roman"/>
          <w:szCs w:val="21"/>
        </w:rPr>
      </w:pPr>
    </w:p>
    <w:p w14:paraId="5A86C004" w14:textId="77777777" w:rsidR="0006575E" w:rsidRDefault="0006575E" w:rsidP="00E05E8F">
      <w:pPr>
        <w:snapToGrid w:val="0"/>
        <w:spacing w:line="480" w:lineRule="auto"/>
        <w:rPr>
          <w:rFonts w:ascii="Times New Roman" w:hAnsi="Times New Roman" w:cs="Times New Roman"/>
          <w:szCs w:val="21"/>
        </w:rPr>
      </w:pPr>
    </w:p>
    <w:p w14:paraId="30C393F3" w14:textId="77777777" w:rsidR="0006575E" w:rsidRPr="00E05E8F" w:rsidRDefault="0006575E" w:rsidP="00E05E8F">
      <w:pPr>
        <w:snapToGrid w:val="0"/>
        <w:spacing w:line="480" w:lineRule="auto"/>
        <w:rPr>
          <w:rFonts w:ascii="Times New Roman" w:hAnsi="Times New Roman" w:cs="Times New Roman" w:hint="eastAsia"/>
          <w:b/>
          <w:bCs/>
          <w:szCs w:val="21"/>
        </w:rPr>
      </w:pPr>
    </w:p>
    <w:p w14:paraId="1AE58504" w14:textId="47E7FF29" w:rsidR="00E05E8F" w:rsidRPr="00555CF8" w:rsidRDefault="0046423E" w:rsidP="00E05E8F">
      <w:pPr>
        <w:snapToGrid w:val="0"/>
        <w:spacing w:line="48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2A34B4EB" wp14:editId="44151CF8">
            <wp:extent cx="5274310" cy="2791460"/>
            <wp:effectExtent l="0" t="0" r="0" b="0"/>
            <wp:docPr id="790149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4986" name="图片 790149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791460"/>
                    </a:xfrm>
                    <a:prstGeom prst="rect">
                      <a:avLst/>
                    </a:prstGeom>
                  </pic:spPr>
                </pic:pic>
              </a:graphicData>
            </a:graphic>
          </wp:inline>
        </w:drawing>
      </w:r>
    </w:p>
    <w:p w14:paraId="318EE226" w14:textId="18C66622" w:rsidR="00263A7F" w:rsidRPr="00263A7F" w:rsidRDefault="00263A7F" w:rsidP="00E05E8F">
      <w:pPr>
        <w:snapToGrid w:val="0"/>
        <w:spacing w:line="480" w:lineRule="auto"/>
        <w:rPr>
          <w:rFonts w:ascii="Times New Roman" w:hAnsi="Times New Roman" w:cs="Times New Roman"/>
          <w:b/>
          <w:bCs/>
          <w:szCs w:val="21"/>
        </w:rPr>
      </w:pPr>
      <w:r w:rsidRPr="00E05E8F">
        <w:rPr>
          <w:rFonts w:ascii="Times New Roman" w:hAnsi="Times New Roman" w:cs="Times New Roman" w:hint="eastAsia"/>
          <w:b/>
          <w:bCs/>
          <w:szCs w:val="21"/>
        </w:rPr>
        <w:t>Fig. S</w:t>
      </w:r>
      <w:r>
        <w:rPr>
          <w:rFonts w:ascii="Times New Roman" w:hAnsi="Times New Roman" w:cs="Times New Roman" w:hint="eastAsia"/>
          <w:b/>
          <w:bCs/>
          <w:szCs w:val="21"/>
        </w:rPr>
        <w:t>4</w:t>
      </w:r>
      <w:r w:rsidR="00A5733C">
        <w:rPr>
          <w:rFonts w:ascii="Times New Roman" w:hAnsi="Times New Roman" w:cs="Times New Roman" w:hint="eastAsia"/>
          <w:b/>
          <w:bCs/>
          <w:szCs w:val="21"/>
        </w:rPr>
        <w:t>.</w:t>
      </w:r>
      <w:r w:rsidR="00E05E8F" w:rsidRPr="00263A7F">
        <w:rPr>
          <w:rFonts w:ascii="Times New Roman" w:hAnsi="Times New Roman" w:cs="Times New Roman"/>
          <w:b/>
          <w:bCs/>
          <w:szCs w:val="21"/>
        </w:rPr>
        <w:t xml:space="preserve"> Integrated analysis demonstrates the functional dependence of RFC4 on STK38 in glioma progression. </w:t>
      </w:r>
    </w:p>
    <w:p w14:paraId="722C9A7B" w14:textId="4895B007" w:rsidR="00E05E8F" w:rsidRDefault="00E05E8F" w:rsidP="00E05E8F">
      <w:pPr>
        <w:snapToGrid w:val="0"/>
        <w:spacing w:line="480" w:lineRule="auto"/>
        <w:rPr>
          <w:rFonts w:ascii="Times New Roman" w:hAnsi="Times New Roman" w:cs="Times New Roman"/>
          <w:szCs w:val="21"/>
        </w:rPr>
      </w:pPr>
      <w:r w:rsidRPr="00555CF8">
        <w:rPr>
          <w:rFonts w:ascii="Times New Roman" w:hAnsi="Times New Roman" w:cs="Times New Roman"/>
          <w:szCs w:val="21"/>
        </w:rPr>
        <w:t>A) Scatter plots reveal a significant positive correlation between </w:t>
      </w:r>
      <w:r w:rsidRPr="00731D03">
        <w:rPr>
          <w:rFonts w:ascii="Times New Roman" w:hAnsi="Times New Roman" w:cs="Times New Roman"/>
          <w:szCs w:val="21"/>
        </w:rPr>
        <w:t>STK38</w:t>
      </w:r>
      <w:r w:rsidRPr="00555CF8">
        <w:rPr>
          <w:rFonts w:ascii="Times New Roman" w:hAnsi="Times New Roman" w:cs="Times New Roman"/>
          <w:szCs w:val="21"/>
        </w:rPr>
        <w:t> and </w:t>
      </w:r>
      <w:r w:rsidRPr="00731D03">
        <w:rPr>
          <w:rFonts w:ascii="Times New Roman" w:hAnsi="Times New Roman" w:cs="Times New Roman"/>
          <w:szCs w:val="21"/>
        </w:rPr>
        <w:t>RFC4</w:t>
      </w:r>
      <w:r w:rsidRPr="00555CF8">
        <w:rPr>
          <w:rFonts w:ascii="Times New Roman" w:hAnsi="Times New Roman" w:cs="Times New Roman"/>
          <w:szCs w:val="21"/>
        </w:rPr>
        <w:t> mRNA co-expression across CGGA693 and TCGA-GBMLGG cohorts. B) Protein-protein interaction network identifies STK38 as a key node functionally linked to RFC4, suggesting direct regulatory interplay. C, D) Survival analyses delineate markedly reduced overall survival (OS, C) and recurrence-free survival (RFS, D) in patients with dual high STK38/RFC4 expression compared to low-expression subgroups, underscoring the clinical relevance of their synergistic activity. </w:t>
      </w:r>
    </w:p>
    <w:p w14:paraId="43F321AC" w14:textId="77777777" w:rsidR="0006575E" w:rsidRDefault="0006575E" w:rsidP="00E05E8F">
      <w:pPr>
        <w:snapToGrid w:val="0"/>
        <w:spacing w:line="480" w:lineRule="auto"/>
        <w:rPr>
          <w:rFonts w:ascii="Times New Roman" w:hAnsi="Times New Roman" w:cs="Times New Roman"/>
          <w:szCs w:val="21"/>
        </w:rPr>
      </w:pPr>
    </w:p>
    <w:p w14:paraId="04034788" w14:textId="77777777" w:rsidR="0006575E" w:rsidRPr="00555CF8" w:rsidRDefault="0006575E" w:rsidP="00E05E8F">
      <w:pPr>
        <w:snapToGrid w:val="0"/>
        <w:spacing w:line="480" w:lineRule="auto"/>
        <w:rPr>
          <w:rFonts w:ascii="Times New Roman" w:hAnsi="Times New Roman" w:cs="Times New Roman" w:hint="eastAsia"/>
          <w:szCs w:val="21"/>
        </w:rPr>
      </w:pPr>
    </w:p>
    <w:p w14:paraId="342F4B15" w14:textId="252B9821" w:rsidR="00E05E8F" w:rsidRPr="00555CF8" w:rsidRDefault="0046423E" w:rsidP="00E05E8F">
      <w:pPr>
        <w:snapToGrid w:val="0"/>
        <w:spacing w:line="480" w:lineRule="auto"/>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477E9FB" wp14:editId="01E833BA">
            <wp:extent cx="5274310" cy="3102610"/>
            <wp:effectExtent l="0" t="0" r="0" b="0"/>
            <wp:docPr id="17369705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70533" name="图片 173697053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102610"/>
                    </a:xfrm>
                    <a:prstGeom prst="rect">
                      <a:avLst/>
                    </a:prstGeom>
                  </pic:spPr>
                </pic:pic>
              </a:graphicData>
            </a:graphic>
          </wp:inline>
        </w:drawing>
      </w:r>
    </w:p>
    <w:p w14:paraId="74CD3650" w14:textId="30BD1AB3" w:rsidR="00263A7F" w:rsidRDefault="00263A7F" w:rsidP="00E05E8F">
      <w:pPr>
        <w:snapToGrid w:val="0"/>
        <w:spacing w:line="480" w:lineRule="auto"/>
        <w:rPr>
          <w:rFonts w:ascii="Times New Roman" w:hAnsi="Times New Roman" w:cs="Times New Roman"/>
          <w:szCs w:val="21"/>
        </w:rPr>
      </w:pPr>
      <w:r w:rsidRPr="00E05E8F">
        <w:rPr>
          <w:rFonts w:ascii="Times New Roman" w:hAnsi="Times New Roman" w:cs="Times New Roman" w:hint="eastAsia"/>
          <w:b/>
          <w:bCs/>
          <w:szCs w:val="21"/>
        </w:rPr>
        <w:t>Fig. S</w:t>
      </w:r>
      <w:r>
        <w:rPr>
          <w:rFonts w:ascii="Times New Roman" w:hAnsi="Times New Roman" w:cs="Times New Roman" w:hint="eastAsia"/>
          <w:b/>
          <w:bCs/>
          <w:szCs w:val="21"/>
        </w:rPr>
        <w:t>5</w:t>
      </w:r>
      <w:r w:rsidR="00A5733C">
        <w:rPr>
          <w:rFonts w:ascii="Times New Roman" w:hAnsi="Times New Roman" w:cs="Times New Roman" w:hint="eastAsia"/>
          <w:b/>
          <w:bCs/>
          <w:szCs w:val="21"/>
        </w:rPr>
        <w:t>.</w:t>
      </w:r>
      <w:r w:rsidR="00E05E8F">
        <w:rPr>
          <w:rFonts w:ascii="Times New Roman" w:hAnsi="Times New Roman" w:cs="Times New Roman" w:hint="eastAsia"/>
          <w:szCs w:val="21"/>
        </w:rPr>
        <w:t xml:space="preserve"> </w:t>
      </w:r>
      <w:r w:rsidR="00E05E8F" w:rsidRPr="00263A7F">
        <w:rPr>
          <w:rFonts w:ascii="Times New Roman" w:hAnsi="Times New Roman" w:cs="Times New Roman"/>
          <w:b/>
          <w:bCs/>
          <w:szCs w:val="21"/>
        </w:rPr>
        <w:t>The T444 mutation in STK38 inhibits autophagy</w:t>
      </w:r>
      <w:r w:rsidR="00E05E8F" w:rsidRPr="00263A7F">
        <w:rPr>
          <w:rFonts w:ascii="Times New Roman" w:hAnsi="Times New Roman" w:cs="Times New Roman" w:hint="eastAsia"/>
          <w:b/>
          <w:bCs/>
          <w:szCs w:val="21"/>
        </w:rPr>
        <w:t xml:space="preserve">. </w:t>
      </w:r>
    </w:p>
    <w:p w14:paraId="51D715FB" w14:textId="77777777" w:rsidR="00A5733C" w:rsidRDefault="00E05E8F" w:rsidP="00E05E8F">
      <w:pPr>
        <w:snapToGrid w:val="0"/>
        <w:spacing w:line="480" w:lineRule="auto"/>
        <w:rPr>
          <w:rFonts w:ascii="Times New Roman" w:hAnsi="Times New Roman" w:cs="Times New Roman"/>
          <w:szCs w:val="21"/>
        </w:rPr>
      </w:pPr>
      <w:r>
        <w:rPr>
          <w:rFonts w:ascii="Times New Roman" w:hAnsi="Times New Roman" w:cs="Times New Roman" w:hint="eastAsia"/>
          <w:szCs w:val="21"/>
        </w:rPr>
        <w:t>A</w:t>
      </w:r>
      <w:r w:rsidRPr="00555CF8">
        <w:rPr>
          <w:rFonts w:ascii="Times New Roman" w:hAnsi="Times New Roman" w:cs="Times New Roman"/>
          <w:szCs w:val="21"/>
        </w:rPr>
        <w:t>) ATAC-seq was used to detect the chromatin accessibility of STK38 (36,459,669</w:t>
      </w:r>
      <w:r w:rsidR="00731D03">
        <w:rPr>
          <w:rFonts w:ascii="Times New Roman" w:hAnsi="Times New Roman" w:cs="Times New Roman" w:hint="eastAsia"/>
          <w:szCs w:val="21"/>
        </w:rPr>
        <w:t>-</w:t>
      </w:r>
      <w:r w:rsidRPr="00555CF8">
        <w:rPr>
          <w:rFonts w:ascii="Times New Roman" w:hAnsi="Times New Roman" w:cs="Times New Roman"/>
          <w:szCs w:val="21"/>
        </w:rPr>
        <w:t>36,517,256) and BECN1 (40,960,152</w:t>
      </w:r>
      <w:r w:rsidR="00731D03">
        <w:rPr>
          <w:rFonts w:ascii="Times New Roman" w:hAnsi="Times New Roman" w:cs="Times New Roman" w:hint="eastAsia"/>
          <w:szCs w:val="21"/>
        </w:rPr>
        <w:t>-</w:t>
      </w:r>
      <w:r w:rsidRPr="00555CF8">
        <w:rPr>
          <w:rFonts w:ascii="Times New Roman" w:hAnsi="Times New Roman" w:cs="Times New Roman"/>
          <w:szCs w:val="21"/>
        </w:rPr>
        <w:t>40,978,300) in L</w:t>
      </w:r>
      <w:r w:rsidR="00A5733C">
        <w:rPr>
          <w:rFonts w:ascii="Times New Roman" w:hAnsi="Times New Roman" w:cs="Times New Roman" w:hint="eastAsia"/>
          <w:szCs w:val="21"/>
        </w:rPr>
        <w:t>N</w:t>
      </w:r>
      <w:r w:rsidRPr="00555CF8">
        <w:rPr>
          <w:rFonts w:ascii="Times New Roman" w:hAnsi="Times New Roman" w:cs="Times New Roman"/>
          <w:szCs w:val="21"/>
        </w:rPr>
        <w:t>22</w:t>
      </w:r>
      <w:r w:rsidR="00A5733C">
        <w:rPr>
          <w:rFonts w:ascii="Times New Roman" w:hAnsi="Times New Roman" w:cs="Times New Roman" w:hint="eastAsia"/>
          <w:szCs w:val="21"/>
        </w:rPr>
        <w:t>9</w:t>
      </w:r>
      <w:r w:rsidRPr="00555CF8">
        <w:rPr>
          <w:rFonts w:ascii="Times New Roman" w:hAnsi="Times New Roman" w:cs="Times New Roman"/>
          <w:szCs w:val="21"/>
        </w:rPr>
        <w:t xml:space="preserve"> TMZ-resistant cells.</w:t>
      </w:r>
      <w:r>
        <w:rPr>
          <w:rFonts w:ascii="Times New Roman" w:hAnsi="Times New Roman" w:cs="Times New Roman" w:hint="eastAsia"/>
          <w:szCs w:val="21"/>
        </w:rPr>
        <w:t xml:space="preserve"> </w:t>
      </w:r>
    </w:p>
    <w:p w14:paraId="2CE3E74B" w14:textId="77777777" w:rsidR="00A5733C" w:rsidRDefault="00E05E8F" w:rsidP="00E05E8F">
      <w:pPr>
        <w:snapToGrid w:val="0"/>
        <w:spacing w:line="480" w:lineRule="auto"/>
        <w:rPr>
          <w:rFonts w:ascii="Times New Roman" w:hAnsi="Times New Roman" w:cs="Times New Roman"/>
          <w:szCs w:val="21"/>
        </w:rPr>
      </w:pPr>
      <w:r>
        <w:rPr>
          <w:rFonts w:ascii="Times New Roman" w:hAnsi="Times New Roman" w:cs="Times New Roman" w:hint="eastAsia"/>
          <w:szCs w:val="21"/>
        </w:rPr>
        <w:t xml:space="preserve">B) </w:t>
      </w:r>
      <w:r w:rsidRPr="00555CF8">
        <w:rPr>
          <w:rFonts w:ascii="Times New Roman" w:hAnsi="Times New Roman" w:cs="Times New Roman"/>
          <w:szCs w:val="21"/>
        </w:rPr>
        <w:t>Different STK38 mutation plasmid was transfected in U251 and Ln18 GBM cells when STK38 was knocked out and RFC4 was overexpressed. LC3B was detected by Western Blot. T444A mutation of STK38 hindered the autophagic process induced by RFC4.</w:t>
      </w:r>
      <w:r>
        <w:rPr>
          <w:rFonts w:ascii="Times New Roman" w:hAnsi="Times New Roman" w:cs="Times New Roman" w:hint="eastAsia"/>
          <w:szCs w:val="21"/>
        </w:rPr>
        <w:t xml:space="preserve"> </w:t>
      </w:r>
    </w:p>
    <w:p w14:paraId="15603BC6" w14:textId="1F522219" w:rsidR="00E05E8F" w:rsidRPr="00555CF8" w:rsidRDefault="00E05E8F" w:rsidP="00E05E8F">
      <w:pPr>
        <w:snapToGrid w:val="0"/>
        <w:spacing w:line="480" w:lineRule="auto"/>
        <w:rPr>
          <w:rFonts w:ascii="Times New Roman" w:hAnsi="Times New Roman" w:cs="Times New Roman"/>
          <w:szCs w:val="21"/>
        </w:rPr>
      </w:pPr>
      <w:r>
        <w:rPr>
          <w:rFonts w:ascii="Times New Roman" w:hAnsi="Times New Roman" w:cs="Times New Roman" w:hint="eastAsia"/>
          <w:szCs w:val="21"/>
        </w:rPr>
        <w:t xml:space="preserve">C) </w:t>
      </w:r>
      <w:r w:rsidRPr="00555CF8">
        <w:rPr>
          <w:rFonts w:ascii="Times New Roman" w:hAnsi="Times New Roman" w:cs="Times New Roman"/>
          <w:szCs w:val="21"/>
        </w:rPr>
        <w:t>Western blot validates RFC4 overexpression and STK38 manipulation in U251/L</w:t>
      </w:r>
      <w:r w:rsidR="00A5733C">
        <w:rPr>
          <w:rFonts w:ascii="Times New Roman" w:hAnsi="Times New Roman" w:cs="Times New Roman" w:hint="eastAsia"/>
          <w:szCs w:val="21"/>
        </w:rPr>
        <w:t>N</w:t>
      </w:r>
      <w:r w:rsidRPr="00555CF8">
        <w:rPr>
          <w:rFonts w:ascii="Times New Roman" w:hAnsi="Times New Roman" w:cs="Times New Roman"/>
          <w:szCs w:val="21"/>
        </w:rPr>
        <w:t>18 cells. RFC4 levels increase in overexpression groups (RFC4) compared to control (CTRL). STK38 knockdown (RFC4 shSTK38) abolishes endogenous STK38 while maintaining elevated RFC4. Rescue experiments were conducted using STK38-WT or T444A mutant plasmids engineered to resist shSTK38-mediated knockdown.</w:t>
      </w:r>
    </w:p>
    <w:p w14:paraId="714153D5" w14:textId="77777777" w:rsidR="00A7291B" w:rsidRPr="00E05E8F" w:rsidRDefault="00A7291B">
      <w:pPr>
        <w:rPr>
          <w:rFonts w:hint="eastAsia"/>
        </w:rPr>
      </w:pPr>
    </w:p>
    <w:sectPr w:rsidR="00A7291B" w:rsidRPr="00E05E8F" w:rsidSect="003D5D36">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C1CF9" w14:textId="77777777" w:rsidR="005B4946" w:rsidRDefault="005B4946" w:rsidP="00E05E8F">
      <w:pPr>
        <w:rPr>
          <w:rFonts w:hint="eastAsia"/>
        </w:rPr>
      </w:pPr>
      <w:r>
        <w:separator/>
      </w:r>
    </w:p>
  </w:endnote>
  <w:endnote w:type="continuationSeparator" w:id="0">
    <w:p w14:paraId="0034DA25" w14:textId="77777777" w:rsidR="005B4946" w:rsidRDefault="005B4946" w:rsidP="00E05E8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49219" w14:textId="77777777" w:rsidR="005B4946" w:rsidRDefault="005B4946" w:rsidP="00E05E8F">
      <w:pPr>
        <w:rPr>
          <w:rFonts w:hint="eastAsia"/>
        </w:rPr>
      </w:pPr>
      <w:r>
        <w:separator/>
      </w:r>
    </w:p>
  </w:footnote>
  <w:footnote w:type="continuationSeparator" w:id="0">
    <w:p w14:paraId="7A86A912" w14:textId="77777777" w:rsidR="005B4946" w:rsidRDefault="005B4946" w:rsidP="00E05E8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9343E"/>
    <w:rsid w:val="00003A7B"/>
    <w:rsid w:val="00003F50"/>
    <w:rsid w:val="00026BC1"/>
    <w:rsid w:val="0006575E"/>
    <w:rsid w:val="001F6A26"/>
    <w:rsid w:val="00241000"/>
    <w:rsid w:val="002616F7"/>
    <w:rsid w:val="00263A7F"/>
    <w:rsid w:val="003332DB"/>
    <w:rsid w:val="0039343E"/>
    <w:rsid w:val="003A3CC7"/>
    <w:rsid w:val="003D5D36"/>
    <w:rsid w:val="00420EE8"/>
    <w:rsid w:val="0046423E"/>
    <w:rsid w:val="004C190F"/>
    <w:rsid w:val="005B4946"/>
    <w:rsid w:val="005B6EA6"/>
    <w:rsid w:val="00706C81"/>
    <w:rsid w:val="00731D03"/>
    <w:rsid w:val="007D5ED3"/>
    <w:rsid w:val="008026CB"/>
    <w:rsid w:val="008065C6"/>
    <w:rsid w:val="00833FF8"/>
    <w:rsid w:val="008F6CD1"/>
    <w:rsid w:val="009A73CB"/>
    <w:rsid w:val="00A21095"/>
    <w:rsid w:val="00A5733C"/>
    <w:rsid w:val="00A7291B"/>
    <w:rsid w:val="00A94E95"/>
    <w:rsid w:val="00A974BB"/>
    <w:rsid w:val="00B401E7"/>
    <w:rsid w:val="00C00A9F"/>
    <w:rsid w:val="00CF4E89"/>
    <w:rsid w:val="00E05E8F"/>
    <w:rsid w:val="00F318D3"/>
    <w:rsid w:val="00F62548"/>
    <w:rsid w:val="00FE3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90E63A"/>
  <w15:chartTrackingRefBased/>
  <w15:docId w15:val="{D9C7DFCF-1BB3-47B8-B2CC-7B2C9F0E0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5E8F"/>
    <w:pPr>
      <w:widowControl w:val="0"/>
      <w:jc w:val="both"/>
    </w:pPr>
  </w:style>
  <w:style w:type="paragraph" w:styleId="1">
    <w:name w:val="heading 1"/>
    <w:basedOn w:val="a"/>
    <w:next w:val="a"/>
    <w:link w:val="10"/>
    <w:uiPriority w:val="9"/>
    <w:qFormat/>
    <w:rsid w:val="0039343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39343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39343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39343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39343E"/>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39343E"/>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39343E"/>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9343E"/>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39343E"/>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9343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9343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9343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9343E"/>
    <w:rPr>
      <w:rFonts w:cstheme="majorBidi"/>
      <w:color w:val="0F4761" w:themeColor="accent1" w:themeShade="BF"/>
      <w:sz w:val="28"/>
      <w:szCs w:val="28"/>
    </w:rPr>
  </w:style>
  <w:style w:type="character" w:customStyle="1" w:styleId="50">
    <w:name w:val="标题 5 字符"/>
    <w:basedOn w:val="a0"/>
    <w:link w:val="5"/>
    <w:uiPriority w:val="9"/>
    <w:semiHidden/>
    <w:rsid w:val="0039343E"/>
    <w:rPr>
      <w:rFonts w:cstheme="majorBidi"/>
      <w:color w:val="0F4761" w:themeColor="accent1" w:themeShade="BF"/>
      <w:sz w:val="24"/>
      <w:szCs w:val="24"/>
    </w:rPr>
  </w:style>
  <w:style w:type="character" w:customStyle="1" w:styleId="60">
    <w:name w:val="标题 6 字符"/>
    <w:basedOn w:val="a0"/>
    <w:link w:val="6"/>
    <w:uiPriority w:val="9"/>
    <w:semiHidden/>
    <w:rsid w:val="0039343E"/>
    <w:rPr>
      <w:rFonts w:cstheme="majorBidi"/>
      <w:b/>
      <w:bCs/>
      <w:color w:val="0F4761" w:themeColor="accent1" w:themeShade="BF"/>
    </w:rPr>
  </w:style>
  <w:style w:type="character" w:customStyle="1" w:styleId="70">
    <w:name w:val="标题 7 字符"/>
    <w:basedOn w:val="a0"/>
    <w:link w:val="7"/>
    <w:uiPriority w:val="9"/>
    <w:semiHidden/>
    <w:rsid w:val="0039343E"/>
    <w:rPr>
      <w:rFonts w:cstheme="majorBidi"/>
      <w:b/>
      <w:bCs/>
      <w:color w:val="595959" w:themeColor="text1" w:themeTint="A6"/>
    </w:rPr>
  </w:style>
  <w:style w:type="character" w:customStyle="1" w:styleId="80">
    <w:name w:val="标题 8 字符"/>
    <w:basedOn w:val="a0"/>
    <w:link w:val="8"/>
    <w:uiPriority w:val="9"/>
    <w:semiHidden/>
    <w:rsid w:val="0039343E"/>
    <w:rPr>
      <w:rFonts w:cstheme="majorBidi"/>
      <w:color w:val="595959" w:themeColor="text1" w:themeTint="A6"/>
    </w:rPr>
  </w:style>
  <w:style w:type="character" w:customStyle="1" w:styleId="90">
    <w:name w:val="标题 9 字符"/>
    <w:basedOn w:val="a0"/>
    <w:link w:val="9"/>
    <w:uiPriority w:val="9"/>
    <w:semiHidden/>
    <w:rsid w:val="0039343E"/>
    <w:rPr>
      <w:rFonts w:eastAsiaTheme="majorEastAsia" w:cstheme="majorBidi"/>
      <w:color w:val="595959" w:themeColor="text1" w:themeTint="A6"/>
    </w:rPr>
  </w:style>
  <w:style w:type="paragraph" w:styleId="a3">
    <w:name w:val="Title"/>
    <w:basedOn w:val="a"/>
    <w:next w:val="a"/>
    <w:link w:val="a4"/>
    <w:uiPriority w:val="10"/>
    <w:qFormat/>
    <w:rsid w:val="0039343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39343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9343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39343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9343E"/>
    <w:pPr>
      <w:spacing w:before="160" w:after="160"/>
      <w:jc w:val="center"/>
    </w:pPr>
    <w:rPr>
      <w:i/>
      <w:iCs/>
      <w:color w:val="404040" w:themeColor="text1" w:themeTint="BF"/>
    </w:rPr>
  </w:style>
  <w:style w:type="character" w:customStyle="1" w:styleId="a8">
    <w:name w:val="引用 字符"/>
    <w:basedOn w:val="a0"/>
    <w:link w:val="a7"/>
    <w:uiPriority w:val="29"/>
    <w:rsid w:val="0039343E"/>
    <w:rPr>
      <w:i/>
      <w:iCs/>
      <w:color w:val="404040" w:themeColor="text1" w:themeTint="BF"/>
    </w:rPr>
  </w:style>
  <w:style w:type="paragraph" w:styleId="a9">
    <w:name w:val="List Paragraph"/>
    <w:basedOn w:val="a"/>
    <w:uiPriority w:val="34"/>
    <w:qFormat/>
    <w:rsid w:val="0039343E"/>
    <w:pPr>
      <w:ind w:left="720"/>
      <w:contextualSpacing/>
    </w:pPr>
  </w:style>
  <w:style w:type="character" w:styleId="aa">
    <w:name w:val="Intense Emphasis"/>
    <w:basedOn w:val="a0"/>
    <w:uiPriority w:val="21"/>
    <w:qFormat/>
    <w:rsid w:val="0039343E"/>
    <w:rPr>
      <w:i/>
      <w:iCs/>
      <w:color w:val="0F4761" w:themeColor="accent1" w:themeShade="BF"/>
    </w:rPr>
  </w:style>
  <w:style w:type="paragraph" w:styleId="ab">
    <w:name w:val="Intense Quote"/>
    <w:basedOn w:val="a"/>
    <w:next w:val="a"/>
    <w:link w:val="ac"/>
    <w:uiPriority w:val="30"/>
    <w:qFormat/>
    <w:rsid w:val="003934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39343E"/>
    <w:rPr>
      <w:i/>
      <w:iCs/>
      <w:color w:val="0F4761" w:themeColor="accent1" w:themeShade="BF"/>
    </w:rPr>
  </w:style>
  <w:style w:type="character" w:styleId="ad">
    <w:name w:val="Intense Reference"/>
    <w:basedOn w:val="a0"/>
    <w:uiPriority w:val="32"/>
    <w:qFormat/>
    <w:rsid w:val="0039343E"/>
    <w:rPr>
      <w:b/>
      <w:bCs/>
      <w:smallCaps/>
      <w:color w:val="0F4761" w:themeColor="accent1" w:themeShade="BF"/>
      <w:spacing w:val="5"/>
    </w:rPr>
  </w:style>
  <w:style w:type="paragraph" w:styleId="ae">
    <w:name w:val="header"/>
    <w:basedOn w:val="a"/>
    <w:link w:val="af"/>
    <w:uiPriority w:val="99"/>
    <w:unhideWhenUsed/>
    <w:rsid w:val="00E05E8F"/>
    <w:pPr>
      <w:tabs>
        <w:tab w:val="center" w:pos="4153"/>
        <w:tab w:val="right" w:pos="8306"/>
      </w:tabs>
      <w:snapToGrid w:val="0"/>
      <w:jc w:val="center"/>
    </w:pPr>
    <w:rPr>
      <w:sz w:val="18"/>
      <w:szCs w:val="18"/>
    </w:rPr>
  </w:style>
  <w:style w:type="character" w:customStyle="1" w:styleId="af">
    <w:name w:val="页眉 字符"/>
    <w:basedOn w:val="a0"/>
    <w:link w:val="ae"/>
    <w:uiPriority w:val="99"/>
    <w:rsid w:val="00E05E8F"/>
    <w:rPr>
      <w:sz w:val="18"/>
      <w:szCs w:val="18"/>
    </w:rPr>
  </w:style>
  <w:style w:type="paragraph" w:styleId="af0">
    <w:name w:val="footer"/>
    <w:basedOn w:val="a"/>
    <w:link w:val="af1"/>
    <w:uiPriority w:val="99"/>
    <w:unhideWhenUsed/>
    <w:rsid w:val="00E05E8F"/>
    <w:pPr>
      <w:tabs>
        <w:tab w:val="center" w:pos="4153"/>
        <w:tab w:val="right" w:pos="8306"/>
      </w:tabs>
      <w:snapToGrid w:val="0"/>
      <w:jc w:val="left"/>
    </w:pPr>
    <w:rPr>
      <w:sz w:val="18"/>
      <w:szCs w:val="18"/>
    </w:rPr>
  </w:style>
  <w:style w:type="character" w:customStyle="1" w:styleId="af1">
    <w:name w:val="页脚 字符"/>
    <w:basedOn w:val="a0"/>
    <w:link w:val="af0"/>
    <w:uiPriority w:val="99"/>
    <w:rsid w:val="00E05E8F"/>
    <w:rPr>
      <w:sz w:val="18"/>
      <w:szCs w:val="18"/>
    </w:rPr>
  </w:style>
  <w:style w:type="character" w:styleId="af2">
    <w:name w:val="line number"/>
    <w:basedOn w:val="a0"/>
    <w:uiPriority w:val="99"/>
    <w:semiHidden/>
    <w:unhideWhenUsed/>
    <w:rsid w:val="003D5D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121468">
      <w:bodyDiv w:val="1"/>
      <w:marLeft w:val="0"/>
      <w:marRight w:val="0"/>
      <w:marTop w:val="0"/>
      <w:marBottom w:val="0"/>
      <w:divBdr>
        <w:top w:val="none" w:sz="0" w:space="0" w:color="auto"/>
        <w:left w:val="none" w:sz="0" w:space="0" w:color="auto"/>
        <w:bottom w:val="none" w:sz="0" w:space="0" w:color="auto"/>
        <w:right w:val="none" w:sz="0" w:space="0" w:color="auto"/>
      </w:divBdr>
    </w:div>
    <w:div w:id="846942182">
      <w:bodyDiv w:val="1"/>
      <w:marLeft w:val="0"/>
      <w:marRight w:val="0"/>
      <w:marTop w:val="0"/>
      <w:marBottom w:val="0"/>
      <w:divBdr>
        <w:top w:val="none" w:sz="0" w:space="0" w:color="auto"/>
        <w:left w:val="none" w:sz="0" w:space="0" w:color="auto"/>
        <w:bottom w:val="none" w:sz="0" w:space="0" w:color="auto"/>
        <w:right w:val="none" w:sz="0" w:space="0" w:color="auto"/>
      </w:divBdr>
    </w:div>
    <w:div w:id="1572932631">
      <w:bodyDiv w:val="1"/>
      <w:marLeft w:val="0"/>
      <w:marRight w:val="0"/>
      <w:marTop w:val="0"/>
      <w:marBottom w:val="0"/>
      <w:divBdr>
        <w:top w:val="none" w:sz="0" w:space="0" w:color="auto"/>
        <w:left w:val="none" w:sz="0" w:space="0" w:color="auto"/>
        <w:bottom w:val="none" w:sz="0" w:space="0" w:color="auto"/>
        <w:right w:val="none" w:sz="0" w:space="0" w:color="auto"/>
      </w:divBdr>
      <w:divsChild>
        <w:div w:id="2001543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7880070">
      <w:bodyDiv w:val="1"/>
      <w:marLeft w:val="0"/>
      <w:marRight w:val="0"/>
      <w:marTop w:val="0"/>
      <w:marBottom w:val="0"/>
      <w:divBdr>
        <w:top w:val="none" w:sz="0" w:space="0" w:color="auto"/>
        <w:left w:val="none" w:sz="0" w:space="0" w:color="auto"/>
        <w:bottom w:val="none" w:sz="0" w:space="0" w:color="auto"/>
        <w:right w:val="none" w:sz="0" w:space="0" w:color="auto"/>
      </w:divBdr>
      <w:divsChild>
        <w:div w:id="1275867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872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582</Words>
  <Characters>3321</Characters>
  <Application>Microsoft Office Word</Application>
  <DocSecurity>0</DocSecurity>
  <Lines>27</Lines>
  <Paragraphs>7</Paragraphs>
  <ScaleCrop>false</ScaleCrop>
  <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 王</dc:creator>
  <cp:keywords/>
  <dc:description/>
  <cp:lastModifiedBy>新 王</cp:lastModifiedBy>
  <cp:revision>13</cp:revision>
  <dcterms:created xsi:type="dcterms:W3CDTF">2025-06-03T08:15:00Z</dcterms:created>
  <dcterms:modified xsi:type="dcterms:W3CDTF">2025-06-05T14:57:00Z</dcterms:modified>
</cp:coreProperties>
</file>