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34ADA61" w14:textId="77777777" w:rsidR="007A1C93" w:rsidRDefault="00000000">
      <w:pPr>
        <w:spacing w:line="360" w:lineRule="auto"/>
        <w:jc w:val="center"/>
        <w:rPr>
          <w:b/>
          <w:kern w:val="0"/>
          <w:sz w:val="28"/>
          <w:szCs w:val="28"/>
        </w:rPr>
      </w:pPr>
      <w:r>
        <w:rPr>
          <w:rFonts w:eastAsia="Arial"/>
          <w:b/>
          <w:bCs/>
          <w:color w:val="000000"/>
          <w:kern w:val="0"/>
          <w:sz w:val="28"/>
          <w:szCs w:val="28"/>
        </w:rPr>
        <w:t>Exploration on the Role and Mechanism of Transcription Factor KLF4 in Regulating Mitochondrial Damage and Apoptosis by Activating Chondrocyte Autophagy</w:t>
      </w:r>
    </w:p>
    <w:p w14:paraId="39A86DF7" w14:textId="77777777" w:rsidR="007A1C93" w:rsidRDefault="00000000">
      <w:pPr>
        <w:spacing w:line="360" w:lineRule="auto"/>
        <w:rPr>
          <w:color w:val="000000"/>
        </w:rPr>
      </w:pPr>
      <w:r>
        <w:rPr>
          <w:rFonts w:eastAsia="Arial"/>
          <w:b/>
          <w:bCs/>
          <w:color w:val="000000"/>
          <w:sz w:val="24"/>
          <w:szCs w:val="24"/>
        </w:rPr>
        <w:t>Objective:</w:t>
      </w:r>
      <w:r>
        <w:rPr>
          <w:rFonts w:eastAsia="Arial"/>
          <w:color w:val="000000"/>
          <w:sz w:val="24"/>
          <w:szCs w:val="24"/>
        </w:rPr>
        <w:t xml:space="preserve"> To explore the role and mechanism of transcription factor KLF4 in regulating mitochondrial damage and apoptosis by activating chondrocyte autophagy</w:t>
      </w:r>
    </w:p>
    <w:p w14:paraId="0D8F7573" w14:textId="77777777" w:rsidR="007A1C93" w:rsidRDefault="00000000">
      <w:pPr>
        <w:spacing w:line="360" w:lineRule="auto"/>
        <w:rPr>
          <w:rFonts w:eastAsia="Arial"/>
          <w:color w:val="000000"/>
          <w:sz w:val="24"/>
          <w:szCs w:val="24"/>
        </w:rPr>
      </w:pPr>
      <w:r>
        <w:rPr>
          <w:rFonts w:eastAsia="Arial"/>
          <w:b/>
          <w:bCs/>
          <w:color w:val="000000"/>
          <w:sz w:val="24"/>
          <w:szCs w:val="24"/>
        </w:rPr>
        <w:t>Methods:</w:t>
      </w:r>
      <w:r>
        <w:rPr>
          <w:rFonts w:eastAsia="Arial"/>
          <w:color w:val="000000"/>
          <w:sz w:val="24"/>
          <w:szCs w:val="24"/>
        </w:rPr>
        <w:t xml:space="preserve"> Human primary chondrocytes were treated with IL-1β to construct an in vitro osteoarthritis model. KLF4 was overexpressed with lentivirus to intervene in KLF4 in chondrocytes. Cell apoptosis and mitochondrial membrane potential were detected by flow cytometry. Mitochondrial morphology was observed under transmission electron microscopy. Cell ATP level was detected by ELISA. Ca</w:t>
      </w:r>
      <w:r>
        <w:rPr>
          <w:rFonts w:eastAsia="Arial"/>
          <w:color w:val="000000"/>
          <w:sz w:val="24"/>
          <w:szCs w:val="24"/>
          <w:vertAlign w:val="superscript"/>
        </w:rPr>
        <w:t>2+</w:t>
      </w:r>
      <w:r>
        <w:rPr>
          <w:rFonts w:eastAsia="Arial"/>
          <w:color w:val="000000"/>
          <w:sz w:val="24"/>
          <w:szCs w:val="24"/>
        </w:rPr>
        <w:t xml:space="preserve"> homeostasis was detected by flow cytometry with Fluo-3/AM fluorescence labeling. The expression of autophagy-related proteins Beclin1, P62, and LC3 was detected by WB. The interaction between transcription factor KLF4 and gene p62 promoter was verified by dual luciferase assay. The interaction between p62, Beclin1 and KLF4 was verified by Chip assay. To further explore the relationship between KLF4 and autophagy, KLF4 was overexpressed and treated with autophagy inhibitor 3-MA (5mmol/L). The expression of autophagy-related proteins Beclin1, P62, and LC3 was detected by WB. Cell apoptosis level was detected by flow cytometry. The mitochondrial membrane potential level was detected by flow cytometry. Ca</w:t>
      </w:r>
      <w:r>
        <w:rPr>
          <w:rFonts w:eastAsia="Arial"/>
          <w:color w:val="000000"/>
          <w:sz w:val="24"/>
          <w:szCs w:val="24"/>
          <w:vertAlign w:val="superscript"/>
        </w:rPr>
        <w:t>2+</w:t>
      </w:r>
      <w:r>
        <w:rPr>
          <w:rFonts w:eastAsia="Arial"/>
          <w:color w:val="000000"/>
          <w:sz w:val="24"/>
          <w:szCs w:val="24"/>
        </w:rPr>
        <w:t xml:space="preserve"> homeostasis was detected by flow cytometry with Fluo-3/AM fluorescence labeling.</w:t>
      </w:r>
    </w:p>
    <w:p w14:paraId="539972A6" w14:textId="77777777" w:rsidR="007A1C93" w:rsidRDefault="00000000">
      <w:pPr>
        <w:spacing w:line="360" w:lineRule="auto"/>
      </w:pPr>
      <w:r>
        <w:rPr>
          <w:rFonts w:eastAsia="Arial"/>
          <w:b/>
          <w:bCs/>
          <w:color w:val="000000"/>
          <w:sz w:val="24"/>
          <w:szCs w:val="24"/>
        </w:rPr>
        <w:t>Results:</w:t>
      </w:r>
      <w:r>
        <w:rPr>
          <w:rFonts w:eastAsia="Arial"/>
          <w:color w:val="000000"/>
          <w:sz w:val="24"/>
          <w:szCs w:val="24"/>
        </w:rPr>
        <w:t xml:space="preserve"> In chondrocytes treated with IL-1β, the level of TNF-α increased significantly, the apoptosis rate increased, and the ATP generation decreased; However, after overexpression of KLF4, the apoptosis level decreased significantly; the ATP level increased significantly, and the mitochondrial structure and function gradually recovered; the results of flow cytometry detection of mitochondrial membrane potential showed that after overexpression of KLF4, the mitochondrial membrane potential level decreased significantly, and the Ca</w:t>
      </w:r>
      <w:r>
        <w:rPr>
          <w:rFonts w:eastAsia="Arial"/>
          <w:color w:val="000000"/>
          <w:sz w:val="24"/>
          <w:szCs w:val="24"/>
          <w:vertAlign w:val="superscript"/>
        </w:rPr>
        <w:t>2+</w:t>
      </w:r>
      <w:r>
        <w:rPr>
          <w:rFonts w:eastAsia="Arial"/>
          <w:color w:val="000000"/>
          <w:sz w:val="24"/>
          <w:szCs w:val="24"/>
        </w:rPr>
        <w:t xml:space="preserve"> homeostasis was restored to a certain extent. The results of WB detection of autophagy-related proteins showed that p62 increased significantly and the level of cellular autophagy increased. </w:t>
      </w:r>
      <w:r>
        <w:rPr>
          <w:rFonts w:eastAsia="Arial"/>
          <w:color w:val="000000"/>
          <w:sz w:val="24"/>
          <w:szCs w:val="24"/>
        </w:rPr>
        <w:lastRenderedPageBreak/>
        <w:t>The results of dual luciferase showed that the transcription factor KLF4 interacted with the promoter of gene p62; the results of Chip experiment showed that KLF4 may interact with the promoter region of P62 and Beclin1. After KLF4 overexpression combined with 3-MA treatment, compared with empty load combined with 3-MA, the expression of p62 and LC3 proteins increased significantly, the apoptosis level decreased significantly, and the membrane potential level decreased.</w:t>
      </w:r>
    </w:p>
    <w:p w14:paraId="40D03B26" w14:textId="77777777" w:rsidR="007A1C93" w:rsidRDefault="00000000">
      <w:pPr>
        <w:spacing w:line="360" w:lineRule="auto"/>
        <w:rPr>
          <w:bCs/>
          <w:sz w:val="24"/>
          <w:szCs w:val="24"/>
        </w:rPr>
      </w:pPr>
      <w:r>
        <w:rPr>
          <w:rFonts w:eastAsia="Arial"/>
          <w:b/>
          <w:bCs/>
          <w:color w:val="000000"/>
          <w:sz w:val="24"/>
          <w:szCs w:val="24"/>
        </w:rPr>
        <w:t>Conclusion:</w:t>
      </w:r>
      <w:r>
        <w:rPr>
          <w:rFonts w:eastAsia="Arial"/>
          <w:color w:val="000000"/>
          <w:sz w:val="24"/>
          <w:szCs w:val="24"/>
        </w:rPr>
        <w:t xml:space="preserve"> Transcription factor KLF4 can regulate mitochondrial damage and apoptosis by activating chondrocyte autophagy</w:t>
      </w:r>
    </w:p>
    <w:p w14:paraId="0F79E96A" w14:textId="77777777" w:rsidR="007A1C93" w:rsidRDefault="00000000">
      <w:pPr>
        <w:spacing w:line="360" w:lineRule="auto"/>
        <w:rPr>
          <w:rFonts w:eastAsia="Arial"/>
          <w:color w:val="000000"/>
          <w:sz w:val="24"/>
          <w:szCs w:val="24"/>
        </w:rPr>
      </w:pPr>
      <w:r>
        <w:rPr>
          <w:rFonts w:eastAsia="Arial"/>
          <w:b/>
          <w:bCs/>
          <w:color w:val="000000"/>
          <w:sz w:val="24"/>
          <w:szCs w:val="24"/>
        </w:rPr>
        <w:t>Keywords:</w:t>
      </w:r>
      <w:r>
        <w:rPr>
          <w:rFonts w:eastAsia="Arial"/>
          <w:color w:val="000000"/>
          <w:sz w:val="24"/>
          <w:szCs w:val="24"/>
        </w:rPr>
        <w:t xml:space="preserve"> KLF4; Chondrocytes; Autophagy; P62</w:t>
      </w:r>
    </w:p>
    <w:p w14:paraId="52FC3B5B" w14:textId="6C22863B" w:rsidR="007A1C93" w:rsidRDefault="00000000">
      <w:pPr>
        <w:spacing w:line="360" w:lineRule="auto"/>
        <w:ind w:firstLineChars="200" w:firstLine="480"/>
        <w:rPr>
          <w:sz w:val="24"/>
          <w:szCs w:val="24"/>
        </w:rPr>
      </w:pPr>
      <w:r>
        <w:rPr>
          <w:rFonts w:eastAsia="Arial"/>
          <w:sz w:val="24"/>
          <w:szCs w:val="24"/>
        </w:rPr>
        <w:t>Osteoarthritis (OA) is a common chronic progressive and degenerative bone and joint disease, and its onset age is gradually showing a younger age</w:t>
      </w:r>
      <w:r w:rsidR="00AB714E">
        <w:rPr>
          <w:rFonts w:eastAsia="Arial"/>
          <w:sz w:val="24"/>
          <w:szCs w:val="24"/>
        </w:rPr>
        <w:fldChar w:fldCharType="begin"/>
      </w:r>
      <w:r w:rsidR="00104BE4">
        <w:rPr>
          <w:rFonts w:eastAsia="Arial"/>
          <w:sz w:val="24"/>
          <w:szCs w:val="24"/>
        </w:rPr>
        <w:instrText xml:space="preserve"> ADDIN EN.CITE &lt;EndNote&gt;&lt;Cite&gt;&lt;Author&gt;Watt&lt;/Author&gt;&lt;Year&gt;2018&lt;/Year&gt;&lt;RecNum&gt;20&lt;/RecNum&gt;&lt;DisplayText&gt;&lt;style face="superscript"&gt;[1]&lt;/style&gt;&lt;/DisplayText&gt;&lt;record&gt;&lt;rec-number&gt;20&lt;/rec-number&gt;&lt;foreign-keys&gt;&lt;key app="EN" db-id="avfaaezvnr20v0e2zfkxaee9fwrzz5sx02a2" timestamp="1732616590"&gt;20&lt;/key&gt;&lt;/foreign-keys&gt;&lt;ref-type name="Journal Article"&gt;17&lt;/ref-type&gt;&lt;contributors&gt;&lt;authors&gt;&lt;author&gt;Watt, F. E.&lt;/author&gt;&lt;/authors&gt;&lt;/contributors&gt;&lt;titles&gt;&lt;title&gt;Osteoarthritis biomarkers: year in review&lt;/title&gt;&lt;secondary-title&gt;Osteoarthritis and Cartilage&lt;/secondary-title&gt;&lt;/titles&gt;&lt;periodical&gt;&lt;full-title&gt;Osteoarthritis and Cartilage&lt;/full-title&gt;&lt;/periodical&gt;&lt;pages&gt;312-318&lt;/pages&gt;&lt;volume&gt;26&lt;/volume&gt;&lt;number&gt;3&lt;/number&gt;&lt;section&gt;312&lt;/section&gt;&lt;dates&gt;&lt;year&gt;2018&lt;/year&gt;&lt;/dates&gt;&lt;isbn&gt;10634584&lt;/isbn&gt;&lt;urls&gt;&lt;/urls&gt;&lt;electronic-resource-num&gt;10.1016/j.joca.2017.10.016&lt;/electronic-resource-num&gt;&lt;/record&gt;&lt;/Cite&gt;&lt;/EndNote&gt;</w:instrText>
      </w:r>
      <w:r w:rsidR="00AB714E">
        <w:rPr>
          <w:rFonts w:eastAsia="Arial"/>
          <w:sz w:val="24"/>
          <w:szCs w:val="24"/>
        </w:rPr>
        <w:fldChar w:fldCharType="separate"/>
      </w:r>
      <w:r w:rsidR="00104BE4" w:rsidRPr="00104BE4">
        <w:rPr>
          <w:rFonts w:eastAsia="Arial"/>
          <w:noProof/>
          <w:sz w:val="24"/>
          <w:szCs w:val="24"/>
          <w:vertAlign w:val="superscript"/>
        </w:rPr>
        <w:t>[1]</w:t>
      </w:r>
      <w:r w:rsidR="00AB714E">
        <w:rPr>
          <w:rFonts w:eastAsia="Arial"/>
          <w:sz w:val="24"/>
          <w:szCs w:val="24"/>
        </w:rPr>
        <w:fldChar w:fldCharType="end"/>
      </w:r>
      <w:r>
        <w:rPr>
          <w:rFonts w:eastAsia="Arial"/>
          <w:sz w:val="24"/>
          <w:szCs w:val="24"/>
        </w:rPr>
        <w:t xml:space="preserve">. OA most often occurs in the knee joint, and </w:t>
      </w:r>
      <w:r>
        <w:rPr>
          <w:rFonts w:eastAsiaTheme="minorEastAsia"/>
          <w:sz w:val="24"/>
          <w:szCs w:val="24"/>
        </w:rPr>
        <w:t>the</w:t>
      </w:r>
      <w:r>
        <w:rPr>
          <w:rFonts w:eastAsia="Arial"/>
          <w:sz w:val="24"/>
          <w:szCs w:val="24"/>
        </w:rPr>
        <w:t xml:space="preserve"> main pathological manifestations are progressive wear of articular cartilage, synovial inflammation in the joint capsule, thickening of subchondral bone, narrowing of knee joint cavity, etc. The clinical manifestations are chronic pain, swelling, joint deformity and joint dysfunction of knee arthrosis, which affect walking and daily activities. Severe patients will have joint stiffness and lead to disability. In addition, the expensive treatment cost and the inability to take care of themselves have brought huge social burden to family members and patients</w:t>
      </w:r>
      <w:r w:rsidR="00AB714E">
        <w:rPr>
          <w:rFonts w:eastAsia="Arial"/>
          <w:sz w:val="24"/>
          <w:szCs w:val="24"/>
        </w:rPr>
        <w:fldChar w:fldCharType="begin"/>
      </w:r>
      <w:r w:rsidR="00104BE4">
        <w:rPr>
          <w:rFonts w:eastAsia="Arial"/>
          <w:sz w:val="24"/>
          <w:szCs w:val="24"/>
        </w:rPr>
        <w:instrText xml:space="preserve"> ADDIN EN.CITE &lt;EndNote&gt;&lt;Cite&gt;&lt;Author&gt;Hunter&lt;/Author&gt;&lt;Year&gt;2019&lt;/Year&gt;&lt;RecNum&gt;22&lt;/RecNum&gt;&lt;DisplayText&gt;&lt;style face="superscript"&gt;[2]&lt;/style&gt;&lt;/DisplayText&gt;&lt;record&gt;&lt;rec-number&gt;22&lt;/rec-number&gt;&lt;foreign-keys&gt;&lt;key app="EN" db-id="avfaaezvnr20v0e2zfkxaee9fwrzz5sx02a2" timestamp="1732616787"&gt;22&lt;/key&gt;&lt;/foreign-keys&gt;&lt;ref-type name="Journal Article"&gt;17&lt;/ref-type&gt;&lt;contributors&gt;&lt;authors&gt;&lt;author&gt;Hunter, David J.&lt;/author&gt;&lt;author&gt;Bierma-Zeinstra, Sita&lt;/author&gt;&lt;/authors&gt;&lt;/contributors&gt;&lt;titles&gt;&lt;title&gt;Osteoarthritis&lt;/title&gt;&lt;secondary-title&gt;The Lancet&lt;/secondary-title&gt;&lt;/titles&gt;&lt;periodical&gt;&lt;full-title&gt;The Lancet&lt;/full-title&gt;&lt;/periodical&gt;&lt;pages&gt;1745-1759&lt;/pages&gt;&lt;volume&gt;393&lt;/volume&gt;&lt;number&gt;10182&lt;/number&gt;&lt;section&gt;1745&lt;/section&gt;&lt;dates&gt;&lt;year&gt;2019&lt;/year&gt;&lt;/dates&gt;&lt;isbn&gt;01406736&lt;/isbn&gt;&lt;urls&gt;&lt;/urls&gt;&lt;electronic-resource-num&gt;10.1016/s0140-6736(19)30417-9&lt;/electronic-resource-num&gt;&lt;/record&gt;&lt;/Cite&gt;&lt;/EndNote&gt;</w:instrText>
      </w:r>
      <w:r w:rsidR="00AB714E">
        <w:rPr>
          <w:rFonts w:eastAsia="Arial"/>
          <w:sz w:val="24"/>
          <w:szCs w:val="24"/>
        </w:rPr>
        <w:fldChar w:fldCharType="separate"/>
      </w:r>
      <w:r w:rsidR="00104BE4" w:rsidRPr="00104BE4">
        <w:rPr>
          <w:rFonts w:eastAsia="Arial"/>
          <w:noProof/>
          <w:sz w:val="24"/>
          <w:szCs w:val="24"/>
          <w:vertAlign w:val="superscript"/>
        </w:rPr>
        <w:t>[2]</w:t>
      </w:r>
      <w:r w:rsidR="00AB714E">
        <w:rPr>
          <w:rFonts w:eastAsia="Arial"/>
          <w:sz w:val="24"/>
          <w:szCs w:val="24"/>
        </w:rPr>
        <w:fldChar w:fldCharType="end"/>
      </w:r>
      <w:r>
        <w:rPr>
          <w:rFonts w:eastAsia="Arial"/>
          <w:sz w:val="24"/>
          <w:szCs w:val="24"/>
        </w:rPr>
        <w:t>. Obesity, aging, stress injury, trauma and congenital joint abnormalities can all cause OA</w:t>
      </w:r>
      <w:r w:rsidR="00AB714E">
        <w:rPr>
          <w:rFonts w:eastAsia="Arial"/>
          <w:sz w:val="24"/>
          <w:szCs w:val="24"/>
        </w:rPr>
        <w:fldChar w:fldCharType="begin"/>
      </w:r>
      <w:r w:rsidR="00104BE4">
        <w:rPr>
          <w:rFonts w:eastAsia="Arial"/>
          <w:sz w:val="24"/>
          <w:szCs w:val="24"/>
        </w:rPr>
        <w:instrText xml:space="preserve"> ADDIN EN.CITE &lt;EndNote&gt;&lt;Cite&gt;&lt;Author&gt;Loeser&lt;/Author&gt;&lt;Year&gt;2012&lt;/Year&gt;&lt;RecNum&gt;24&lt;/RecNum&gt;&lt;DisplayText&gt;&lt;style face="superscript"&gt;[3]&lt;/style&gt;&lt;/DisplayText&gt;&lt;record&gt;&lt;rec-number&gt;24&lt;/rec-number&gt;&lt;foreign-keys&gt;&lt;key app="EN" db-id="avfaaezvnr20v0e2zfkxaee9fwrzz5sx02a2" timestamp="1732626433"&gt;24&lt;/key&gt;&lt;/foreign-keys&gt;&lt;ref-type name="Journal Article"&gt;17&lt;/ref-type&gt;&lt;contributors&gt;&lt;authors&gt;&lt;author&gt;Loeser, Richard F.&lt;/author&gt;&lt;author&gt;Goldring, Steven R.&lt;/author&gt;&lt;author&gt;Scanzello, Carla R.&lt;/author&gt;&lt;author&gt;Goldring, Mary B.&lt;/author&gt;&lt;/authors&gt;&lt;/contributors&gt;&lt;titles&gt;&lt;title&gt;Osteoarthritis: A disease of the joint as an organ&lt;/title&gt;&lt;secondary-title&gt;Arthritis &amp;amp; Rheumatism&lt;/secondary-title&gt;&lt;/titles&gt;&lt;periodical&gt;&lt;full-title&gt;Arthritis &amp;amp; Rheumatism&lt;/full-title&gt;&lt;/periodical&gt;&lt;pages&gt;1697-1707&lt;/pages&gt;&lt;volume&gt;64&lt;/volume&gt;&lt;number&gt;6&lt;/number&gt;&lt;section&gt;1697&lt;/section&gt;&lt;dates&gt;&lt;year&gt;2012&lt;/year&gt;&lt;/dates&gt;&lt;isbn&gt;0004-3591&amp;#xD;1529-0131&lt;/isbn&gt;&lt;urls&gt;&lt;/urls&gt;&lt;electronic-resource-num&gt;10.1002/art.34453&lt;/electronic-resource-num&gt;&lt;/record&gt;&lt;/Cite&gt;&lt;/EndNote&gt;</w:instrText>
      </w:r>
      <w:r w:rsidR="00AB714E">
        <w:rPr>
          <w:rFonts w:eastAsia="Arial"/>
          <w:sz w:val="24"/>
          <w:szCs w:val="24"/>
        </w:rPr>
        <w:fldChar w:fldCharType="separate"/>
      </w:r>
      <w:r w:rsidR="00104BE4" w:rsidRPr="00104BE4">
        <w:rPr>
          <w:rFonts w:eastAsia="Arial"/>
          <w:noProof/>
          <w:sz w:val="24"/>
          <w:szCs w:val="24"/>
          <w:vertAlign w:val="superscript"/>
        </w:rPr>
        <w:t>[3]</w:t>
      </w:r>
      <w:r w:rsidR="00AB714E">
        <w:rPr>
          <w:rFonts w:eastAsia="Arial"/>
          <w:sz w:val="24"/>
          <w:szCs w:val="24"/>
        </w:rPr>
        <w:fldChar w:fldCharType="end"/>
      </w:r>
      <w:r>
        <w:rPr>
          <w:rFonts w:eastAsia="Arial"/>
          <w:sz w:val="24"/>
          <w:szCs w:val="24"/>
        </w:rPr>
        <w:t>.</w:t>
      </w:r>
    </w:p>
    <w:p w14:paraId="317E0693" w14:textId="15348811" w:rsidR="007A1C93" w:rsidRDefault="00000000">
      <w:pPr>
        <w:spacing w:line="360" w:lineRule="auto"/>
        <w:ind w:firstLineChars="200" w:firstLine="480"/>
        <w:rPr>
          <w:rFonts w:eastAsia="Arial"/>
          <w:sz w:val="24"/>
          <w:szCs w:val="24"/>
        </w:rPr>
      </w:pPr>
      <w:r>
        <w:rPr>
          <w:rFonts w:eastAsia="Arial"/>
          <w:sz w:val="24"/>
          <w:szCs w:val="24"/>
        </w:rPr>
        <w:t>With the deepening of the cognition of OA, scholars at home and abroad have found that the degeneration and apoptosis of chondrocytes play a key role in the occurrence and development of osteoarthritis. Articular cartilage is composed of chondrocytes and cartilage matrix. Chondrocytes are the only cell types in articular cartilage. They mainly maintain tissue homeostasis, respond to injury, and participate in the cartilage reconstruction process of OA. Autophagy is a process in which the substances in its own cytoplasm are transported to lysosomes for degradation. Cells meet their own metabolic needs and the renewal of some organelles</w:t>
      </w:r>
      <w:r w:rsidR="00F06858">
        <w:rPr>
          <w:rFonts w:eastAsia="Arial"/>
          <w:sz w:val="24"/>
          <w:szCs w:val="24"/>
        </w:rPr>
        <w:fldChar w:fldCharType="begin"/>
      </w:r>
      <w:r w:rsidR="00104BE4">
        <w:rPr>
          <w:rFonts w:eastAsia="Arial"/>
          <w:sz w:val="24"/>
          <w:szCs w:val="24"/>
        </w:rPr>
        <w:instrText xml:space="preserve"> ADDIN EN.CITE &lt;EndNote&gt;&lt;Cite&gt;&lt;Author&gt;Duan&lt;/Author&gt;&lt;Year&gt;2020&lt;/Year&gt;&lt;RecNum&gt;26&lt;/RecNum&gt;&lt;DisplayText&gt;&lt;style face="superscript"&gt;[4]&lt;/style&gt;&lt;/DisplayText&gt;&lt;record&gt;&lt;rec-number&gt;26&lt;/rec-number&gt;&lt;foreign-keys&gt;&lt;key app="EN" db-id="avfaaezvnr20v0e2zfkxaee9fwrzz5sx02a2" timestamp="1732710666"&gt;26&lt;/key&gt;&lt;/foreign-keys&gt;&lt;ref-type name="Journal Article"&gt;17&lt;/ref-type&gt;&lt;contributors&gt;&lt;authors&gt;&lt;author&gt;Duan, Ran&lt;/author&gt;&lt;author&gt;Xie, Hui&lt;/author&gt;&lt;author&gt;Liu, Zheng-Zhao&lt;/author&gt;&lt;/authors&gt;&lt;/contributors&gt;&lt;titles&gt;&lt;title&gt;The Role of Autophagy in Osteoarthritis&lt;/title&gt;&lt;secondary-title&gt;Frontiers in Cell and Developmental Biology&lt;/secondary-title&gt;&lt;/titles&gt;&lt;periodical&gt;&lt;full-title&gt;Frontiers in Cell and Developmental Biology&lt;/full-title&gt;&lt;/periodical&gt;&lt;volume&gt;8&lt;/volume&gt;&lt;dates&gt;&lt;year&gt;2020&lt;/year&gt;&lt;/dates&gt;&lt;isbn&gt;2296-634X&lt;/isbn&gt;&lt;urls&gt;&lt;/urls&gt;&lt;electronic-resource-num&gt;10.3389/fcell.2020.608388&lt;/electronic-resource-num&gt;&lt;/record&gt;&lt;/Cite&gt;&lt;/EndNote&gt;</w:instrText>
      </w:r>
      <w:r w:rsidR="00F06858">
        <w:rPr>
          <w:rFonts w:eastAsia="Arial"/>
          <w:sz w:val="24"/>
          <w:szCs w:val="24"/>
        </w:rPr>
        <w:fldChar w:fldCharType="separate"/>
      </w:r>
      <w:r w:rsidR="00104BE4" w:rsidRPr="00104BE4">
        <w:rPr>
          <w:rFonts w:eastAsia="Arial"/>
          <w:noProof/>
          <w:sz w:val="24"/>
          <w:szCs w:val="24"/>
          <w:vertAlign w:val="superscript"/>
        </w:rPr>
        <w:t>[4]</w:t>
      </w:r>
      <w:r w:rsidR="00F06858">
        <w:rPr>
          <w:rFonts w:eastAsia="Arial"/>
          <w:sz w:val="24"/>
          <w:szCs w:val="24"/>
        </w:rPr>
        <w:fldChar w:fldCharType="end"/>
      </w:r>
      <w:r>
        <w:rPr>
          <w:rFonts w:eastAsia="Arial"/>
          <w:sz w:val="24"/>
          <w:szCs w:val="24"/>
        </w:rPr>
        <w:t xml:space="preserve">. The role of chondrocyte autophagy in the development of OA has gradually attracted the attention of scholars. Studies have shown that the level of chondrocyte autophagy in OA </w:t>
      </w:r>
      <w:r>
        <w:rPr>
          <w:rFonts w:eastAsia="Arial"/>
          <w:sz w:val="24"/>
          <w:szCs w:val="24"/>
        </w:rPr>
        <w:lastRenderedPageBreak/>
        <w:t>patients decreases significantly</w:t>
      </w:r>
      <w:r w:rsidR="009A3D70">
        <w:rPr>
          <w:rFonts w:eastAsia="Arial"/>
          <w:sz w:val="24"/>
          <w:szCs w:val="24"/>
        </w:rPr>
        <w:fldChar w:fldCharType="begin"/>
      </w:r>
      <w:r w:rsidR="00104BE4">
        <w:rPr>
          <w:rFonts w:eastAsia="Arial"/>
          <w:sz w:val="24"/>
          <w:szCs w:val="24"/>
        </w:rPr>
        <w:instrText xml:space="preserve"> ADDIN EN.CITE &lt;EndNote&gt;&lt;Cite&gt;&lt;Author&gt;Li&lt;/Author&gt;&lt;Year&gt;2024&lt;/Year&gt;&lt;RecNum&gt;30&lt;/RecNum&gt;&lt;DisplayText&gt;&lt;style face="superscript"&gt;[5]&lt;/style&gt;&lt;/DisplayText&gt;&lt;record&gt;&lt;rec-number&gt;30&lt;/rec-number&gt;&lt;foreign-keys&gt;&lt;key app="EN" db-id="avfaaezvnr20v0e2zfkxaee9fwrzz5sx02a2" timestamp="1732711305"&gt;30&lt;/key&gt;&lt;/foreign-keys&gt;&lt;ref-type name="Journal Article"&gt;17&lt;/ref-type&gt;&lt;contributors&gt;&lt;authors&gt;&lt;author&gt;Li, Lan&lt;/author&gt;&lt;author&gt;Li, Jie&lt;/author&gt;&lt;author&gt;Li, Jian-Jiang&lt;/author&gt;&lt;author&gt;Zhou, Huan&lt;/author&gt;&lt;author&gt;Zhu, Xing-Wang&lt;/author&gt;&lt;author&gt;Zhang, Ping-Heng&lt;/author&gt;&lt;author&gt;Huang, Bo&lt;/author&gt;&lt;author&gt;Zhao, Wen-Ting&lt;/author&gt;&lt;author&gt;Zhao, Xiao-Feng&lt;/author&gt;&lt;author&gt;Chen, En-Sheng&lt;/author&gt;&lt;/authors&gt;&lt;/contributors&gt;&lt;titles&gt;&lt;title&gt;Chondrocyte autophagy mechanism and therapeutic prospects in osteoarthritis&lt;/title&gt;&lt;secondary-title&gt;Frontiers in Cell and Developmental Biology&lt;/secondary-title&gt;&lt;/titles&gt;&lt;periodical&gt;&lt;full-title&gt;Frontiers in Cell and Developmental Biology&lt;/full-title&gt;&lt;/periodical&gt;&lt;volume&gt;12&lt;/volume&gt;&lt;dates&gt;&lt;year&gt;2024&lt;/year&gt;&lt;/dates&gt;&lt;isbn&gt;2296-634X&lt;/isbn&gt;&lt;urls&gt;&lt;/urls&gt;&lt;electronic-resource-num&gt;10.3389/fcell.2024.1472613&lt;/electronic-resource-num&gt;&lt;/record&gt;&lt;/Cite&gt;&lt;/EndNote&gt;</w:instrText>
      </w:r>
      <w:r w:rsidR="009A3D70">
        <w:rPr>
          <w:rFonts w:eastAsia="Arial"/>
          <w:sz w:val="24"/>
          <w:szCs w:val="24"/>
        </w:rPr>
        <w:fldChar w:fldCharType="separate"/>
      </w:r>
      <w:r w:rsidR="00104BE4" w:rsidRPr="00104BE4">
        <w:rPr>
          <w:rFonts w:eastAsia="Arial"/>
          <w:noProof/>
          <w:sz w:val="24"/>
          <w:szCs w:val="24"/>
          <w:vertAlign w:val="superscript"/>
        </w:rPr>
        <w:t>[5]</w:t>
      </w:r>
      <w:r w:rsidR="009A3D70">
        <w:rPr>
          <w:rFonts w:eastAsia="Arial"/>
          <w:sz w:val="24"/>
          <w:szCs w:val="24"/>
        </w:rPr>
        <w:fldChar w:fldCharType="end"/>
      </w:r>
      <w:r>
        <w:rPr>
          <w:rFonts w:eastAsia="Arial"/>
          <w:sz w:val="24"/>
          <w:szCs w:val="24"/>
        </w:rPr>
        <w:t>. In chondrocytes with down-regulated autophagy levels, IL-1β causes a decrease in the levels of type II collagen and proteoglycans that protect chondrocytes. Some studies have found that the decrease of autophagy level of chondrocytes can lead to apoptosis and mitochondrial dysfunction, and the energy metabolism disorder caused by mitochondrial dysfunction is an important cause of chondrocyte damage and cartilage metamorphosis</w:t>
      </w:r>
      <w:r w:rsidR="00F43F39">
        <w:rPr>
          <w:rFonts w:eastAsia="Arial"/>
          <w:sz w:val="24"/>
          <w:szCs w:val="24"/>
        </w:rPr>
        <w:fldChar w:fldCharType="begin"/>
      </w:r>
      <w:r w:rsidR="00104BE4">
        <w:rPr>
          <w:rFonts w:eastAsia="Arial"/>
          <w:sz w:val="24"/>
          <w:szCs w:val="24"/>
        </w:rPr>
        <w:instrText xml:space="preserve"> ADDIN EN.CITE &lt;EndNote&gt;&lt;Cite&gt;&lt;Author&gt;López de Figueroa&lt;/Author&gt;&lt;Year&gt;2015&lt;/Year&gt;&lt;RecNum&gt;33&lt;/RecNum&gt;&lt;DisplayText&gt;&lt;style face="superscript"&gt;[6]&lt;/style&gt;&lt;/DisplayText&gt;&lt;record&gt;&lt;rec-number&gt;33&lt;/rec-number&gt;&lt;foreign-keys&gt;&lt;key app="EN" db-id="avfaaezvnr20v0e2zfkxaee9fwrzz5sx02a2" timestamp="1732711908"&gt;33&lt;/key&gt;&lt;/foreign-keys&gt;&lt;ref-type name="Journal Article"&gt;17&lt;/ref-type&gt;&lt;contributors&gt;&lt;authors&gt;&lt;author&gt;López de Figueroa, Paloma&lt;/author&gt;&lt;author&gt;Lotz, Martin K.&lt;/author&gt;&lt;author&gt;Blanco, Francisco J.&lt;/author&gt;&lt;author&gt;Caramés, Beatriz&lt;/author&gt;&lt;/authors&gt;&lt;/contributors&gt;&lt;titles&gt;&lt;title&gt;Autophagy Activation and Protection From Mitochondrial Dysfunction in Human Chondrocytes&lt;/title&gt;&lt;secondary-title&gt;Arthritis &amp;amp; Rheumatology&lt;/secondary-title&gt;&lt;/titles&gt;&lt;periodical&gt;&lt;full-title&gt;Arthritis &amp;amp; Rheumatology&lt;/full-title&gt;&lt;/periodical&gt;&lt;pages&gt;966-976&lt;/pages&gt;&lt;volume&gt;67&lt;/volume&gt;&lt;number&gt;4&lt;/number&gt;&lt;section&gt;966&lt;/section&gt;&lt;dates&gt;&lt;year&gt;2015&lt;/year&gt;&lt;/dates&gt;&lt;isbn&gt;2326-5191&amp;#xD;2326-5205&lt;/isbn&gt;&lt;urls&gt;&lt;/urls&gt;&lt;electronic-resource-num&gt;10.1002/art.39025&lt;/electronic-resource-num&gt;&lt;/record&gt;&lt;/Cite&gt;&lt;/EndNote&gt;</w:instrText>
      </w:r>
      <w:r w:rsidR="00F43F39">
        <w:rPr>
          <w:rFonts w:eastAsia="Arial"/>
          <w:sz w:val="24"/>
          <w:szCs w:val="24"/>
        </w:rPr>
        <w:fldChar w:fldCharType="separate"/>
      </w:r>
      <w:r w:rsidR="00104BE4" w:rsidRPr="00104BE4">
        <w:rPr>
          <w:rFonts w:eastAsia="Arial"/>
          <w:noProof/>
          <w:sz w:val="24"/>
          <w:szCs w:val="24"/>
          <w:vertAlign w:val="superscript"/>
        </w:rPr>
        <w:t>[6]</w:t>
      </w:r>
      <w:r w:rsidR="00F43F39">
        <w:rPr>
          <w:rFonts w:eastAsia="Arial"/>
          <w:sz w:val="24"/>
          <w:szCs w:val="24"/>
        </w:rPr>
        <w:fldChar w:fldCharType="end"/>
      </w:r>
      <w:r>
        <w:rPr>
          <w:rFonts w:eastAsia="Arial"/>
          <w:sz w:val="24"/>
          <w:szCs w:val="24"/>
        </w:rPr>
        <w:t>. Therefore, autophagy of chondrocytes may be involved in the pathogenesis of OA.</w:t>
      </w:r>
    </w:p>
    <w:p w14:paraId="4ACEFA30" w14:textId="5F437F9A" w:rsidR="007A1C93" w:rsidRDefault="00000000">
      <w:pPr>
        <w:spacing w:line="360" w:lineRule="auto"/>
        <w:ind w:firstLineChars="200" w:firstLine="480"/>
        <w:rPr>
          <w:sz w:val="24"/>
          <w:szCs w:val="24"/>
        </w:rPr>
      </w:pPr>
      <w:r>
        <w:rPr>
          <w:rFonts w:eastAsia="Arial"/>
          <w:sz w:val="24"/>
          <w:szCs w:val="24"/>
        </w:rPr>
        <w:t xml:space="preserve">KLF4 is a member of the </w:t>
      </w:r>
      <w:proofErr w:type="spellStart"/>
      <w:r>
        <w:rPr>
          <w:rFonts w:eastAsia="Arial"/>
          <w:sz w:val="24"/>
          <w:szCs w:val="24"/>
        </w:rPr>
        <w:t>Krüppel</w:t>
      </w:r>
      <w:proofErr w:type="spellEnd"/>
      <w:r>
        <w:rPr>
          <w:rFonts w:eastAsia="Arial"/>
          <w:sz w:val="24"/>
          <w:szCs w:val="24"/>
        </w:rPr>
        <w:t>-like factors (KLFs) family, a class of transcription factors with zinc finger domains. KLFs family proteins often show tissue-selective expression and extensive regulatory functions. KLF4 is expressed in skin, gastrointestinal tract and bone tissue</w:t>
      </w:r>
      <w:r w:rsidR="00D365DC">
        <w:rPr>
          <w:rFonts w:eastAsia="Arial"/>
          <w:sz w:val="24"/>
          <w:szCs w:val="24"/>
        </w:rPr>
        <w:fldChar w:fldCharType="begin">
          <w:fldData xml:space="preserve">PEVuZE5vdGU+PENpdGU+PEF1dGhvcj5LYXR6PC9BdXRob3I+PFllYXI+MjAwMjwvWWVhcj48UmVj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==
</w:fldData>
        </w:fldChar>
      </w:r>
      <w:r w:rsidR="00104BE4">
        <w:rPr>
          <w:rFonts w:eastAsia="Arial"/>
          <w:sz w:val="24"/>
          <w:szCs w:val="24"/>
        </w:rPr>
        <w:instrText xml:space="preserve"> ADDIN EN.CITE </w:instrText>
      </w:r>
      <w:r w:rsidR="00104BE4">
        <w:rPr>
          <w:rFonts w:eastAsia="Arial"/>
          <w:sz w:val="24"/>
          <w:szCs w:val="24"/>
        </w:rPr>
        <w:fldChar w:fldCharType="begin">
          <w:fldData xml:space="preserve">PEVuZE5vdGU+PENpdGU+PEF1dGhvcj5LYXR6PC9BdXRob3I+PFllYXI+MjAwMjwvWWVhcj48UmVj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==
</w:fldData>
        </w:fldChar>
      </w:r>
      <w:r w:rsidR="00104BE4">
        <w:rPr>
          <w:rFonts w:eastAsia="Arial"/>
          <w:sz w:val="24"/>
          <w:szCs w:val="24"/>
        </w:rPr>
        <w:instrText xml:space="preserve"> ADDIN EN.CITE.DATA </w:instrText>
      </w:r>
      <w:r w:rsidR="00104BE4">
        <w:rPr>
          <w:rFonts w:eastAsia="Arial"/>
          <w:sz w:val="24"/>
          <w:szCs w:val="24"/>
        </w:rPr>
      </w:r>
      <w:r w:rsidR="00104BE4">
        <w:rPr>
          <w:rFonts w:eastAsia="Arial"/>
          <w:sz w:val="24"/>
          <w:szCs w:val="24"/>
        </w:rPr>
        <w:fldChar w:fldCharType="end"/>
      </w:r>
      <w:r w:rsidR="00D365DC">
        <w:rPr>
          <w:rFonts w:eastAsia="Arial"/>
          <w:sz w:val="24"/>
          <w:szCs w:val="24"/>
        </w:rPr>
      </w:r>
      <w:r w:rsidR="00D365DC">
        <w:rPr>
          <w:rFonts w:eastAsia="Arial"/>
          <w:sz w:val="24"/>
          <w:szCs w:val="24"/>
        </w:rPr>
        <w:fldChar w:fldCharType="separate"/>
      </w:r>
      <w:r w:rsidR="00104BE4" w:rsidRPr="00104BE4">
        <w:rPr>
          <w:rFonts w:eastAsia="Arial"/>
          <w:noProof/>
          <w:sz w:val="24"/>
          <w:szCs w:val="24"/>
          <w:vertAlign w:val="superscript"/>
        </w:rPr>
        <w:t>[7]</w:t>
      </w:r>
      <w:r w:rsidR="00D365DC">
        <w:rPr>
          <w:rFonts w:eastAsia="Arial"/>
          <w:sz w:val="24"/>
          <w:szCs w:val="24"/>
        </w:rPr>
        <w:fldChar w:fldCharType="end"/>
      </w:r>
      <w:r>
        <w:rPr>
          <w:rFonts w:eastAsia="Arial"/>
          <w:sz w:val="24"/>
          <w:szCs w:val="24"/>
        </w:rPr>
        <w:t>. The latest research shows that eight transcription factors, including KLF4, target a large number of dysregulated genes. Their expression in OA is inhibited, which indicates that the deletion of KLF4 is an important link in regulating the occurrence of OA</w:t>
      </w:r>
      <w:r w:rsidR="00D365DC">
        <w:rPr>
          <w:rFonts w:eastAsia="Arial"/>
          <w:sz w:val="24"/>
          <w:szCs w:val="24"/>
        </w:rPr>
        <w:fldChar w:fldCharType="begin"/>
      </w:r>
      <w:r w:rsidR="00104BE4">
        <w:rPr>
          <w:rFonts w:eastAsia="Arial"/>
          <w:sz w:val="24"/>
          <w:szCs w:val="24"/>
        </w:rPr>
        <w:instrText xml:space="preserve"> ADDIN EN.CITE &lt;EndNote&gt;&lt;Cite&gt;&lt;Author&gt;Kawata&lt;/Author&gt;&lt;Year&gt;2022&lt;/Year&gt;&lt;RecNum&gt;40&lt;/RecNum&gt;&lt;DisplayText&gt;&lt;style face="superscript"&gt;[8]&lt;/style&gt;&lt;/DisplayText&gt;&lt;record&gt;&lt;rec-number&gt;40&lt;/rec-number&gt;&lt;foreign-keys&gt;&lt;key app="EN" db-id="avfaaezvnr20v0e2zfkxaee9fwrzz5sx02a2" timestamp="1732712723"&gt;40&lt;/key&gt;&lt;/foreign-keys&gt;&lt;ref-type name="Journal Article"&gt;17&lt;/ref-type&gt;&lt;contributors&gt;&lt;authors&gt;&lt;author&gt;Kawata, Manabu&lt;/author&gt;&lt;author&gt;Teramura, Takeshi&lt;/author&gt;&lt;author&gt;Ordoukhanian, Philip&lt;/author&gt;&lt;author&gt;Head, Steven R.&lt;/author&gt;&lt;author&gt;Natarajan, Padmaja&lt;/author&gt;&lt;author&gt;Sundaresan, Aishwarya&lt;/author&gt;&lt;author&gt;Olmer, Merissa&lt;/author&gt;&lt;author&gt;Asahara, Hiroshi&lt;/author&gt;&lt;author&gt;Lotz, Martin K.&lt;/author&gt;&lt;/authors&gt;&lt;/contributors&gt;&lt;titles&gt;&lt;title&gt;Krüppel-like factor-4 and Krüppel-like factor-2 are important regulators of joint tissue cells and protect against tissue destruction and inflammation in osteoarthritis&lt;/title&gt;&lt;secondary-title&gt;Annals of the Rheumatic Diseases&lt;/secondary-title&gt;&lt;/titles&gt;&lt;periodical&gt;&lt;full-title&gt;Annals of the Rheumatic Diseases&lt;/full-title&gt;&lt;/periodical&gt;&lt;pages&gt;1179-1188&lt;/pages&gt;&lt;volume&gt;81&lt;/volume&gt;&lt;number&gt;8&lt;/number&gt;&lt;section&gt;1179&lt;/section&gt;&lt;dates&gt;&lt;year&gt;2022&lt;/year&gt;&lt;/dates&gt;&lt;isbn&gt;0003-4967&amp;#xD;1468-2060&lt;/isbn&gt;&lt;urls&gt;&lt;/urls&gt;&lt;electronic-resource-num&gt;10.1136/annrheumdis-2021-221867&lt;/electronic-resource-num&gt;&lt;/record&gt;&lt;/Cite&gt;&lt;/EndNote&gt;</w:instrText>
      </w:r>
      <w:r w:rsidR="00D365DC">
        <w:rPr>
          <w:rFonts w:eastAsia="Arial"/>
          <w:sz w:val="24"/>
          <w:szCs w:val="24"/>
        </w:rPr>
        <w:fldChar w:fldCharType="separate"/>
      </w:r>
      <w:r w:rsidR="00104BE4" w:rsidRPr="00104BE4">
        <w:rPr>
          <w:rFonts w:eastAsia="Arial"/>
          <w:noProof/>
          <w:sz w:val="24"/>
          <w:szCs w:val="24"/>
          <w:vertAlign w:val="superscript"/>
        </w:rPr>
        <w:t>[8]</w:t>
      </w:r>
      <w:r w:rsidR="00D365DC">
        <w:rPr>
          <w:rFonts w:eastAsia="Arial"/>
          <w:sz w:val="24"/>
          <w:szCs w:val="24"/>
        </w:rPr>
        <w:fldChar w:fldCharType="end"/>
      </w:r>
      <w:r>
        <w:rPr>
          <w:rFonts w:eastAsia="Arial"/>
          <w:sz w:val="24"/>
          <w:szCs w:val="24"/>
        </w:rPr>
        <w:t>. In mouse embryonic fibroblasts, KLF4 overexpression can further avoid DNA damage and apoptosis by activating autophagy, while its deletion causes mitochondrial dysfunction and leads to the accumulation of ROS. Therefore, we speculate that KLF4 may inhibit chondrocyte apoptosis by activating autophagy in osteoarthritis</w:t>
      </w:r>
      <w:r w:rsidR="00D365DC">
        <w:rPr>
          <w:rFonts w:eastAsia="Arial"/>
          <w:sz w:val="24"/>
          <w:szCs w:val="24"/>
        </w:rPr>
        <w:fldChar w:fldCharType="begin"/>
      </w:r>
      <w:r w:rsidR="00104BE4">
        <w:rPr>
          <w:rFonts w:eastAsia="Arial"/>
          <w:sz w:val="24"/>
          <w:szCs w:val="24"/>
        </w:rPr>
        <w:instrText xml:space="preserve"> ADDIN EN.CITE &lt;EndNote&gt;&lt;Cite&gt;&lt;Author&gt;Kawata&lt;/Author&gt;&lt;Year&gt;2022&lt;/Year&gt;&lt;RecNum&gt;41&lt;/RecNum&gt;&lt;DisplayText&gt;&lt;style face="superscript"&gt;[8]&lt;/style&gt;&lt;/DisplayText&gt;&lt;record&gt;&lt;rec-number&gt;41&lt;/rec-number&gt;&lt;foreign-keys&gt;&lt;key app="EN" db-id="avfaaezvnr20v0e2zfkxaee9fwrzz5sx02a2" timestamp="1732712790"&gt;41&lt;/key&gt;&lt;/foreign-keys&gt;&lt;ref-type name="Journal Article"&gt;17&lt;/ref-type&gt;&lt;contributors&gt;&lt;authors&gt;&lt;author&gt;Kawata, Manabu&lt;/author&gt;&lt;author&gt;Teramura, Takeshi&lt;/author&gt;&lt;author&gt;Ordoukhanian, Philip&lt;/author&gt;&lt;author&gt;Head, Steven R.&lt;/author&gt;&lt;author&gt;Natarajan, Padmaja&lt;/author&gt;&lt;author&gt;Sundaresan, Aishwarya&lt;/author&gt;&lt;author&gt;Olmer, Merissa&lt;/author&gt;&lt;author&gt;Asahara, Hiroshi&lt;/author&gt;&lt;author&gt;Lotz, Martin K.&lt;/author&gt;&lt;/authors&gt;&lt;/contributors&gt;&lt;titles&gt;&lt;title&gt;Krüppel-like factor-4 and Krüppel-like factor-2 are important regulators of joint tissue cells and protect against tissue destruction and inflammation in osteoarthritis&lt;/title&gt;&lt;secondary-title&gt;Annals of the Rheumatic Diseases&lt;/secondary-title&gt;&lt;/titles&gt;&lt;periodical&gt;&lt;full-title&gt;Annals of the Rheumatic Diseases&lt;/full-title&gt;&lt;/periodical&gt;&lt;pages&gt;1179-1188&lt;/pages&gt;&lt;volume&gt;81&lt;/volume&gt;&lt;number&gt;8&lt;/number&gt;&lt;section&gt;1179&lt;/section&gt;&lt;dates&gt;&lt;year&gt;2022&lt;/year&gt;&lt;/dates&gt;&lt;isbn&gt;0003-4967&amp;#xD;1468-2060&lt;/isbn&gt;&lt;urls&gt;&lt;/urls&gt;&lt;electronic-resource-num&gt;10.1136/annrheumdis-2021-221867&lt;/electronic-resource-num&gt;&lt;/record&gt;&lt;/Cite&gt;&lt;/EndNote&gt;</w:instrText>
      </w:r>
      <w:r w:rsidR="00D365DC">
        <w:rPr>
          <w:rFonts w:eastAsia="Arial"/>
          <w:sz w:val="24"/>
          <w:szCs w:val="24"/>
        </w:rPr>
        <w:fldChar w:fldCharType="separate"/>
      </w:r>
      <w:r w:rsidR="00104BE4" w:rsidRPr="00104BE4">
        <w:rPr>
          <w:rFonts w:eastAsia="Arial"/>
          <w:noProof/>
          <w:sz w:val="24"/>
          <w:szCs w:val="24"/>
          <w:vertAlign w:val="superscript"/>
        </w:rPr>
        <w:t>[8]</w:t>
      </w:r>
      <w:r w:rsidR="00D365DC">
        <w:rPr>
          <w:rFonts w:eastAsia="Arial"/>
          <w:sz w:val="24"/>
          <w:szCs w:val="24"/>
        </w:rPr>
        <w:fldChar w:fldCharType="end"/>
      </w:r>
      <w:r>
        <w:rPr>
          <w:rFonts w:eastAsia="Arial"/>
          <w:sz w:val="24"/>
          <w:szCs w:val="24"/>
        </w:rPr>
        <w:t>. This study aims to investigate the expression level of KLF4 in tissues of patients with OA, and study whether KLF4 can regulate IL-1β-induced autophagy and mitochondrial function of human primary chondrocytes, thereby protecting cells in order to clarify the role of KLF4 in the pathological process of OA and provide new ideas for clinical treatment of OA.</w:t>
      </w:r>
    </w:p>
    <w:p w14:paraId="0160D38A" w14:textId="77777777" w:rsidR="007A1C93" w:rsidRDefault="00000000">
      <w:pPr>
        <w:spacing w:line="360" w:lineRule="auto"/>
        <w:rPr>
          <w:b/>
          <w:bCs/>
          <w:sz w:val="24"/>
        </w:rPr>
      </w:pPr>
      <w:r>
        <w:rPr>
          <w:rFonts w:eastAsia="Arial"/>
          <w:b/>
          <w:bCs/>
          <w:color w:val="000000"/>
          <w:sz w:val="24"/>
        </w:rPr>
        <w:t>1 Materials and Methods</w:t>
      </w:r>
    </w:p>
    <w:p w14:paraId="7AA00F46" w14:textId="77777777" w:rsidR="007A1C93" w:rsidRDefault="00000000">
      <w:pPr>
        <w:spacing w:line="360" w:lineRule="auto"/>
        <w:rPr>
          <w:b/>
          <w:bCs/>
          <w:sz w:val="24"/>
          <w:szCs w:val="24"/>
        </w:rPr>
      </w:pPr>
      <w:r>
        <w:rPr>
          <w:rFonts w:eastAsia="Arial"/>
          <w:b/>
          <w:bCs/>
          <w:color w:val="000000"/>
          <w:sz w:val="24"/>
          <w:szCs w:val="24"/>
        </w:rPr>
        <w:t>1.1 Experimental reagents</w:t>
      </w:r>
    </w:p>
    <w:p w14:paraId="6976EED5" w14:textId="77777777" w:rsidR="007A1C93" w:rsidRDefault="00000000">
      <w:pPr>
        <w:spacing w:line="360" w:lineRule="auto"/>
        <w:ind w:firstLineChars="200" w:firstLine="420"/>
        <w:rPr>
          <w:sz w:val="24"/>
          <w:szCs w:val="24"/>
        </w:rPr>
      </w:pPr>
      <w:r>
        <w:rPr>
          <w:rFonts w:eastAsia="Arial"/>
          <w:color w:val="000000"/>
        </w:rPr>
        <w:t xml:space="preserve">4% histiocyte fixative (P1110, </w:t>
      </w:r>
      <w:proofErr w:type="spellStart"/>
      <w:r>
        <w:rPr>
          <w:rFonts w:eastAsia="Arial"/>
          <w:color w:val="000000"/>
        </w:rPr>
        <w:t>Solarbio</w:t>
      </w:r>
      <w:proofErr w:type="spellEnd"/>
      <w:r>
        <w:rPr>
          <w:rFonts w:eastAsia="Arial"/>
          <w:color w:val="000000"/>
        </w:rPr>
        <w:t xml:space="preserve">), bovine serum albumin V (BSA) (A8020, </w:t>
      </w:r>
      <w:proofErr w:type="spellStart"/>
      <w:r>
        <w:rPr>
          <w:rFonts w:eastAsia="Arial"/>
          <w:color w:val="000000"/>
        </w:rPr>
        <w:t>Solarbio</w:t>
      </w:r>
      <w:proofErr w:type="spellEnd"/>
      <w:r>
        <w:rPr>
          <w:rFonts w:eastAsia="Arial"/>
          <w:color w:val="000000"/>
        </w:rPr>
        <w:t xml:space="preserve">), ready-to-use DAPI stain (KGA215-50, </w:t>
      </w:r>
      <w:proofErr w:type="spellStart"/>
      <w:r>
        <w:rPr>
          <w:rFonts w:eastAsia="Arial"/>
          <w:color w:val="000000"/>
        </w:rPr>
        <w:t>KeyGen</w:t>
      </w:r>
      <w:proofErr w:type="spellEnd"/>
      <w:r>
        <w:rPr>
          <w:rFonts w:eastAsia="Arial"/>
          <w:color w:val="000000"/>
        </w:rPr>
        <w:t xml:space="preserve"> </w:t>
      </w:r>
      <w:proofErr w:type="spellStart"/>
      <w:r>
        <w:rPr>
          <w:rFonts w:eastAsia="Arial"/>
          <w:color w:val="000000"/>
        </w:rPr>
        <w:t>BioTECH</w:t>
      </w:r>
      <w:proofErr w:type="spellEnd"/>
      <w:r>
        <w:rPr>
          <w:rFonts w:eastAsia="Arial"/>
          <w:color w:val="000000"/>
        </w:rPr>
        <w:t xml:space="preserve">), primary antibody: Collagen II (bs-10589R, Bioss, 1/200); secondary antibody: goat anti-rabbit IgG cy3 (AS007, </w:t>
      </w:r>
      <w:proofErr w:type="spellStart"/>
      <w:r>
        <w:rPr>
          <w:rFonts w:eastAsia="Arial"/>
          <w:color w:val="000000"/>
        </w:rPr>
        <w:t>ABdonal</w:t>
      </w:r>
      <w:proofErr w:type="spellEnd"/>
      <w:r>
        <w:rPr>
          <w:rFonts w:eastAsia="Arial"/>
          <w:color w:val="000000"/>
        </w:rPr>
        <w:t xml:space="preserve">, 1/200); </w:t>
      </w:r>
      <w:proofErr w:type="spellStart"/>
      <w:r>
        <w:rPr>
          <w:rFonts w:eastAsia="Arial"/>
          <w:color w:val="000000"/>
        </w:rPr>
        <w:t>Trizon</w:t>
      </w:r>
      <w:proofErr w:type="spellEnd"/>
      <w:r>
        <w:rPr>
          <w:rFonts w:eastAsia="Arial"/>
          <w:color w:val="000000"/>
        </w:rPr>
        <w:t xml:space="preserve"> Reagent (CW0580S, CWBIO); ultrapure RNA extraction kit (CW0581M, CWBIO); </w:t>
      </w:r>
      <w:proofErr w:type="spellStart"/>
      <w:r>
        <w:rPr>
          <w:rFonts w:eastAsia="Arial"/>
          <w:color w:val="000000"/>
        </w:rPr>
        <w:t>HiScript</w:t>
      </w:r>
      <w:proofErr w:type="spellEnd"/>
      <w:r>
        <w:rPr>
          <w:rFonts w:eastAsia="Arial"/>
          <w:color w:val="000000"/>
        </w:rPr>
        <w:t xml:space="preserve"> II Q RT </w:t>
      </w:r>
      <w:proofErr w:type="spellStart"/>
      <w:r>
        <w:rPr>
          <w:rFonts w:eastAsia="Arial"/>
          <w:color w:val="000000"/>
        </w:rPr>
        <w:t>SuperMix</w:t>
      </w:r>
      <w:proofErr w:type="spellEnd"/>
      <w:r>
        <w:rPr>
          <w:rFonts w:eastAsia="Arial"/>
          <w:color w:val="000000"/>
        </w:rPr>
        <w:t xml:space="preserve"> for qPCR (+ gDNA wiper) (R223-01, </w:t>
      </w:r>
      <w:proofErr w:type="spellStart"/>
      <w:r>
        <w:rPr>
          <w:rFonts w:eastAsia="Arial"/>
          <w:color w:val="000000"/>
        </w:rPr>
        <w:t>Vazyme</w:t>
      </w:r>
      <w:proofErr w:type="spellEnd"/>
      <w:r>
        <w:rPr>
          <w:rFonts w:eastAsia="Arial"/>
          <w:color w:val="000000"/>
        </w:rPr>
        <w:t xml:space="preserve">); </w:t>
      </w:r>
      <w:proofErr w:type="spellStart"/>
      <w:r>
        <w:rPr>
          <w:rFonts w:eastAsia="Arial"/>
          <w:color w:val="000000"/>
        </w:rPr>
        <w:t>ChamQ</w:t>
      </w:r>
      <w:proofErr w:type="spellEnd"/>
      <w:r>
        <w:rPr>
          <w:rFonts w:eastAsia="Arial"/>
          <w:color w:val="000000"/>
        </w:rPr>
        <w:t xml:space="preserve"> Universal SYBR qPCR Master Mix (Q711-02, </w:t>
      </w:r>
      <w:proofErr w:type="spellStart"/>
      <w:r>
        <w:rPr>
          <w:rFonts w:eastAsia="Arial"/>
          <w:color w:val="000000"/>
        </w:rPr>
        <w:t>Vazyme</w:t>
      </w:r>
      <w:proofErr w:type="spellEnd"/>
      <w:r>
        <w:rPr>
          <w:rFonts w:eastAsia="Arial"/>
          <w:color w:val="000000"/>
        </w:rPr>
        <w:t xml:space="preserve">); RIPA cell lysate (C1053, Beijing </w:t>
      </w:r>
      <w:proofErr w:type="spellStart"/>
      <w:r>
        <w:rPr>
          <w:rFonts w:eastAsia="Arial"/>
          <w:color w:val="000000"/>
        </w:rPr>
        <w:t>Applygen</w:t>
      </w:r>
      <w:proofErr w:type="spellEnd"/>
      <w:r>
        <w:rPr>
          <w:rFonts w:eastAsia="Arial"/>
          <w:color w:val="000000"/>
        </w:rPr>
        <w:t xml:space="preserve"> </w:t>
      </w:r>
      <w:r>
        <w:rPr>
          <w:rFonts w:eastAsia="Arial"/>
          <w:color w:val="000000"/>
        </w:rPr>
        <w:lastRenderedPageBreak/>
        <w:t xml:space="preserve">Technology Co., Ltd.), BCA Protein Assay Kit (E-BC-K318-M, </w:t>
      </w:r>
      <w:proofErr w:type="spellStart"/>
      <w:r>
        <w:rPr>
          <w:rFonts w:eastAsia="Arial"/>
          <w:color w:val="000000"/>
        </w:rPr>
        <w:t>Elabscience</w:t>
      </w:r>
      <w:proofErr w:type="spellEnd"/>
      <w:r>
        <w:rPr>
          <w:rFonts w:eastAsia="Arial"/>
          <w:color w:val="000000"/>
        </w:rPr>
        <w:t xml:space="preserve">), hypersensitive luminescent solution (RJ239676, </w:t>
      </w:r>
      <w:proofErr w:type="spellStart"/>
      <w:r>
        <w:rPr>
          <w:rFonts w:eastAsia="Arial"/>
          <w:color w:val="000000"/>
        </w:rPr>
        <w:t>Thermo</w:t>
      </w:r>
      <w:proofErr w:type="spellEnd"/>
      <w:r>
        <w:rPr>
          <w:rFonts w:eastAsia="Arial"/>
          <w:color w:val="000000"/>
        </w:rPr>
        <w:t xml:space="preserve"> Fisher), internal reference primary antibody: Mouse Anti-GAPDH (HC301, </w:t>
      </w:r>
      <w:proofErr w:type="spellStart"/>
      <w:r>
        <w:rPr>
          <w:rFonts w:eastAsia="Arial"/>
          <w:color w:val="000000"/>
        </w:rPr>
        <w:t>TransGen</w:t>
      </w:r>
      <w:proofErr w:type="spellEnd"/>
      <w:r>
        <w:rPr>
          <w:rFonts w:eastAsia="Arial"/>
          <w:color w:val="000000"/>
        </w:rPr>
        <w:t xml:space="preserve"> Biotech, 1/2000), secondary antibody: HRP conjugated Goat Anti-Mouse IgG (H+L) (GB23301, </w:t>
      </w:r>
      <w:proofErr w:type="spellStart"/>
      <w:r>
        <w:rPr>
          <w:rFonts w:eastAsia="Arial"/>
          <w:color w:val="000000"/>
        </w:rPr>
        <w:t>Servicebio</w:t>
      </w:r>
      <w:proofErr w:type="spellEnd"/>
      <w:r>
        <w:rPr>
          <w:rFonts w:eastAsia="Arial"/>
          <w:color w:val="000000"/>
        </w:rPr>
        <w:t xml:space="preserve">, 1/2000), primary antibody of interest: Rabbit Anti LC3 (12741T, CST, 1/1000), primary antibody of interest: Mouse Anti P62 (66184-1-ig, </w:t>
      </w:r>
      <w:proofErr w:type="spellStart"/>
      <w:r>
        <w:rPr>
          <w:rFonts w:eastAsia="Arial"/>
          <w:color w:val="000000"/>
        </w:rPr>
        <w:t>Proteintech</w:t>
      </w:r>
      <w:proofErr w:type="spellEnd"/>
      <w:r>
        <w:rPr>
          <w:rFonts w:eastAsia="Arial"/>
          <w:color w:val="000000"/>
        </w:rPr>
        <w:t xml:space="preserve">, 1/3000), primary antibody of interest: Rabbit Anti Beclin1 (11306-1-AP, </w:t>
      </w:r>
      <w:proofErr w:type="spellStart"/>
      <w:r>
        <w:rPr>
          <w:rFonts w:eastAsia="Arial"/>
          <w:color w:val="000000"/>
        </w:rPr>
        <w:t>Proteintech</w:t>
      </w:r>
      <w:proofErr w:type="spellEnd"/>
      <w:r>
        <w:rPr>
          <w:rFonts w:eastAsia="Arial"/>
          <w:color w:val="000000"/>
        </w:rPr>
        <w:t xml:space="preserve">, 1/5000) secondary antibody: HRP conjugated Goat Anti-Rabbit IgG (H+L) (GB23303, </w:t>
      </w:r>
      <w:proofErr w:type="spellStart"/>
      <w:r>
        <w:rPr>
          <w:rFonts w:eastAsia="Arial"/>
          <w:color w:val="000000"/>
        </w:rPr>
        <w:t>Servicebio</w:t>
      </w:r>
      <w:proofErr w:type="spellEnd"/>
      <w:r>
        <w:rPr>
          <w:rFonts w:eastAsia="Arial"/>
          <w:color w:val="000000"/>
        </w:rPr>
        <w:t xml:space="preserve">, 1/2000), primary antibody of interest: Rabbit Anti KLF4 (11880-1-AP, </w:t>
      </w:r>
      <w:proofErr w:type="spellStart"/>
      <w:r>
        <w:rPr>
          <w:rFonts w:eastAsia="Arial"/>
          <w:color w:val="000000"/>
        </w:rPr>
        <w:t>Proteintech</w:t>
      </w:r>
      <w:proofErr w:type="spellEnd"/>
      <w:r>
        <w:rPr>
          <w:rFonts w:eastAsia="Arial"/>
          <w:color w:val="000000"/>
        </w:rPr>
        <w:t xml:space="preserve">, 1/1000); Human chondrocytes (CP-H107, Procell); Human primary chondrocyte special medium (CM-H107, Procell), KLF4 overexpressing empty lentivirus, KLF4 overexpressing lentivirus (provided by </w:t>
      </w:r>
      <w:proofErr w:type="spellStart"/>
      <w:r>
        <w:rPr>
          <w:rFonts w:eastAsia="Arial"/>
          <w:color w:val="000000"/>
        </w:rPr>
        <w:t>Zhonghong</w:t>
      </w:r>
      <w:proofErr w:type="spellEnd"/>
      <w:r>
        <w:rPr>
          <w:rFonts w:eastAsia="Arial"/>
          <w:color w:val="000000"/>
        </w:rPr>
        <w:t xml:space="preserve"> Boyuan Molecular Laboratory); 3-Methyladenine (3-MA) (HY-19312, MCE); Annexin V-FITC/PI Apoptosis Kit (AP101-100-kit, MULTI SCIENCES), PBS; Human tumor necrosis factor </w:t>
      </w:r>
      <w:r>
        <w:rPr>
          <w:color w:val="000000"/>
        </w:rPr>
        <w:t>α</w:t>
      </w:r>
      <w:r>
        <w:rPr>
          <w:rFonts w:eastAsia="Arial"/>
          <w:color w:val="000000"/>
        </w:rPr>
        <w:t xml:space="preserve"> (TNF-α) test box (E-EL-H0109c, </w:t>
      </w:r>
      <w:proofErr w:type="spellStart"/>
      <w:r>
        <w:rPr>
          <w:rFonts w:eastAsia="Arial"/>
          <w:color w:val="000000"/>
        </w:rPr>
        <w:t>Elabscience</w:t>
      </w:r>
      <w:proofErr w:type="spellEnd"/>
      <w:r>
        <w:rPr>
          <w:rFonts w:eastAsia="Arial"/>
          <w:color w:val="000000"/>
        </w:rPr>
        <w:t xml:space="preserve">); Human interleukin 10 (IL-10) test box (E-EL-H6154c, </w:t>
      </w:r>
      <w:proofErr w:type="spellStart"/>
      <w:r>
        <w:rPr>
          <w:rFonts w:eastAsia="Arial"/>
          <w:color w:val="000000"/>
        </w:rPr>
        <w:t>Elabscience</w:t>
      </w:r>
      <w:proofErr w:type="spellEnd"/>
      <w:r>
        <w:rPr>
          <w:rFonts w:eastAsia="Arial"/>
          <w:color w:val="000000"/>
        </w:rPr>
        <w:t xml:space="preserve">); ATP content test box (A095-1-1, Nanjing </w:t>
      </w:r>
      <w:proofErr w:type="spellStart"/>
      <w:r>
        <w:rPr>
          <w:rFonts w:eastAsia="Arial"/>
          <w:color w:val="000000"/>
        </w:rPr>
        <w:t>Jiancheng</w:t>
      </w:r>
      <w:proofErr w:type="spellEnd"/>
      <w:r>
        <w:rPr>
          <w:rFonts w:eastAsia="Arial"/>
          <w:color w:val="000000"/>
        </w:rPr>
        <w:t xml:space="preserve">); BCA protein concentration determination kit (E-BC-K318-M, </w:t>
      </w:r>
      <w:proofErr w:type="spellStart"/>
      <w:r>
        <w:rPr>
          <w:rFonts w:eastAsia="Arial"/>
          <w:color w:val="000000"/>
        </w:rPr>
        <w:t>Elabscience</w:t>
      </w:r>
      <w:proofErr w:type="spellEnd"/>
      <w:r>
        <w:rPr>
          <w:rFonts w:eastAsia="Arial"/>
          <w:color w:val="000000"/>
        </w:rPr>
        <w:t>); JC-1 mitochondrial membrane potential detection kit (</w:t>
      </w:r>
      <w:proofErr w:type="spellStart"/>
      <w:r>
        <w:rPr>
          <w:rFonts w:eastAsia="Arial"/>
          <w:color w:val="000000"/>
        </w:rPr>
        <w:t>Bestbio</w:t>
      </w:r>
      <w:proofErr w:type="spellEnd"/>
      <w:r>
        <w:rPr>
          <w:rFonts w:eastAsia="Arial"/>
          <w:color w:val="000000"/>
        </w:rPr>
        <w:t xml:space="preserve"> BB-4105); Ca2+ calcium ion detection Kit (BB-48112, </w:t>
      </w:r>
      <w:proofErr w:type="spellStart"/>
      <w:r>
        <w:rPr>
          <w:rFonts w:eastAsia="Arial"/>
          <w:color w:val="000000"/>
        </w:rPr>
        <w:t>Bestbio</w:t>
      </w:r>
      <w:proofErr w:type="spellEnd"/>
      <w:r>
        <w:rPr>
          <w:rFonts w:eastAsia="Arial"/>
          <w:color w:val="000000"/>
        </w:rPr>
        <w:t>); CHIP Assay Kit (</w:t>
      </w:r>
      <w:proofErr w:type="spellStart"/>
      <w:r>
        <w:rPr>
          <w:rFonts w:eastAsia="Arial"/>
          <w:color w:val="000000"/>
        </w:rPr>
        <w:t>Beyotime</w:t>
      </w:r>
      <w:proofErr w:type="spellEnd"/>
      <w:r>
        <w:rPr>
          <w:rFonts w:eastAsia="Arial"/>
          <w:color w:val="000000"/>
        </w:rPr>
        <w:t xml:space="preserve"> Biotechnology, P2078); PCR purification kit/DNA purification kit (</w:t>
      </w:r>
      <w:proofErr w:type="spellStart"/>
      <w:r>
        <w:rPr>
          <w:rFonts w:eastAsia="Arial"/>
          <w:color w:val="000000"/>
        </w:rPr>
        <w:t>Beyotime</w:t>
      </w:r>
      <w:proofErr w:type="spellEnd"/>
      <w:r>
        <w:rPr>
          <w:rFonts w:eastAsia="Arial"/>
          <w:color w:val="000000"/>
        </w:rPr>
        <w:t xml:space="preserve"> Biotechnology, D0033); PMSF (100 mM) (</w:t>
      </w:r>
      <w:proofErr w:type="spellStart"/>
      <w:r>
        <w:rPr>
          <w:rFonts w:eastAsia="Arial"/>
          <w:color w:val="000000"/>
        </w:rPr>
        <w:t>Beyotime</w:t>
      </w:r>
      <w:proofErr w:type="spellEnd"/>
      <w:r>
        <w:rPr>
          <w:rFonts w:eastAsia="Arial"/>
          <w:color w:val="000000"/>
        </w:rPr>
        <w:t xml:space="preserve"> Biotechnology, Cat No. ST506); Rabbit IgG (</w:t>
      </w:r>
      <w:proofErr w:type="spellStart"/>
      <w:r>
        <w:rPr>
          <w:rFonts w:eastAsia="Arial"/>
          <w:color w:val="000000"/>
        </w:rPr>
        <w:t>proteintech</w:t>
      </w:r>
      <w:proofErr w:type="spellEnd"/>
      <w:r>
        <w:rPr>
          <w:rFonts w:eastAsia="Arial"/>
          <w:color w:val="000000"/>
        </w:rPr>
        <w:t>, 30000-0-AP); RNA polymerase II (Abcam, ab238146); KLF4 (</w:t>
      </w:r>
      <w:proofErr w:type="spellStart"/>
      <w:r>
        <w:rPr>
          <w:rFonts w:eastAsia="Arial"/>
          <w:color w:val="000000"/>
        </w:rPr>
        <w:t>proteintech</w:t>
      </w:r>
      <w:proofErr w:type="spellEnd"/>
      <w:r>
        <w:rPr>
          <w:rFonts w:eastAsia="Arial"/>
          <w:color w:val="000000"/>
        </w:rPr>
        <w:t>, 11880-1-AP); Proteinase K (20 mg/mL) (</w:t>
      </w:r>
      <w:proofErr w:type="spellStart"/>
      <w:r>
        <w:rPr>
          <w:rFonts w:eastAsia="Arial"/>
          <w:color w:val="000000"/>
        </w:rPr>
        <w:t>Beyotime</w:t>
      </w:r>
      <w:proofErr w:type="spellEnd"/>
      <w:r>
        <w:rPr>
          <w:rFonts w:eastAsia="Arial"/>
          <w:color w:val="000000"/>
        </w:rPr>
        <w:t xml:space="preserve"> Biotechnology, Cat No. ST532); </w:t>
      </w:r>
      <w:proofErr w:type="spellStart"/>
      <w:r>
        <w:rPr>
          <w:rFonts w:eastAsia="Arial"/>
          <w:color w:val="000000"/>
        </w:rPr>
        <w:t>ChamQ</w:t>
      </w:r>
      <w:proofErr w:type="spellEnd"/>
      <w:r>
        <w:rPr>
          <w:rFonts w:eastAsia="Arial"/>
          <w:color w:val="000000"/>
        </w:rPr>
        <w:t xml:space="preserve"> Universal SYBR qPCR Master Mix (Q711-02, </w:t>
      </w:r>
      <w:proofErr w:type="spellStart"/>
      <w:r>
        <w:rPr>
          <w:rFonts w:eastAsia="Arial"/>
          <w:color w:val="000000"/>
        </w:rPr>
        <w:t>Vazyme</w:t>
      </w:r>
      <w:proofErr w:type="spellEnd"/>
      <w:r>
        <w:rPr>
          <w:rFonts w:eastAsia="Arial"/>
          <w:color w:val="000000"/>
        </w:rPr>
        <w:t>).</w:t>
      </w:r>
    </w:p>
    <w:p w14:paraId="12B5573F" w14:textId="77777777" w:rsidR="007A1C93" w:rsidRDefault="00000000">
      <w:pPr>
        <w:spacing w:line="360" w:lineRule="auto"/>
        <w:rPr>
          <w:b/>
          <w:sz w:val="24"/>
        </w:rPr>
      </w:pPr>
      <w:r>
        <w:rPr>
          <w:rFonts w:eastAsia="Arial"/>
          <w:b/>
          <w:bCs/>
          <w:color w:val="000000"/>
          <w:sz w:val="24"/>
        </w:rPr>
        <w:t>1.2 Experimental instruments</w:t>
      </w:r>
    </w:p>
    <w:p w14:paraId="51E0B4A6" w14:textId="77777777" w:rsidR="007A1C93" w:rsidRDefault="00000000">
      <w:pPr>
        <w:spacing w:line="360" w:lineRule="auto"/>
        <w:ind w:firstLineChars="200" w:firstLine="420"/>
        <w:rPr>
          <w:color w:val="000000"/>
        </w:rPr>
      </w:pPr>
      <w:r>
        <w:rPr>
          <w:rFonts w:eastAsia="Arial"/>
          <w:color w:val="000000"/>
        </w:rPr>
        <w:t xml:space="preserve">Thermal constant temperature incubator (DHP-9054, Shandong BIOBASE), fluorescence microscope (CKX53), fluorescence PCR instrument (CFX Connect ™ real-time, </w:t>
      </w:r>
      <w:r>
        <w:rPr>
          <w:rFonts w:eastAsia="Arial" w:hint="eastAsia"/>
          <w:color w:val="000000"/>
        </w:rPr>
        <w:t>Bio-Rad Laboratories</w:t>
      </w:r>
      <w:r>
        <w:rPr>
          <w:rFonts w:eastAsia="Arial"/>
          <w:color w:val="000000"/>
        </w:rPr>
        <w:t xml:space="preserve">); Ultra-high sensitivity chemiluminescence imaging system (Chemi </w:t>
      </w:r>
      <w:proofErr w:type="spellStart"/>
      <w:r>
        <w:rPr>
          <w:rFonts w:eastAsia="Arial"/>
          <w:color w:val="000000"/>
        </w:rPr>
        <w:t>DocTM</w:t>
      </w:r>
      <w:proofErr w:type="spellEnd"/>
      <w:r>
        <w:rPr>
          <w:rFonts w:eastAsia="Arial"/>
          <w:color w:val="000000"/>
        </w:rPr>
        <w:t xml:space="preserve"> XRS +, Bole Life Medical Products (Shanghai) Co., Ltd.); Automatic microplate reader (</w:t>
      </w:r>
      <w:proofErr w:type="spellStart"/>
      <w:r>
        <w:rPr>
          <w:rFonts w:eastAsia="Arial"/>
          <w:color w:val="000000"/>
        </w:rPr>
        <w:t>SuPerMax</w:t>
      </w:r>
      <w:proofErr w:type="spellEnd"/>
      <w:r>
        <w:rPr>
          <w:rFonts w:eastAsia="Arial"/>
          <w:color w:val="000000"/>
        </w:rPr>
        <w:t xml:space="preserve"> 3100, Shanghai </w:t>
      </w:r>
      <w:proofErr w:type="spellStart"/>
      <w:r>
        <w:rPr>
          <w:rFonts w:eastAsia="Arial"/>
          <w:color w:val="000000"/>
        </w:rPr>
        <w:t>Sanpu</w:t>
      </w:r>
      <w:proofErr w:type="spellEnd"/>
      <w:r>
        <w:rPr>
          <w:rFonts w:eastAsia="Arial"/>
          <w:color w:val="000000"/>
        </w:rPr>
        <w:t xml:space="preserve">), protein vertical electrophoresis instrument (DYY-6C, Beijing </w:t>
      </w:r>
      <w:proofErr w:type="spellStart"/>
      <w:r>
        <w:rPr>
          <w:rFonts w:eastAsia="Arial"/>
          <w:color w:val="000000"/>
        </w:rPr>
        <w:t>Liuyi</w:t>
      </w:r>
      <w:proofErr w:type="spellEnd"/>
      <w:r>
        <w:rPr>
          <w:rFonts w:eastAsia="Arial"/>
          <w:color w:val="000000"/>
        </w:rPr>
        <w:t xml:space="preserve"> Instrument Factory), constant temperature shaker (TC-100B, Shanghai </w:t>
      </w:r>
      <w:proofErr w:type="spellStart"/>
      <w:r>
        <w:rPr>
          <w:rFonts w:eastAsia="Arial"/>
          <w:color w:val="000000"/>
        </w:rPr>
        <w:t>Lingcheng</w:t>
      </w:r>
      <w:proofErr w:type="spellEnd"/>
      <w:r>
        <w:rPr>
          <w:rFonts w:eastAsia="Arial"/>
          <w:color w:val="000000"/>
        </w:rPr>
        <w:t xml:space="preserve"> Biotechnology Co., Ltd.), automatic chemiluminescence image analysis system (Tanon-5200, Shanghai </w:t>
      </w:r>
      <w:proofErr w:type="spellStart"/>
      <w:r>
        <w:rPr>
          <w:rFonts w:eastAsia="Arial"/>
          <w:color w:val="000000"/>
        </w:rPr>
        <w:t>Tianneng</w:t>
      </w:r>
      <w:proofErr w:type="spellEnd"/>
      <w:r>
        <w:rPr>
          <w:rFonts w:eastAsia="Arial"/>
          <w:color w:val="000000"/>
        </w:rPr>
        <w:t xml:space="preserve"> Technology Co., Ltd.); CO2 incubator (BPN-80CW, Shanghai Yiheng Scientific Instrument Co., </w:t>
      </w:r>
      <w:r>
        <w:rPr>
          <w:rFonts w:eastAsia="Arial"/>
          <w:color w:val="000000"/>
        </w:rPr>
        <w:lastRenderedPageBreak/>
        <w:t xml:space="preserve">Ltd.); Inverted fluorescence microscope (MF53 Guangzhou Mingmei Optoelectronics Co., Ltd.); Clean bench (BBS-SDC, BIOBASE) medical centrifuge (TD4A, Changsha Yingtai Instrument Co., Ltd.); </w:t>
      </w:r>
      <w:proofErr w:type="spellStart"/>
      <w:r>
        <w:rPr>
          <w:rFonts w:eastAsia="Arial"/>
          <w:color w:val="000000"/>
        </w:rPr>
        <w:t>NovoCyte</w:t>
      </w:r>
      <w:proofErr w:type="spellEnd"/>
      <w:r>
        <w:rPr>
          <w:rFonts w:eastAsia="Arial"/>
          <w:color w:val="000000"/>
        </w:rPr>
        <w:t xml:space="preserve"> ™ flow cytometer (</w:t>
      </w:r>
      <w:proofErr w:type="spellStart"/>
      <w:r>
        <w:rPr>
          <w:rFonts w:eastAsia="Arial"/>
          <w:color w:val="000000"/>
        </w:rPr>
        <w:t>NovoCyte</w:t>
      </w:r>
      <w:proofErr w:type="spellEnd"/>
      <w:r>
        <w:rPr>
          <w:rFonts w:eastAsia="Arial"/>
          <w:color w:val="000000"/>
        </w:rPr>
        <w:t xml:space="preserve"> 2060R, ACEA (Hangzhou) Biosciences Inc.); TEM (JEM-1400, Nippon Electronics) epoxy </w:t>
      </w:r>
      <w:proofErr w:type="spellStart"/>
      <w:r>
        <w:rPr>
          <w:rFonts w:eastAsia="Arial"/>
          <w:color w:val="000000"/>
        </w:rPr>
        <w:t>spurr</w:t>
      </w:r>
      <w:proofErr w:type="spellEnd"/>
      <w:r>
        <w:rPr>
          <w:rFonts w:eastAsia="Arial"/>
          <w:color w:val="000000"/>
        </w:rPr>
        <w:t xml:space="preserve"> 812; Slim Slicer Leica UC 7; High-speed refrigerated centrifuge (TGL-16. 5M, Shanghai </w:t>
      </w:r>
      <w:proofErr w:type="spellStart"/>
      <w:r>
        <w:rPr>
          <w:rFonts w:eastAsia="Arial"/>
          <w:color w:val="000000"/>
        </w:rPr>
        <w:t>Luxiangyi</w:t>
      </w:r>
      <w:proofErr w:type="spellEnd"/>
      <w:r>
        <w:rPr>
          <w:rFonts w:eastAsia="Arial"/>
          <w:color w:val="000000"/>
        </w:rPr>
        <w:t xml:space="preserve"> Centrifuge Instrument Co., Ltd.).</w:t>
      </w:r>
    </w:p>
    <w:p w14:paraId="347F16F4" w14:textId="77777777" w:rsidR="007A1C93" w:rsidRDefault="00000000">
      <w:pPr>
        <w:spacing w:line="360" w:lineRule="auto"/>
        <w:rPr>
          <w:b/>
          <w:sz w:val="24"/>
        </w:rPr>
      </w:pPr>
      <w:r>
        <w:rPr>
          <w:rFonts w:eastAsia="Arial"/>
          <w:b/>
          <w:bCs/>
          <w:color w:val="000000"/>
          <w:sz w:val="24"/>
        </w:rPr>
        <w:t>1.3 Experimental materials</w:t>
      </w:r>
    </w:p>
    <w:p w14:paraId="0AA04F88" w14:textId="77777777" w:rsidR="007A1C93" w:rsidRDefault="00000000">
      <w:pPr>
        <w:spacing w:line="360" w:lineRule="auto"/>
        <w:ind w:firstLineChars="200" w:firstLine="420"/>
        <w:rPr>
          <w:color w:val="000000"/>
        </w:rPr>
      </w:pPr>
      <w:r>
        <w:rPr>
          <w:rFonts w:eastAsia="Arial"/>
          <w:color w:val="000000"/>
        </w:rPr>
        <w:t>Human primary chondrocytes, 293T cells</w:t>
      </w:r>
    </w:p>
    <w:p w14:paraId="4317D36C" w14:textId="77777777" w:rsidR="007A1C93" w:rsidRDefault="00000000">
      <w:pPr>
        <w:spacing w:line="360" w:lineRule="auto"/>
        <w:rPr>
          <w:b/>
          <w:sz w:val="24"/>
        </w:rPr>
      </w:pPr>
      <w:r>
        <w:rPr>
          <w:rFonts w:eastAsia="Arial"/>
          <w:b/>
          <w:bCs/>
          <w:color w:val="000000"/>
          <w:sz w:val="24"/>
        </w:rPr>
        <w:t>1.4 Cellular immunofluorescence</w:t>
      </w:r>
    </w:p>
    <w:p w14:paraId="0416A6DC" w14:textId="77777777" w:rsidR="007A1C93" w:rsidRDefault="00000000">
      <w:pPr>
        <w:spacing w:line="360" w:lineRule="auto"/>
        <w:ind w:firstLineChars="200" w:firstLine="420"/>
        <w:rPr>
          <w:color w:val="000000"/>
        </w:rPr>
      </w:pPr>
      <w:r>
        <w:rPr>
          <w:rFonts w:eastAsia="Arial"/>
          <w:color w:val="000000"/>
        </w:rPr>
        <w:t>The treated cells were fixed with 4% paraformaldehyde for 15 minutes, permeated with 0.5% Triton X-100 for 5 minutes, blocked with 5% BSA at 37°C for 30 minutes, and then incubated overnight with Collagen II (1: 200) antibody at 4°C; After washing, fluorescent secondary antibody cy3 (1: 200) was added dropwise, and the plate was blocked after counterstaining with DAPI, and observed under a fluorescence microscope (CKX53, Olympus).</w:t>
      </w:r>
    </w:p>
    <w:p w14:paraId="740C0A7A" w14:textId="77777777" w:rsidR="007A1C93" w:rsidRDefault="00000000">
      <w:pPr>
        <w:spacing w:line="360" w:lineRule="auto"/>
        <w:rPr>
          <w:b/>
          <w:sz w:val="24"/>
        </w:rPr>
      </w:pPr>
      <w:r>
        <w:rPr>
          <w:rFonts w:eastAsia="Arial"/>
          <w:b/>
          <w:bCs/>
          <w:color w:val="000000"/>
          <w:sz w:val="24"/>
        </w:rPr>
        <w:t>1.5 Construction of KLF4 overexpressing lentiviral vector and viral packaging</w:t>
      </w:r>
    </w:p>
    <w:p w14:paraId="0CFAF23E" w14:textId="77777777" w:rsidR="007A1C93" w:rsidRDefault="00000000">
      <w:pPr>
        <w:spacing w:line="360" w:lineRule="auto"/>
        <w:ind w:firstLineChars="200" w:firstLine="420"/>
        <w:rPr>
          <w:color w:val="000000"/>
        </w:rPr>
      </w:pPr>
      <w:r>
        <w:rPr>
          <w:rFonts w:eastAsia="Arial"/>
          <w:color w:val="000000"/>
        </w:rPr>
        <w:t>According to the sequence of human KLF4 (accession number: NM _ 004235.6; CDS length 1439bp) provided in the NCBI gene bank (https://www.ncbi.nlm.nih.gov/), the overexpression vector sequence was designed and the virus was packaged, with technical support provided by General Bio (Anhui) Co., Ltd.</w:t>
      </w:r>
    </w:p>
    <w:p w14:paraId="122BFB2F" w14:textId="77777777" w:rsidR="007A1C93" w:rsidRDefault="00000000">
      <w:pPr>
        <w:spacing w:line="360" w:lineRule="auto"/>
        <w:rPr>
          <w:b/>
          <w:sz w:val="24"/>
        </w:rPr>
      </w:pPr>
      <w:r>
        <w:rPr>
          <w:rFonts w:eastAsia="Arial"/>
          <w:b/>
          <w:bCs/>
          <w:color w:val="000000"/>
          <w:sz w:val="24"/>
        </w:rPr>
        <w:t>1.6 Viral infection and cell stability screening</w:t>
      </w:r>
    </w:p>
    <w:p w14:paraId="3C4FF891" w14:textId="77777777" w:rsidR="007A1C93" w:rsidRDefault="00000000">
      <w:pPr>
        <w:spacing w:line="360" w:lineRule="auto"/>
        <w:ind w:firstLineChars="200" w:firstLine="420"/>
      </w:pPr>
      <w:r>
        <w:rPr>
          <w:rFonts w:eastAsia="Arial"/>
          <w:color w:val="000000"/>
        </w:rPr>
        <w:t xml:space="preserve">The experiment was divided into: control group (Control) cells were cultured normally without treatment; IL-1β model group; IL-1β model+KLF4 overexpression empty lentivirus group; IL-1β model+KLF4 overexpression lentivirus group. According to the above plating, when the cell healing degree is about 60-70%, taking 6-well plates as an example, the culture medium was replaced, 1mL of complete culture medium was added, and the model infection was performed at 100 according to the set MOI value. Polybrene (5ug/ml) was added, and the complete culture medium (1mL) was replenished after 4-6h of infection. On the second day after the cell infection, the culture medium containing the virus was aspirated and replaced with fresh complete culture medium, and the culture was continued; the virus was infected for 96h for verification. Blank cells were added with different concentrations of puromycin: 2.5 </w:t>
      </w:r>
      <w:proofErr w:type="spellStart"/>
      <w:r>
        <w:rPr>
          <w:rFonts w:eastAsia="Arial"/>
          <w:color w:val="000000"/>
        </w:rPr>
        <w:t>μg</w:t>
      </w:r>
      <w:proofErr w:type="spellEnd"/>
      <w:r>
        <w:rPr>
          <w:rFonts w:eastAsia="Arial"/>
          <w:color w:val="000000"/>
        </w:rPr>
        <w:t xml:space="preserve">/mL, 5 </w:t>
      </w:r>
      <w:proofErr w:type="spellStart"/>
      <w:r>
        <w:rPr>
          <w:rFonts w:eastAsia="Arial"/>
          <w:color w:val="000000"/>
        </w:rPr>
        <w:t>μg</w:t>
      </w:r>
      <w:proofErr w:type="spellEnd"/>
      <w:r>
        <w:rPr>
          <w:rFonts w:eastAsia="Arial"/>
          <w:color w:val="000000"/>
        </w:rPr>
        <w:t xml:space="preserve">/mL, and 10 </w:t>
      </w:r>
      <w:proofErr w:type="spellStart"/>
      <w:r>
        <w:rPr>
          <w:rFonts w:eastAsia="Arial"/>
          <w:color w:val="000000"/>
        </w:rPr>
        <w:t>μg</w:t>
      </w:r>
      <w:proofErr w:type="spellEnd"/>
      <w:r>
        <w:rPr>
          <w:rFonts w:eastAsia="Arial"/>
          <w:color w:val="000000"/>
        </w:rPr>
        <w:t>/</w:t>
      </w:r>
      <w:proofErr w:type="spellStart"/>
      <w:r>
        <w:rPr>
          <w:rFonts w:eastAsia="Arial"/>
          <w:color w:val="000000"/>
        </w:rPr>
        <w:t>mL.</w:t>
      </w:r>
      <w:proofErr w:type="spellEnd"/>
      <w:r>
        <w:rPr>
          <w:rFonts w:eastAsia="Arial"/>
          <w:color w:val="000000"/>
        </w:rPr>
        <w:t xml:space="preserve"> Select the concentration of complete death after 72 hours, and screen the stable transgenic strains </w:t>
      </w:r>
      <w:r>
        <w:rPr>
          <w:rFonts w:eastAsia="Arial"/>
          <w:color w:val="000000"/>
        </w:rPr>
        <w:lastRenderedPageBreak/>
        <w:t>of infected cells. When the cells can be stable and there is no large number of deaths in passage, the screening of stable transgenic strains is considered successful</w:t>
      </w:r>
    </w:p>
    <w:p w14:paraId="62FF98E2" w14:textId="77777777" w:rsidR="007A1C93" w:rsidRDefault="00000000">
      <w:pPr>
        <w:spacing w:line="360" w:lineRule="auto"/>
        <w:rPr>
          <w:b/>
          <w:sz w:val="24"/>
        </w:rPr>
      </w:pPr>
      <w:r>
        <w:rPr>
          <w:rFonts w:eastAsia="Arial"/>
          <w:b/>
          <w:bCs/>
          <w:color w:val="000000"/>
          <w:sz w:val="24"/>
        </w:rPr>
        <w:t>1.7 qPCR assay</w:t>
      </w:r>
    </w:p>
    <w:p w14:paraId="0298F783" w14:textId="77777777" w:rsidR="007A1C93" w:rsidRDefault="00000000">
      <w:pPr>
        <w:spacing w:line="360" w:lineRule="auto"/>
        <w:ind w:firstLineChars="200" w:firstLine="420"/>
        <w:rPr>
          <w:rFonts w:eastAsia="Arial"/>
          <w:color w:val="000000"/>
        </w:rPr>
      </w:pPr>
      <w:r>
        <w:rPr>
          <w:rFonts w:eastAsia="Arial"/>
          <w:color w:val="000000"/>
        </w:rPr>
        <w:t xml:space="preserve">Total RNA from cells was extracted using </w:t>
      </w:r>
      <w:proofErr w:type="spellStart"/>
      <w:r>
        <w:rPr>
          <w:rFonts w:eastAsia="Arial"/>
          <w:color w:val="000000"/>
        </w:rPr>
        <w:t>Trizon</w:t>
      </w:r>
      <w:proofErr w:type="spellEnd"/>
      <w:r>
        <w:rPr>
          <w:rFonts w:eastAsia="Arial"/>
          <w:color w:val="000000"/>
        </w:rPr>
        <w:t xml:space="preserve"> reagent, mRNA was extracted using RNA ultrapure extraction kit, the concentration and purity of mRNA (OD260/OD280) were determined using UV-visible spectrophotometer, cDNA was synthesized using RNA reverse transcription kit, and fluorescence quantitative PCR was performed using fluorescence PCR instrument. The reaction steps are as follows: pre-denaturation 95℃, 10 min; denaturation 95℃, 10 s; annealing 58℃, 30 s; extension 72℃, 30 s; 40 cycles. β-actin was used as an internal reference, and the relative expression of the gene was calculated according to the </w:t>
      </w:r>
      <w:r>
        <w:rPr>
          <w:color w:val="000000"/>
        </w:rPr>
        <w:t>2</w:t>
      </w:r>
      <w:r>
        <w:rPr>
          <w:color w:val="000000"/>
          <w:vertAlign w:val="superscript"/>
        </w:rPr>
        <w:t>-</w:t>
      </w:r>
      <w:r>
        <w:rPr>
          <w:rFonts w:ascii="Cambria Math" w:hAnsi="Cambria Math" w:cs="Cambria Math"/>
          <w:color w:val="000000"/>
          <w:vertAlign w:val="superscript"/>
        </w:rPr>
        <w:t>△△</w:t>
      </w:r>
      <w:r>
        <w:rPr>
          <w:color w:val="000000"/>
          <w:vertAlign w:val="superscript"/>
        </w:rPr>
        <w:t>Ct</w:t>
      </w:r>
      <w:r>
        <w:rPr>
          <w:rFonts w:eastAsia="Arial"/>
          <w:color w:val="000000"/>
        </w:rPr>
        <w:t>. The primer sequences are shown in the following table. The primer sequences are shown in Table 1.</w:t>
      </w:r>
    </w:p>
    <w:p w14:paraId="415C1529" w14:textId="77777777" w:rsidR="007A1C93" w:rsidRDefault="00000000">
      <w:pPr>
        <w:spacing w:line="360" w:lineRule="auto"/>
        <w:ind w:firstLineChars="200" w:firstLine="420"/>
        <w:jc w:val="center"/>
        <w:rPr>
          <w:color w:val="000000"/>
        </w:rPr>
      </w:pPr>
      <w:r>
        <w:rPr>
          <w:rFonts w:eastAsia="Arial"/>
          <w:color w:val="000000"/>
        </w:rPr>
        <w:t>Table 1 KLF4 primer sequence list</w:t>
      </w:r>
    </w:p>
    <w:tbl>
      <w:tblPr>
        <w:tblpPr w:leftFromText="180" w:rightFromText="180" w:vertAnchor="text" w:horzAnchor="page" w:tblpXSpec="center" w:tblpY="100"/>
        <w:tblOverlap w:val="never"/>
        <w:tblW w:w="8479" w:type="dxa"/>
        <w:jc w:val="center"/>
        <w:tblBorders>
          <w:top w:val="single" w:sz="4" w:space="0" w:color="auto"/>
          <w:bottom w:val="single" w:sz="4" w:space="0" w:color="auto"/>
        </w:tblBorders>
        <w:tblLayout w:type="fixed"/>
        <w:tblLook w:val="04A0" w:firstRow="1" w:lastRow="0" w:firstColumn="1" w:lastColumn="0" w:noHBand="0" w:noVBand="1"/>
      </w:tblPr>
      <w:tblGrid>
        <w:gridCol w:w="1535"/>
        <w:gridCol w:w="3050"/>
        <w:gridCol w:w="3894"/>
      </w:tblGrid>
      <w:tr w:rsidR="007A1C93" w14:paraId="2ABE751B" w14:textId="77777777">
        <w:trPr>
          <w:trHeight w:val="90"/>
          <w:jc w:val="center"/>
        </w:trPr>
        <w:tc>
          <w:tcPr>
            <w:tcW w:w="1535" w:type="dxa"/>
            <w:tcBorders>
              <w:bottom w:val="single" w:sz="4" w:space="0" w:color="auto"/>
            </w:tcBorders>
            <w:vAlign w:val="center"/>
          </w:tcPr>
          <w:p w14:paraId="04A4A50F" w14:textId="77777777" w:rsidR="007A1C93" w:rsidRDefault="00000000">
            <w:pPr>
              <w:spacing w:line="360" w:lineRule="auto"/>
              <w:jc w:val="center"/>
              <w:rPr>
                <w:color w:val="000000"/>
              </w:rPr>
            </w:pPr>
            <w:r>
              <w:rPr>
                <w:rFonts w:eastAsia="Arial"/>
                <w:color w:val="000000"/>
              </w:rPr>
              <w:t>Primer name</w:t>
            </w:r>
          </w:p>
        </w:tc>
        <w:tc>
          <w:tcPr>
            <w:tcW w:w="3050" w:type="dxa"/>
            <w:tcBorders>
              <w:bottom w:val="single" w:sz="4" w:space="0" w:color="auto"/>
            </w:tcBorders>
            <w:vAlign w:val="center"/>
          </w:tcPr>
          <w:p w14:paraId="3B5CEECA" w14:textId="77777777" w:rsidR="007A1C93" w:rsidRDefault="00000000">
            <w:pPr>
              <w:spacing w:line="360" w:lineRule="auto"/>
              <w:ind w:firstLineChars="200" w:firstLine="420"/>
              <w:jc w:val="center"/>
              <w:rPr>
                <w:color w:val="000000"/>
              </w:rPr>
            </w:pPr>
            <w:r>
              <w:rPr>
                <w:rFonts w:eastAsia="Arial"/>
                <w:color w:val="000000"/>
              </w:rPr>
              <w:t>Forward primer F (5'-3')</w:t>
            </w:r>
          </w:p>
        </w:tc>
        <w:tc>
          <w:tcPr>
            <w:tcW w:w="3894" w:type="dxa"/>
            <w:tcBorders>
              <w:bottom w:val="single" w:sz="4" w:space="0" w:color="auto"/>
            </w:tcBorders>
            <w:vAlign w:val="center"/>
          </w:tcPr>
          <w:p w14:paraId="77419A04" w14:textId="77777777" w:rsidR="007A1C93" w:rsidRDefault="00000000">
            <w:pPr>
              <w:spacing w:line="360" w:lineRule="auto"/>
              <w:ind w:firstLineChars="200" w:firstLine="420"/>
              <w:jc w:val="center"/>
              <w:rPr>
                <w:color w:val="000000"/>
              </w:rPr>
            </w:pPr>
            <w:r>
              <w:rPr>
                <w:rFonts w:eastAsia="Arial"/>
                <w:color w:val="000000"/>
              </w:rPr>
              <w:t>Reverse primer R (5'-3')</w:t>
            </w:r>
          </w:p>
        </w:tc>
      </w:tr>
      <w:tr w:rsidR="007A1C93" w14:paraId="74905130" w14:textId="77777777">
        <w:trPr>
          <w:trHeight w:val="527"/>
          <w:jc w:val="center"/>
        </w:trPr>
        <w:tc>
          <w:tcPr>
            <w:tcW w:w="1535" w:type="dxa"/>
            <w:vAlign w:val="center"/>
          </w:tcPr>
          <w:p w14:paraId="679F44C7" w14:textId="77777777" w:rsidR="007A1C93" w:rsidRDefault="00000000">
            <w:pPr>
              <w:spacing w:line="360" w:lineRule="auto"/>
              <w:jc w:val="center"/>
              <w:rPr>
                <w:color w:val="000000"/>
              </w:rPr>
            </w:pPr>
            <w:r>
              <w:rPr>
                <w:color w:val="000000"/>
              </w:rPr>
              <w:t>β-actin</w:t>
            </w:r>
          </w:p>
        </w:tc>
        <w:tc>
          <w:tcPr>
            <w:tcW w:w="3050" w:type="dxa"/>
            <w:vAlign w:val="center"/>
          </w:tcPr>
          <w:p w14:paraId="641E7A6E" w14:textId="77777777" w:rsidR="007A1C93" w:rsidRDefault="00000000">
            <w:pPr>
              <w:spacing w:line="360" w:lineRule="auto"/>
              <w:jc w:val="center"/>
              <w:rPr>
                <w:color w:val="000000"/>
              </w:rPr>
            </w:pPr>
            <w:r>
              <w:rPr>
                <w:color w:val="000000"/>
              </w:rPr>
              <w:t>TGGCACCCAGCACAATGAA</w:t>
            </w:r>
          </w:p>
        </w:tc>
        <w:tc>
          <w:tcPr>
            <w:tcW w:w="3894" w:type="dxa"/>
            <w:vAlign w:val="center"/>
          </w:tcPr>
          <w:p w14:paraId="004BBCA2" w14:textId="77777777" w:rsidR="007A1C93" w:rsidRDefault="00000000">
            <w:pPr>
              <w:spacing w:line="360" w:lineRule="auto"/>
              <w:jc w:val="center"/>
              <w:rPr>
                <w:color w:val="000000"/>
              </w:rPr>
            </w:pPr>
            <w:r>
              <w:rPr>
                <w:color w:val="000000"/>
              </w:rPr>
              <w:t>CTAAGTCATAGTCCGCCTAGAAGCA</w:t>
            </w:r>
          </w:p>
        </w:tc>
      </w:tr>
      <w:tr w:rsidR="007A1C93" w14:paraId="0F1956D5" w14:textId="77777777">
        <w:trPr>
          <w:trHeight w:val="527"/>
          <w:jc w:val="center"/>
        </w:trPr>
        <w:tc>
          <w:tcPr>
            <w:tcW w:w="1535" w:type="dxa"/>
            <w:vAlign w:val="center"/>
          </w:tcPr>
          <w:p w14:paraId="5F87A36F" w14:textId="77777777" w:rsidR="007A1C93" w:rsidRDefault="00000000">
            <w:pPr>
              <w:spacing w:line="360" w:lineRule="auto"/>
              <w:jc w:val="center"/>
              <w:rPr>
                <w:color w:val="000000"/>
              </w:rPr>
            </w:pPr>
            <w:r>
              <w:rPr>
                <w:color w:val="000000"/>
              </w:rPr>
              <w:t>KLF4</w:t>
            </w:r>
          </w:p>
        </w:tc>
        <w:tc>
          <w:tcPr>
            <w:tcW w:w="3050" w:type="dxa"/>
            <w:vAlign w:val="center"/>
          </w:tcPr>
          <w:p w14:paraId="7195D16E" w14:textId="77777777" w:rsidR="007A1C93" w:rsidRDefault="00000000">
            <w:pPr>
              <w:spacing w:line="360" w:lineRule="auto"/>
              <w:jc w:val="center"/>
              <w:rPr>
                <w:color w:val="000000"/>
              </w:rPr>
            </w:pPr>
            <w:r>
              <w:rPr>
                <w:color w:val="000000"/>
              </w:rPr>
              <w:t>CGGACATCAACGACGTGAG</w:t>
            </w:r>
          </w:p>
        </w:tc>
        <w:tc>
          <w:tcPr>
            <w:tcW w:w="3894" w:type="dxa"/>
            <w:vAlign w:val="center"/>
          </w:tcPr>
          <w:p w14:paraId="1B906FAF" w14:textId="77777777" w:rsidR="007A1C93" w:rsidRDefault="00000000">
            <w:pPr>
              <w:spacing w:line="360" w:lineRule="auto"/>
              <w:jc w:val="center"/>
              <w:rPr>
                <w:color w:val="000000"/>
              </w:rPr>
            </w:pPr>
            <w:r>
              <w:rPr>
                <w:color w:val="000000"/>
              </w:rPr>
              <w:t>GACGCCTTCAGCACGAACT</w:t>
            </w:r>
          </w:p>
        </w:tc>
      </w:tr>
    </w:tbl>
    <w:p w14:paraId="5A24DD14" w14:textId="77777777" w:rsidR="007A1C93" w:rsidRDefault="007A1C93">
      <w:pPr>
        <w:spacing w:line="360" w:lineRule="auto"/>
        <w:ind w:firstLineChars="200" w:firstLine="420"/>
        <w:rPr>
          <w:rFonts w:eastAsia="Arial"/>
          <w:color w:val="000000"/>
        </w:rPr>
      </w:pPr>
    </w:p>
    <w:p w14:paraId="53422ED7" w14:textId="77777777" w:rsidR="007A1C93" w:rsidRDefault="00000000">
      <w:pPr>
        <w:spacing w:line="360" w:lineRule="auto"/>
        <w:rPr>
          <w:b/>
          <w:sz w:val="24"/>
        </w:rPr>
      </w:pPr>
      <w:r>
        <w:rPr>
          <w:rFonts w:eastAsia="Arial"/>
          <w:b/>
          <w:bCs/>
          <w:color w:val="000000"/>
          <w:sz w:val="24"/>
        </w:rPr>
        <w:t>1.8 The expression levels of KLF4, Beclin1, P62 and LC3 were detected by WB</w:t>
      </w:r>
    </w:p>
    <w:p w14:paraId="2D0BE17F" w14:textId="77777777" w:rsidR="007A1C93" w:rsidRDefault="00000000">
      <w:pPr>
        <w:spacing w:line="360" w:lineRule="auto"/>
        <w:ind w:firstLineChars="200" w:firstLine="420"/>
        <w:rPr>
          <w:rFonts w:eastAsia="Arial"/>
          <w:color w:val="000000"/>
        </w:rPr>
      </w:pPr>
      <w:r>
        <w:rPr>
          <w:rFonts w:eastAsia="Arial"/>
          <w:color w:val="000000"/>
        </w:rPr>
        <w:t xml:space="preserve">Human primary chondrocytes were taken, the medium was discarded, and total protein was extracted with RIPA lysate. </w:t>
      </w:r>
      <w:r>
        <w:rPr>
          <w:rFonts w:eastAsia="Arial" w:hint="eastAsia"/>
          <w:color w:val="000000"/>
        </w:rPr>
        <w:t>After centrifugation at 4</w:t>
      </w:r>
      <w:r>
        <w:rPr>
          <w:rFonts w:eastAsia="Arial" w:hint="eastAsia"/>
          <w:color w:val="000000"/>
        </w:rPr>
        <w:t>℃</w:t>
      </w:r>
      <w:r>
        <w:rPr>
          <w:rFonts w:eastAsia="Arial" w:hint="eastAsia"/>
          <w:color w:val="000000"/>
        </w:rPr>
        <w:t xml:space="preserve"> for 10 min using a 12000 r/min high-speed centrifuge, the supernatant was taken and the total protein was quantified by BCA protein quantification kit</w:t>
      </w:r>
      <w:r>
        <w:rPr>
          <w:rFonts w:eastAsia="Arial"/>
          <w:color w:val="000000"/>
        </w:rPr>
        <w:t>. The protein samples were denatured and subjected to sodium dodecyl sulfate gel electrophoresis (SDS-PAGE) for 1.5 h, followed by a 300 mA constant current membrane for 1.5 h. After the PVDF membrane (</w:t>
      </w:r>
      <w:proofErr w:type="spellStart"/>
      <w:r>
        <w:rPr>
          <w:rFonts w:eastAsia="Arial"/>
          <w:color w:val="000000"/>
        </w:rPr>
        <w:t>millipore</w:t>
      </w:r>
      <w:proofErr w:type="spellEnd"/>
      <w:r>
        <w:rPr>
          <w:rFonts w:eastAsia="Arial"/>
          <w:color w:val="000000"/>
        </w:rPr>
        <w:t>) was blocked with skim milk powder, the primary antibody was incubated at 4°C overnight, and the secondary antibody was incubated at room temperature for 2 hours the next day. The PVDF membrane was soaked with luminescent solution, and developed in an ultra-high sensitivity chemiluminescence imaging system. The antibodies used and the corresponding dilution factors are shown in Table 2.</w:t>
      </w:r>
    </w:p>
    <w:p w14:paraId="3BD6947D" w14:textId="77777777" w:rsidR="007A1C93" w:rsidRDefault="007A1C93">
      <w:pPr>
        <w:spacing w:line="360" w:lineRule="auto"/>
        <w:ind w:firstLineChars="200" w:firstLine="420"/>
        <w:rPr>
          <w:rFonts w:eastAsia="Arial"/>
          <w:color w:val="000000"/>
        </w:rPr>
      </w:pPr>
    </w:p>
    <w:p w14:paraId="320B4099" w14:textId="77777777" w:rsidR="007A1C93" w:rsidRDefault="007A1C93">
      <w:pPr>
        <w:spacing w:line="360" w:lineRule="auto"/>
        <w:ind w:firstLineChars="200" w:firstLine="420"/>
        <w:rPr>
          <w:rFonts w:eastAsia="Arial"/>
          <w:color w:val="000000"/>
        </w:rPr>
      </w:pPr>
    </w:p>
    <w:p w14:paraId="74BA0878" w14:textId="77777777" w:rsidR="007A1C93" w:rsidRDefault="007A1C93">
      <w:pPr>
        <w:spacing w:line="360" w:lineRule="auto"/>
        <w:ind w:firstLineChars="200" w:firstLine="420"/>
        <w:rPr>
          <w:rFonts w:eastAsia="Arial"/>
          <w:color w:val="000000"/>
        </w:rPr>
      </w:pPr>
    </w:p>
    <w:tbl>
      <w:tblPr>
        <w:tblStyle w:val="a3"/>
        <w:tblW w:w="7208" w:type="dxa"/>
        <w:jc w:val="center"/>
        <w:tblLayout w:type="fixed"/>
        <w:tblLook w:val="04A0" w:firstRow="1" w:lastRow="0" w:firstColumn="1" w:lastColumn="0" w:noHBand="0" w:noVBand="1"/>
      </w:tblPr>
      <w:tblGrid>
        <w:gridCol w:w="4827"/>
        <w:gridCol w:w="2381"/>
      </w:tblGrid>
      <w:tr w:rsidR="007A1C93" w14:paraId="4FCC238C" w14:textId="77777777">
        <w:trPr>
          <w:trHeight w:val="525"/>
          <w:jc w:val="center"/>
        </w:trPr>
        <w:tc>
          <w:tcPr>
            <w:tcW w:w="4827" w:type="dxa"/>
          </w:tcPr>
          <w:p w14:paraId="1FE3CA19" w14:textId="77777777" w:rsidR="007A1C93" w:rsidRDefault="00000000">
            <w:pPr>
              <w:spacing w:line="360" w:lineRule="auto"/>
              <w:ind w:firstLineChars="200" w:firstLine="420"/>
              <w:rPr>
                <w:color w:val="000000"/>
              </w:rPr>
            </w:pPr>
            <w:r>
              <w:rPr>
                <w:rFonts w:eastAsia="Arial"/>
                <w:color w:val="000000"/>
              </w:rPr>
              <w:t>Antibody name</w:t>
            </w:r>
          </w:p>
        </w:tc>
        <w:tc>
          <w:tcPr>
            <w:tcW w:w="2381" w:type="dxa"/>
          </w:tcPr>
          <w:p w14:paraId="00CCE725" w14:textId="77777777" w:rsidR="007A1C93" w:rsidRDefault="00000000">
            <w:pPr>
              <w:spacing w:line="360" w:lineRule="auto"/>
              <w:ind w:firstLineChars="200" w:firstLine="420"/>
              <w:rPr>
                <w:color w:val="000000"/>
              </w:rPr>
            </w:pPr>
            <w:r>
              <w:rPr>
                <w:rFonts w:eastAsia="Arial"/>
                <w:color w:val="000000"/>
              </w:rPr>
              <w:t>Dilution factor</w:t>
            </w:r>
          </w:p>
        </w:tc>
      </w:tr>
      <w:tr w:rsidR="007A1C93" w14:paraId="5FFBD02B" w14:textId="77777777">
        <w:trPr>
          <w:jc w:val="center"/>
        </w:trPr>
        <w:tc>
          <w:tcPr>
            <w:tcW w:w="4827" w:type="dxa"/>
          </w:tcPr>
          <w:p w14:paraId="657C9909" w14:textId="77777777" w:rsidR="007A1C93" w:rsidRDefault="00000000">
            <w:pPr>
              <w:spacing w:line="360" w:lineRule="auto"/>
              <w:ind w:firstLineChars="200" w:firstLine="420"/>
              <w:rPr>
                <w:color w:val="000000"/>
              </w:rPr>
            </w:pPr>
            <w:r>
              <w:rPr>
                <w:rFonts w:eastAsia="Arial"/>
                <w:color w:val="000000"/>
              </w:rPr>
              <w:t>Mouse anti-Anti-β-Actin</w:t>
            </w:r>
          </w:p>
        </w:tc>
        <w:tc>
          <w:tcPr>
            <w:tcW w:w="2381" w:type="dxa"/>
          </w:tcPr>
          <w:p w14:paraId="7807D824" w14:textId="77777777" w:rsidR="007A1C93" w:rsidRDefault="00000000">
            <w:pPr>
              <w:spacing w:line="360" w:lineRule="auto"/>
              <w:ind w:firstLineChars="200" w:firstLine="420"/>
              <w:rPr>
                <w:color w:val="000000"/>
              </w:rPr>
            </w:pPr>
            <w:r>
              <w:rPr>
                <w:color w:val="000000"/>
              </w:rPr>
              <w:t>1:2000</w:t>
            </w:r>
          </w:p>
        </w:tc>
      </w:tr>
      <w:tr w:rsidR="007A1C93" w14:paraId="7C25FA85" w14:textId="77777777">
        <w:trPr>
          <w:jc w:val="center"/>
        </w:trPr>
        <w:tc>
          <w:tcPr>
            <w:tcW w:w="4827" w:type="dxa"/>
          </w:tcPr>
          <w:p w14:paraId="5A6DDB75" w14:textId="77777777" w:rsidR="007A1C93" w:rsidRDefault="00000000">
            <w:pPr>
              <w:spacing w:line="360" w:lineRule="auto"/>
              <w:ind w:firstLineChars="200" w:firstLine="420"/>
              <w:rPr>
                <w:color w:val="000000"/>
              </w:rPr>
            </w:pPr>
            <w:r>
              <w:rPr>
                <w:rFonts w:eastAsia="Arial"/>
                <w:color w:val="000000"/>
              </w:rPr>
              <w:t>Mouse anti-Anti-GAPDH</w:t>
            </w:r>
          </w:p>
        </w:tc>
        <w:tc>
          <w:tcPr>
            <w:tcW w:w="2381" w:type="dxa"/>
          </w:tcPr>
          <w:p w14:paraId="43890F8A" w14:textId="77777777" w:rsidR="007A1C93" w:rsidRDefault="00000000">
            <w:pPr>
              <w:spacing w:line="360" w:lineRule="auto"/>
              <w:ind w:firstLineChars="200" w:firstLine="420"/>
              <w:rPr>
                <w:color w:val="000000"/>
              </w:rPr>
            </w:pPr>
            <w:r>
              <w:rPr>
                <w:color w:val="000000"/>
              </w:rPr>
              <w:t>1:2000</w:t>
            </w:r>
          </w:p>
        </w:tc>
      </w:tr>
      <w:tr w:rsidR="007A1C93" w14:paraId="626EC93F" w14:textId="77777777">
        <w:trPr>
          <w:jc w:val="center"/>
        </w:trPr>
        <w:tc>
          <w:tcPr>
            <w:tcW w:w="4827" w:type="dxa"/>
          </w:tcPr>
          <w:p w14:paraId="5808B4E7" w14:textId="77777777" w:rsidR="007A1C93" w:rsidRDefault="00000000">
            <w:pPr>
              <w:spacing w:line="360" w:lineRule="auto"/>
              <w:ind w:firstLineChars="200" w:firstLine="420"/>
              <w:rPr>
                <w:color w:val="000000"/>
              </w:rPr>
            </w:pPr>
            <w:r>
              <w:rPr>
                <w:rFonts w:eastAsia="Arial"/>
                <w:color w:val="000000"/>
              </w:rPr>
              <w:t>Goat anti-mouse IgG (H+L) labeled with horseradish enzyme</w:t>
            </w:r>
          </w:p>
        </w:tc>
        <w:tc>
          <w:tcPr>
            <w:tcW w:w="2381" w:type="dxa"/>
          </w:tcPr>
          <w:p w14:paraId="6110F408" w14:textId="77777777" w:rsidR="007A1C93" w:rsidRDefault="00000000">
            <w:pPr>
              <w:spacing w:line="360" w:lineRule="auto"/>
              <w:ind w:firstLineChars="200" w:firstLine="420"/>
              <w:rPr>
                <w:color w:val="000000"/>
              </w:rPr>
            </w:pPr>
            <w:r>
              <w:rPr>
                <w:color w:val="000000"/>
              </w:rPr>
              <w:t>1:2000</w:t>
            </w:r>
          </w:p>
        </w:tc>
      </w:tr>
      <w:tr w:rsidR="007A1C93" w14:paraId="145359A3" w14:textId="77777777">
        <w:trPr>
          <w:jc w:val="center"/>
        </w:trPr>
        <w:tc>
          <w:tcPr>
            <w:tcW w:w="4827" w:type="dxa"/>
          </w:tcPr>
          <w:p w14:paraId="4F2B56C5" w14:textId="77777777" w:rsidR="007A1C93" w:rsidRDefault="00000000">
            <w:pPr>
              <w:spacing w:line="360" w:lineRule="auto"/>
              <w:ind w:firstLineChars="200" w:firstLine="420"/>
              <w:rPr>
                <w:color w:val="000000"/>
              </w:rPr>
            </w:pPr>
            <w:r>
              <w:rPr>
                <w:rFonts w:eastAsia="Arial"/>
                <w:color w:val="000000"/>
              </w:rPr>
              <w:t>Rabbit anti-KLF4 primary antibody</w:t>
            </w:r>
          </w:p>
        </w:tc>
        <w:tc>
          <w:tcPr>
            <w:tcW w:w="2381" w:type="dxa"/>
          </w:tcPr>
          <w:p w14:paraId="4CAC9816" w14:textId="77777777" w:rsidR="007A1C93" w:rsidRDefault="00000000">
            <w:pPr>
              <w:spacing w:line="360" w:lineRule="auto"/>
              <w:ind w:firstLineChars="200" w:firstLine="420"/>
              <w:rPr>
                <w:color w:val="000000"/>
              </w:rPr>
            </w:pPr>
            <w:r>
              <w:rPr>
                <w:color w:val="000000"/>
              </w:rPr>
              <w:t>1:1000</w:t>
            </w:r>
          </w:p>
        </w:tc>
      </w:tr>
      <w:tr w:rsidR="007A1C93" w14:paraId="76F9ED67" w14:textId="77777777">
        <w:trPr>
          <w:jc w:val="center"/>
        </w:trPr>
        <w:tc>
          <w:tcPr>
            <w:tcW w:w="4827" w:type="dxa"/>
          </w:tcPr>
          <w:p w14:paraId="5CA28D4B" w14:textId="77777777" w:rsidR="007A1C93" w:rsidRDefault="00000000">
            <w:pPr>
              <w:spacing w:line="360" w:lineRule="auto"/>
              <w:ind w:firstLineChars="200" w:firstLine="420"/>
              <w:rPr>
                <w:color w:val="000000"/>
              </w:rPr>
            </w:pPr>
            <w:r>
              <w:rPr>
                <w:rFonts w:eastAsia="Arial"/>
                <w:color w:val="000000"/>
              </w:rPr>
              <w:t>Rabbit anti-Beclin1 primary antibody</w:t>
            </w:r>
          </w:p>
        </w:tc>
        <w:tc>
          <w:tcPr>
            <w:tcW w:w="2381" w:type="dxa"/>
          </w:tcPr>
          <w:p w14:paraId="6313503C" w14:textId="77777777" w:rsidR="007A1C93" w:rsidRDefault="00000000">
            <w:pPr>
              <w:spacing w:line="360" w:lineRule="auto"/>
              <w:ind w:firstLineChars="200" w:firstLine="420"/>
              <w:rPr>
                <w:color w:val="000000"/>
              </w:rPr>
            </w:pPr>
            <w:r>
              <w:rPr>
                <w:color w:val="000000"/>
              </w:rPr>
              <w:t>1:5000</w:t>
            </w:r>
          </w:p>
        </w:tc>
      </w:tr>
      <w:tr w:rsidR="007A1C93" w14:paraId="73561957" w14:textId="77777777">
        <w:trPr>
          <w:jc w:val="center"/>
        </w:trPr>
        <w:tc>
          <w:tcPr>
            <w:tcW w:w="4827" w:type="dxa"/>
          </w:tcPr>
          <w:p w14:paraId="6D157FED" w14:textId="77777777" w:rsidR="007A1C93" w:rsidRDefault="00000000">
            <w:pPr>
              <w:spacing w:line="360" w:lineRule="auto"/>
              <w:ind w:firstLineChars="200" w:firstLine="420"/>
              <w:rPr>
                <w:color w:val="000000"/>
              </w:rPr>
            </w:pPr>
            <w:r>
              <w:rPr>
                <w:rFonts w:eastAsia="Arial"/>
                <w:color w:val="000000"/>
              </w:rPr>
              <w:t>Mouse anti-P62 primary antibody</w:t>
            </w:r>
          </w:p>
        </w:tc>
        <w:tc>
          <w:tcPr>
            <w:tcW w:w="2381" w:type="dxa"/>
          </w:tcPr>
          <w:p w14:paraId="6CD99C82" w14:textId="77777777" w:rsidR="007A1C93" w:rsidRDefault="00000000">
            <w:pPr>
              <w:spacing w:line="360" w:lineRule="auto"/>
              <w:ind w:firstLineChars="200" w:firstLine="420"/>
              <w:rPr>
                <w:color w:val="000000"/>
              </w:rPr>
            </w:pPr>
            <w:r>
              <w:rPr>
                <w:color w:val="000000"/>
              </w:rPr>
              <w:t>1:1000</w:t>
            </w:r>
          </w:p>
        </w:tc>
      </w:tr>
      <w:tr w:rsidR="007A1C93" w14:paraId="0F925465" w14:textId="77777777">
        <w:trPr>
          <w:jc w:val="center"/>
        </w:trPr>
        <w:tc>
          <w:tcPr>
            <w:tcW w:w="4827" w:type="dxa"/>
          </w:tcPr>
          <w:p w14:paraId="49171105" w14:textId="77777777" w:rsidR="007A1C93" w:rsidRDefault="00000000">
            <w:pPr>
              <w:spacing w:line="360" w:lineRule="auto"/>
              <w:ind w:firstLineChars="200" w:firstLine="420"/>
              <w:rPr>
                <w:color w:val="000000"/>
              </w:rPr>
            </w:pPr>
            <w:r>
              <w:rPr>
                <w:rFonts w:eastAsia="Arial"/>
                <w:color w:val="000000"/>
              </w:rPr>
              <w:t>Rabbit anti-LC3 primary antibody</w:t>
            </w:r>
          </w:p>
        </w:tc>
        <w:tc>
          <w:tcPr>
            <w:tcW w:w="2381" w:type="dxa"/>
          </w:tcPr>
          <w:p w14:paraId="14F4D4BF" w14:textId="77777777" w:rsidR="007A1C93" w:rsidRDefault="00000000">
            <w:pPr>
              <w:spacing w:line="360" w:lineRule="auto"/>
              <w:ind w:firstLineChars="200" w:firstLine="420"/>
              <w:rPr>
                <w:color w:val="000000"/>
              </w:rPr>
            </w:pPr>
            <w:r>
              <w:rPr>
                <w:color w:val="000000"/>
              </w:rPr>
              <w:t>1:3000</w:t>
            </w:r>
          </w:p>
        </w:tc>
      </w:tr>
      <w:tr w:rsidR="007A1C93" w14:paraId="7F363F39" w14:textId="77777777">
        <w:trPr>
          <w:trHeight w:val="226"/>
          <w:jc w:val="center"/>
        </w:trPr>
        <w:tc>
          <w:tcPr>
            <w:tcW w:w="4827" w:type="dxa"/>
          </w:tcPr>
          <w:p w14:paraId="7BBC5239" w14:textId="77777777" w:rsidR="007A1C93" w:rsidRDefault="00000000">
            <w:pPr>
              <w:spacing w:line="360" w:lineRule="auto"/>
              <w:ind w:firstLineChars="200" w:firstLine="420"/>
              <w:rPr>
                <w:color w:val="000000"/>
              </w:rPr>
            </w:pPr>
            <w:r>
              <w:rPr>
                <w:rFonts w:eastAsia="Arial"/>
                <w:color w:val="000000"/>
              </w:rPr>
              <w:t>Goat anti-rabbit IgG (H+L) labeled with horseradish enzyme</w:t>
            </w:r>
          </w:p>
        </w:tc>
        <w:tc>
          <w:tcPr>
            <w:tcW w:w="2381" w:type="dxa"/>
          </w:tcPr>
          <w:p w14:paraId="02AB4301" w14:textId="77777777" w:rsidR="007A1C93" w:rsidRDefault="00000000">
            <w:pPr>
              <w:spacing w:line="360" w:lineRule="auto"/>
              <w:ind w:firstLineChars="200" w:firstLine="420"/>
              <w:rPr>
                <w:color w:val="000000"/>
              </w:rPr>
            </w:pPr>
            <w:r>
              <w:rPr>
                <w:color w:val="000000"/>
              </w:rPr>
              <w:t>1:2000</w:t>
            </w:r>
          </w:p>
        </w:tc>
      </w:tr>
    </w:tbl>
    <w:p w14:paraId="5F2460F3" w14:textId="77777777" w:rsidR="007A1C93" w:rsidRDefault="00000000">
      <w:pPr>
        <w:spacing w:line="360" w:lineRule="auto"/>
        <w:rPr>
          <w:b/>
          <w:sz w:val="24"/>
        </w:rPr>
      </w:pPr>
      <w:r>
        <w:rPr>
          <w:rFonts w:eastAsia="Arial"/>
          <w:b/>
          <w:bCs/>
          <w:color w:val="000000"/>
          <w:sz w:val="24"/>
        </w:rPr>
        <w:t>1.9 ELISA detection of TNF-α, IL-10 and ATP levels</w:t>
      </w:r>
    </w:p>
    <w:p w14:paraId="11A822C5" w14:textId="77777777" w:rsidR="007A1C93" w:rsidRDefault="00000000">
      <w:pPr>
        <w:spacing w:line="360" w:lineRule="auto"/>
        <w:ind w:firstLineChars="200" w:firstLine="420"/>
        <w:rPr>
          <w:color w:val="000000"/>
        </w:rPr>
      </w:pPr>
      <w:r>
        <w:rPr>
          <w:rFonts w:eastAsia="Arial"/>
          <w:color w:val="000000"/>
        </w:rPr>
        <w:t>Take the supernatant of human primary chondrocytes, centrifuge at 1000g for 20min, set IL-1β concentration gradient (0, 5, 7.5, 10, 12.5 ng/mL), and detect the levels of TNF-α, IL-10, and ATP according to the ELISA test instructions. The specific operation steps are as follows: rewarm the ELISA kit at room temperature, prepare the standard solution according to the instructions, set up blank wells, standard wells, and sample wells. After washing the plate 5 times, add color developer and incubate at 37°C for 15 minutes; A stop solution was added to stop the reaction, and the absorbance value of each well was detected at a wavelength of 450nm/562nm, and the levels of TNF-α, IL-10 and ATP were detected.</w:t>
      </w:r>
    </w:p>
    <w:p w14:paraId="7A4AA6E5" w14:textId="77777777" w:rsidR="007A1C93" w:rsidRDefault="00000000">
      <w:pPr>
        <w:spacing w:line="360" w:lineRule="auto"/>
        <w:rPr>
          <w:b/>
          <w:sz w:val="24"/>
        </w:rPr>
      </w:pPr>
      <w:r>
        <w:rPr>
          <w:rFonts w:eastAsia="Arial"/>
          <w:b/>
          <w:bCs/>
          <w:color w:val="000000"/>
          <w:sz w:val="24"/>
        </w:rPr>
        <w:t>1.10 Detection of apoptosis level by flow cytometry</w:t>
      </w:r>
    </w:p>
    <w:p w14:paraId="1CF19C66" w14:textId="77777777" w:rsidR="007A1C93" w:rsidRDefault="00000000">
      <w:pPr>
        <w:spacing w:line="360" w:lineRule="auto"/>
        <w:ind w:firstLineChars="200" w:firstLine="420"/>
        <w:rPr>
          <w:color w:val="000000"/>
        </w:rPr>
      </w:pPr>
      <w:r>
        <w:rPr>
          <w:color w:val="000000"/>
        </w:rPr>
        <w:t>1×10</w:t>
      </w:r>
      <w:r>
        <w:rPr>
          <w:color w:val="000000"/>
          <w:vertAlign w:val="superscript"/>
        </w:rPr>
        <w:t>6</w:t>
      </w:r>
      <w:r>
        <w:rPr>
          <w:rFonts w:eastAsia="Arial"/>
          <w:color w:val="000000"/>
        </w:rPr>
        <w:t xml:space="preserve"> cells were collected and washed twice with PBS 1500 rpm centrifugation for 3 min; 300 </w:t>
      </w:r>
      <w:proofErr w:type="spellStart"/>
      <w:r>
        <w:rPr>
          <w:rFonts w:eastAsia="Arial"/>
          <w:color w:val="000000"/>
        </w:rPr>
        <w:t>ul</w:t>
      </w:r>
      <w:proofErr w:type="spellEnd"/>
      <w:r>
        <w:rPr>
          <w:rFonts w:eastAsia="Arial"/>
          <w:color w:val="000000"/>
        </w:rPr>
        <w:t xml:space="preserve"> of pre-cooled 1 × Annexin V-FITC binding solution was taken to resuspend cells, and 5 </w:t>
      </w:r>
      <w:proofErr w:type="spellStart"/>
      <w:r>
        <w:rPr>
          <w:rFonts w:eastAsia="Arial"/>
          <w:color w:val="000000"/>
        </w:rPr>
        <w:t>ul</w:t>
      </w:r>
      <w:proofErr w:type="spellEnd"/>
      <w:r>
        <w:rPr>
          <w:rFonts w:eastAsia="Arial"/>
          <w:color w:val="000000"/>
        </w:rPr>
        <w:t xml:space="preserve"> of Annexin V-FITC and 10 </w:t>
      </w:r>
      <w:proofErr w:type="spellStart"/>
      <w:r>
        <w:rPr>
          <w:rFonts w:eastAsia="Arial"/>
          <w:color w:val="000000"/>
        </w:rPr>
        <w:t>ul</w:t>
      </w:r>
      <w:proofErr w:type="spellEnd"/>
      <w:r>
        <w:rPr>
          <w:rFonts w:eastAsia="Arial"/>
          <w:color w:val="000000"/>
        </w:rPr>
        <w:t xml:space="preserve"> of PI were added to each well; After lightly mixing, incubated at room temperature and protected from light for 10 minutes. The detection was performed by flow cytometry</w:t>
      </w:r>
    </w:p>
    <w:p w14:paraId="7C09BC9C" w14:textId="77777777" w:rsidR="007A1C93" w:rsidRDefault="00000000">
      <w:pPr>
        <w:spacing w:line="360" w:lineRule="auto"/>
        <w:rPr>
          <w:b/>
          <w:sz w:val="24"/>
        </w:rPr>
      </w:pPr>
      <w:r>
        <w:rPr>
          <w:rFonts w:eastAsia="Arial"/>
          <w:b/>
          <w:bCs/>
          <w:color w:val="000000"/>
          <w:sz w:val="24"/>
        </w:rPr>
        <w:t>1.11 Observation of mitochondrial morphology by electron</w:t>
      </w:r>
    </w:p>
    <w:p w14:paraId="1C95986C" w14:textId="77777777" w:rsidR="007A1C93" w:rsidRDefault="00000000">
      <w:pPr>
        <w:spacing w:line="360" w:lineRule="auto"/>
        <w:ind w:firstLineChars="200" w:firstLine="420"/>
        <w:rPr>
          <w:color w:val="000000"/>
        </w:rPr>
      </w:pPr>
      <w:r>
        <w:rPr>
          <w:rFonts w:eastAsia="Arial"/>
          <w:color w:val="000000"/>
        </w:rPr>
        <w:t xml:space="preserve">Human primary chondrocytes were fixed with 2.5% glutaraldehyde for 2h, fixed again with 1% </w:t>
      </w:r>
      <w:r>
        <w:rPr>
          <w:rFonts w:eastAsia="Arial"/>
          <w:color w:val="000000"/>
        </w:rPr>
        <w:lastRenderedPageBreak/>
        <w:t>glutaraldehyde for 2h, and the tissues were dehydrated at 4℃. After acetone treatment, tissue embedding was performed with epoxy resin, and after incubation overnight at 37°C, 12 h at 45°C, and 48 h at 60°C, slicing was performed with an ultrathin microtome with a thickness of 70 nm. Finally, double staining with 3% uranium acetate-lead citrate was performed and observed under a transmission electron microscope (JEM-1230 (80KV), JEOL, Japan).</w:t>
      </w:r>
    </w:p>
    <w:p w14:paraId="32052281" w14:textId="77777777" w:rsidR="007A1C93" w:rsidRDefault="00000000">
      <w:pPr>
        <w:spacing w:line="360" w:lineRule="auto"/>
        <w:rPr>
          <w:b/>
          <w:sz w:val="24"/>
        </w:rPr>
      </w:pPr>
      <w:r>
        <w:rPr>
          <w:rFonts w:eastAsia="Arial"/>
          <w:b/>
          <w:bCs/>
          <w:color w:val="000000"/>
          <w:sz w:val="24"/>
        </w:rPr>
        <w:t>1.12 Detection of mitochondrial membrane potential level by flow cytometry</w:t>
      </w:r>
    </w:p>
    <w:p w14:paraId="0A097C58" w14:textId="77777777" w:rsidR="007A1C93" w:rsidRDefault="00000000">
      <w:pPr>
        <w:spacing w:line="360" w:lineRule="auto"/>
        <w:ind w:firstLineChars="200" w:firstLine="420"/>
        <w:rPr>
          <w:color w:val="000000"/>
        </w:rPr>
      </w:pPr>
      <w:r>
        <w:rPr>
          <w:color w:val="000000"/>
        </w:rPr>
        <w:t>1×10^6</w:t>
      </w:r>
      <w:r>
        <w:rPr>
          <w:rFonts w:eastAsia="Arial"/>
          <w:color w:val="000000"/>
        </w:rPr>
        <w:t xml:space="preserve"> cells were obtained, resuspended in 1 mL of medium, added with an equal volume of JC-1 working solution, and incubated at 37°C for 20 minutes. The cells were washed with JC-1 staining buffer preheated at 37 °C in advance and detected by flow cytometry</w:t>
      </w:r>
    </w:p>
    <w:p w14:paraId="28F3E867" w14:textId="77777777" w:rsidR="007A1C93" w:rsidRDefault="00000000">
      <w:pPr>
        <w:spacing w:line="360" w:lineRule="auto"/>
        <w:rPr>
          <w:b/>
          <w:sz w:val="24"/>
        </w:rPr>
      </w:pPr>
      <w:r>
        <w:rPr>
          <w:rFonts w:eastAsia="Arial"/>
          <w:b/>
          <w:bCs/>
          <w:color w:val="000000"/>
          <w:sz w:val="24"/>
        </w:rPr>
        <w:t>1.13 Fluo-3/AM fluorescence labeling method for flow cytometry detection of Ca</w:t>
      </w:r>
      <w:r>
        <w:rPr>
          <w:rFonts w:eastAsia="Arial"/>
          <w:b/>
          <w:bCs/>
          <w:color w:val="000000"/>
          <w:sz w:val="24"/>
          <w:vertAlign w:val="superscript"/>
        </w:rPr>
        <w:t>2+</w:t>
      </w:r>
      <w:r>
        <w:rPr>
          <w:rFonts w:eastAsia="Arial"/>
          <w:b/>
          <w:bCs/>
          <w:color w:val="000000"/>
          <w:sz w:val="24"/>
        </w:rPr>
        <w:t xml:space="preserve"> homeostasis</w:t>
      </w:r>
    </w:p>
    <w:p w14:paraId="3027863E" w14:textId="77777777" w:rsidR="007A1C93" w:rsidRDefault="00000000">
      <w:pPr>
        <w:spacing w:line="360" w:lineRule="auto"/>
        <w:ind w:firstLineChars="200" w:firstLine="420"/>
        <w:rPr>
          <w:color w:val="000000"/>
        </w:rPr>
      </w:pPr>
      <w:r>
        <w:rPr>
          <w:rFonts w:eastAsia="Arial"/>
          <w:color w:val="000000"/>
        </w:rPr>
        <w:t>The BBcellProbeTMF3 solution was diluted 2000 times with HBSS, prepared into a BBcellProbeTMF3 staining working solution, added the BBcellProbeTMF3 staining working solution to the cells and incubated at 37°C for 20 minutes; 5-fold volumes of HBSS containing 1% fetal bovine serum were added and incubated for an additional 40 minutes; Finally, the cells were washed 2-3 times with PBS, resuspended with HBSS, incubated at 37°C for 10 minutes, and tested on the machine.</w:t>
      </w:r>
    </w:p>
    <w:p w14:paraId="7755D5A8" w14:textId="77777777" w:rsidR="007A1C93" w:rsidRDefault="00000000">
      <w:pPr>
        <w:spacing w:line="360" w:lineRule="auto"/>
        <w:rPr>
          <w:b/>
          <w:sz w:val="24"/>
        </w:rPr>
      </w:pPr>
      <w:r>
        <w:rPr>
          <w:rFonts w:eastAsia="Arial"/>
          <w:b/>
          <w:bCs/>
          <w:color w:val="000000"/>
          <w:sz w:val="24"/>
        </w:rPr>
        <w:t>1.14 Dual luciferase assay</w:t>
      </w:r>
    </w:p>
    <w:p w14:paraId="32F285C5" w14:textId="77777777" w:rsidR="007A1C93" w:rsidRDefault="00000000">
      <w:pPr>
        <w:spacing w:line="360" w:lineRule="auto"/>
        <w:ind w:firstLineChars="200" w:firstLine="420"/>
        <w:rPr>
          <w:b/>
          <w:bCs/>
          <w:sz w:val="24"/>
          <w:szCs w:val="24"/>
        </w:rPr>
      </w:pPr>
      <w:bookmarkStart w:id="0" w:name="original-2-66"/>
      <w:r>
        <w:rPr>
          <w:color w:val="000000"/>
        </w:rPr>
        <w:t>构建双荧光素酶报告载体，按上述分组转染</w:t>
      </w:r>
      <w:r>
        <w:rPr>
          <w:color w:val="000000"/>
        </w:rPr>
        <w:t xml:space="preserve"> 293T </w:t>
      </w:r>
      <w:r>
        <w:rPr>
          <w:color w:val="000000"/>
        </w:rPr>
        <w:t>细胞，参照双荧光素酶报告基因检测试剂盒（</w:t>
      </w:r>
      <w:r>
        <w:rPr>
          <w:color w:val="000000"/>
        </w:rPr>
        <w:t>RG027</w:t>
      </w:r>
      <w:r>
        <w:rPr>
          <w:color w:val="000000"/>
        </w:rPr>
        <w:t>，碧云天）的说明书进行双荧光素酶的检测。</w:t>
      </w:r>
      <w:bookmarkEnd w:id="0"/>
    </w:p>
    <w:p w14:paraId="1D02943C" w14:textId="77777777" w:rsidR="007A1C93" w:rsidRDefault="00000000">
      <w:pPr>
        <w:spacing w:line="360" w:lineRule="auto"/>
        <w:ind w:firstLineChars="200" w:firstLine="420"/>
        <w:rPr>
          <w:b/>
          <w:bCs/>
          <w:sz w:val="24"/>
          <w:szCs w:val="24"/>
        </w:rPr>
      </w:pPr>
      <w:r>
        <w:rPr>
          <w:rFonts w:eastAsia="Arial"/>
          <w:color w:val="000000"/>
        </w:rPr>
        <w:t xml:space="preserve">A dual luciferase reporter vector was constructed, and 293T cells were transfected according to the above groups. The dual luciferase was detected according to the instructions of the dual luciferase reporter gene detection kit (RG027, </w:t>
      </w:r>
      <w:proofErr w:type="spellStart"/>
      <w:r>
        <w:rPr>
          <w:rFonts w:eastAsia="Arial"/>
          <w:color w:val="000000"/>
        </w:rPr>
        <w:t>Beyotime</w:t>
      </w:r>
      <w:proofErr w:type="spellEnd"/>
      <w:r>
        <w:rPr>
          <w:rFonts w:eastAsia="Arial"/>
          <w:color w:val="000000"/>
        </w:rPr>
        <w:t xml:space="preserve"> Biotechnology).</w:t>
      </w:r>
    </w:p>
    <w:p w14:paraId="06FD8815" w14:textId="77777777" w:rsidR="007A1C93" w:rsidRDefault="00000000">
      <w:pPr>
        <w:spacing w:line="360" w:lineRule="auto"/>
        <w:rPr>
          <w:b/>
          <w:sz w:val="24"/>
        </w:rPr>
      </w:pPr>
      <w:r>
        <w:rPr>
          <w:rFonts w:eastAsia="Arial"/>
          <w:b/>
          <w:bCs/>
          <w:color w:val="000000"/>
          <w:sz w:val="24"/>
        </w:rPr>
        <w:t>1.15 Chromatin immunoprecipitation (</w:t>
      </w:r>
      <w:proofErr w:type="spellStart"/>
      <w:r>
        <w:rPr>
          <w:rFonts w:eastAsia="Arial"/>
          <w:b/>
          <w:bCs/>
          <w:color w:val="000000"/>
          <w:sz w:val="24"/>
        </w:rPr>
        <w:t>ChIP</w:t>
      </w:r>
      <w:proofErr w:type="spellEnd"/>
      <w:r>
        <w:rPr>
          <w:rFonts w:eastAsia="Arial"/>
          <w:b/>
          <w:bCs/>
          <w:color w:val="000000"/>
          <w:sz w:val="24"/>
        </w:rPr>
        <w:t>) experiment</w:t>
      </w:r>
    </w:p>
    <w:p w14:paraId="475A4FA4" w14:textId="77777777" w:rsidR="007A1C93" w:rsidRDefault="00000000">
      <w:pPr>
        <w:spacing w:line="360" w:lineRule="auto"/>
        <w:ind w:firstLineChars="200" w:firstLine="420"/>
        <w:rPr>
          <w:color w:val="000000"/>
        </w:rPr>
      </w:pPr>
      <w:proofErr w:type="spellStart"/>
      <w:r>
        <w:rPr>
          <w:rFonts w:eastAsia="Arial"/>
          <w:color w:val="000000"/>
        </w:rPr>
        <w:t>ChIP</w:t>
      </w:r>
      <w:proofErr w:type="spellEnd"/>
      <w:r>
        <w:rPr>
          <w:rFonts w:eastAsia="Arial"/>
          <w:color w:val="000000"/>
        </w:rPr>
        <w:t xml:space="preserve"> was used to detect the interaction between p62, Beclin1 and KLF4. The cells of the IL-1β model+KLF4 overexpressing lentivirus group were cultured to good condition, and no less than </w:t>
      </w:r>
      <w:r>
        <w:rPr>
          <w:color w:val="000000"/>
        </w:rPr>
        <w:t>2×10^7</w:t>
      </w:r>
      <w:r>
        <w:rPr>
          <w:rFonts w:eastAsia="Arial"/>
          <w:color w:val="000000"/>
        </w:rPr>
        <w:t xml:space="preserve"> cells were obtained, fixed with 1% (v/v) formaldehyde, and then quenched with glycine (Aladdin). After washing with PBS, 10 </w:t>
      </w:r>
      <w:proofErr w:type="spellStart"/>
      <w:r>
        <w:rPr>
          <w:rFonts w:eastAsia="Arial"/>
          <w:color w:val="000000"/>
        </w:rPr>
        <w:t>μL</w:t>
      </w:r>
      <w:proofErr w:type="spellEnd"/>
      <w:r>
        <w:rPr>
          <w:rFonts w:eastAsia="Arial"/>
          <w:color w:val="000000"/>
        </w:rPr>
        <w:t xml:space="preserve">/ml Halt Cocktail was added and the cells were scraped off. The cells were lysed with 100 </w:t>
      </w:r>
      <w:proofErr w:type="spellStart"/>
      <w:r>
        <w:rPr>
          <w:rFonts w:eastAsia="Arial"/>
          <w:color w:val="000000"/>
        </w:rPr>
        <w:t>μL</w:t>
      </w:r>
      <w:proofErr w:type="spellEnd"/>
      <w:r>
        <w:rPr>
          <w:rFonts w:eastAsia="Arial"/>
          <w:color w:val="000000"/>
        </w:rPr>
        <w:t xml:space="preserve"> of lysate 1 (weak lysate), and after 10 minutes on ice, centrifuged at 9000g for 5 minutes to discard the supernatant; 100 </w:t>
      </w:r>
      <w:proofErr w:type="spellStart"/>
      <w:r>
        <w:rPr>
          <w:rFonts w:eastAsia="Arial"/>
          <w:color w:val="000000"/>
        </w:rPr>
        <w:t>μL</w:t>
      </w:r>
      <w:proofErr w:type="spellEnd"/>
      <w:r>
        <w:rPr>
          <w:rFonts w:eastAsia="Arial"/>
          <w:color w:val="000000"/>
        </w:rPr>
        <w:t xml:space="preserve"> of </w:t>
      </w:r>
      <w:proofErr w:type="spellStart"/>
      <w:r>
        <w:rPr>
          <w:rFonts w:eastAsia="Arial"/>
          <w:color w:val="000000"/>
        </w:rPr>
        <w:t>MNase</w:t>
      </w:r>
      <w:proofErr w:type="spellEnd"/>
      <w:r>
        <w:rPr>
          <w:rFonts w:eastAsia="Arial"/>
          <w:color w:val="000000"/>
        </w:rPr>
        <w:t xml:space="preserve"> Digestions </w:t>
      </w:r>
      <w:r>
        <w:rPr>
          <w:rFonts w:eastAsia="Arial"/>
          <w:color w:val="000000"/>
        </w:rPr>
        <w:lastRenderedPageBreak/>
        <w:t xml:space="preserve">Buffer and 0.25 </w:t>
      </w:r>
      <w:proofErr w:type="spellStart"/>
      <w:r>
        <w:rPr>
          <w:rFonts w:eastAsia="Arial"/>
          <w:color w:val="000000"/>
        </w:rPr>
        <w:t>μL</w:t>
      </w:r>
      <w:proofErr w:type="spellEnd"/>
      <w:r>
        <w:rPr>
          <w:rFonts w:eastAsia="Arial"/>
          <w:color w:val="000000"/>
        </w:rPr>
        <w:t xml:space="preserve"> of Micrococcal Nuclease (</w:t>
      </w:r>
      <w:proofErr w:type="spellStart"/>
      <w:r>
        <w:rPr>
          <w:rFonts w:eastAsia="Arial"/>
          <w:color w:val="000000"/>
        </w:rPr>
        <w:t>MNase</w:t>
      </w:r>
      <w:proofErr w:type="spellEnd"/>
      <w:r>
        <w:rPr>
          <w:rFonts w:eastAsia="Arial"/>
          <w:color w:val="000000"/>
        </w:rPr>
        <w:t xml:space="preserve">) were sequentially added to the pellet, and then mixed in a water bath at 37°C for 15 minutes, turned over and mixed. After the water bath was completed, </w:t>
      </w:r>
      <w:proofErr w:type="spellStart"/>
      <w:r>
        <w:rPr>
          <w:rFonts w:eastAsia="Arial"/>
          <w:color w:val="000000"/>
        </w:rPr>
        <w:t>MNase</w:t>
      </w:r>
      <w:proofErr w:type="spellEnd"/>
      <w:r>
        <w:rPr>
          <w:rFonts w:eastAsia="Arial"/>
          <w:color w:val="000000"/>
        </w:rPr>
        <w:t xml:space="preserve"> stop solution was added, after ice bath for 5 minutes, centrifuged at 9000 g for 5 minutes to discard the supernatant, and cleaved the nuclear protein with 50 </w:t>
      </w:r>
      <w:proofErr w:type="spellStart"/>
      <w:r>
        <w:rPr>
          <w:rFonts w:eastAsia="Arial"/>
          <w:color w:val="000000"/>
        </w:rPr>
        <w:t>μL</w:t>
      </w:r>
      <w:proofErr w:type="spellEnd"/>
      <w:r>
        <w:rPr>
          <w:rFonts w:eastAsia="Arial"/>
          <w:color w:val="000000"/>
        </w:rPr>
        <w:t xml:space="preserve"> of lysate 2 (strong lysate) in ice bath for 15 minutes, and </w:t>
      </w:r>
      <w:proofErr w:type="spellStart"/>
      <w:r>
        <w:rPr>
          <w:rFonts w:eastAsia="Arial"/>
          <w:color w:val="000000"/>
        </w:rPr>
        <w:t>vortexing</w:t>
      </w:r>
      <w:proofErr w:type="spellEnd"/>
      <w:r>
        <w:rPr>
          <w:rFonts w:eastAsia="Arial"/>
          <w:color w:val="000000"/>
        </w:rPr>
        <w:t xml:space="preserve"> halfway to make the reaction sufficient. After completion of lysis, 9000 g was centrifuged for 5 min and the supernatant was taken.</w:t>
      </w:r>
    </w:p>
    <w:p w14:paraId="6EAE2164" w14:textId="77777777" w:rsidR="007A1C93" w:rsidRDefault="00000000">
      <w:pPr>
        <w:spacing w:line="360" w:lineRule="auto"/>
        <w:ind w:firstLineChars="200" w:firstLine="420"/>
        <w:rPr>
          <w:color w:val="000000"/>
        </w:rPr>
      </w:pPr>
      <w:r>
        <w:rPr>
          <w:rFonts w:eastAsia="Arial"/>
          <w:color w:val="000000"/>
        </w:rPr>
        <w:t xml:space="preserve">5 </w:t>
      </w:r>
      <w:proofErr w:type="spellStart"/>
      <w:r>
        <w:rPr>
          <w:rFonts w:eastAsia="Arial"/>
          <w:color w:val="000000"/>
        </w:rPr>
        <w:t>μL</w:t>
      </w:r>
      <w:proofErr w:type="spellEnd"/>
      <w:r>
        <w:rPr>
          <w:rFonts w:eastAsia="Arial"/>
          <w:color w:val="000000"/>
        </w:rPr>
        <w:t xml:space="preserve"> of the supernatant was taken as an Input sample and the expression of KLF4 gene was detected by q-PCR. 45 </w:t>
      </w:r>
      <w:proofErr w:type="spellStart"/>
      <w:r>
        <w:rPr>
          <w:rFonts w:eastAsia="Arial"/>
          <w:color w:val="000000"/>
        </w:rPr>
        <w:t>μL</w:t>
      </w:r>
      <w:proofErr w:type="spellEnd"/>
      <w:r>
        <w:rPr>
          <w:rFonts w:eastAsia="Arial"/>
          <w:color w:val="000000"/>
        </w:rPr>
        <w:t xml:space="preserve"> was taken, primary antibodies (positive ginseng anti-RNA polymerase antibody was added; negative ginseng anti-rabbit IgG antibody; target protein KLF4 antibody) for co-precipitation (IP), washed and eluted with a purification column, and eluted the KLF4-nucleic acid complex. The nucleic acids in the complex were purified by DNA purification column, and the expression of p62 and Beclin1 genes was detected by q-PCR</w:t>
      </w:r>
    </w:p>
    <w:p w14:paraId="2943D8DD" w14:textId="77777777" w:rsidR="007A1C93" w:rsidRDefault="00000000">
      <w:pPr>
        <w:spacing w:line="360" w:lineRule="auto"/>
        <w:rPr>
          <w:color w:val="000000"/>
        </w:rPr>
      </w:pPr>
      <w:r>
        <w:rPr>
          <w:rFonts w:eastAsia="Arial"/>
          <w:b/>
          <w:bCs/>
          <w:color w:val="000000"/>
          <w:sz w:val="24"/>
        </w:rPr>
        <w:t>1.16 Data analysis and processing</w:t>
      </w:r>
    </w:p>
    <w:p w14:paraId="2AE3608A" w14:textId="77777777" w:rsidR="007A1C93" w:rsidRDefault="00000000">
      <w:pPr>
        <w:spacing w:line="360" w:lineRule="auto"/>
        <w:ind w:firstLineChars="200" w:firstLine="420"/>
        <w:rPr>
          <w:rFonts w:eastAsia="Arial"/>
          <w:color w:val="000000"/>
        </w:rPr>
      </w:pPr>
      <w:r>
        <w:rPr>
          <w:rFonts w:eastAsia="Arial"/>
          <w:color w:val="000000"/>
        </w:rPr>
        <w:t>SPSS 20.0 software was used for statistical analysis. All experiments were repeated three times, and quantitative results were expressed as mean ± standard deviation (X ± S). One-way ANOVA was used for quantitative numerical comparisons between groups, and S-N-K method was used for pairwise comparisons. Test level α = 0.05.</w:t>
      </w:r>
    </w:p>
    <w:p w14:paraId="6FFB6832" w14:textId="77777777" w:rsidR="007A1C93" w:rsidRDefault="00000000">
      <w:pPr>
        <w:spacing w:line="360" w:lineRule="auto"/>
        <w:rPr>
          <w:b/>
          <w:sz w:val="24"/>
        </w:rPr>
      </w:pPr>
      <w:r>
        <w:rPr>
          <w:rFonts w:eastAsia="Arial"/>
          <w:b/>
          <w:bCs/>
          <w:color w:val="000000"/>
          <w:sz w:val="24"/>
        </w:rPr>
        <w:t>2 Experimental Results</w:t>
      </w:r>
    </w:p>
    <w:p w14:paraId="1AD92CBE" w14:textId="77777777" w:rsidR="007A1C93" w:rsidRDefault="00000000">
      <w:pPr>
        <w:spacing w:line="360" w:lineRule="auto"/>
        <w:rPr>
          <w:b/>
          <w:sz w:val="24"/>
        </w:rPr>
      </w:pPr>
      <w:r>
        <w:rPr>
          <w:rFonts w:eastAsia="Arial"/>
          <w:b/>
          <w:bCs/>
          <w:color w:val="000000"/>
          <w:sz w:val="24"/>
        </w:rPr>
        <w:t>2.1 Identification of human primary chondrocytes</w:t>
      </w:r>
    </w:p>
    <w:p w14:paraId="18964221" w14:textId="77777777" w:rsidR="007A1C93" w:rsidRDefault="00000000">
      <w:pPr>
        <w:spacing w:line="360" w:lineRule="auto"/>
        <w:ind w:firstLineChars="200" w:firstLine="420"/>
        <w:rPr>
          <w:bCs/>
          <w:sz w:val="24"/>
          <w:szCs w:val="24"/>
        </w:rPr>
      </w:pPr>
      <w:r>
        <w:rPr>
          <w:rFonts w:eastAsia="Arial"/>
          <w:color w:val="000000"/>
        </w:rPr>
        <w:t>Immunofluorescence was used to detect the protein expression of human primary chondrocyte keratin Collagen II. The results are shown in Figure 1. The nucleus stained with DAPI was blue under ultraviolet excitation, and the positive expression was the corresponding fluorescein-labeled Collagen II red light. The identification passed.</w:t>
      </w:r>
    </w:p>
    <w:p w14:paraId="57739BF1" w14:textId="77777777" w:rsidR="007A1C93" w:rsidRDefault="00000000">
      <w:pPr>
        <w:spacing w:line="360" w:lineRule="auto"/>
        <w:jc w:val="center"/>
        <w:rPr>
          <w:b/>
          <w:bCs/>
          <w:sz w:val="24"/>
          <w:szCs w:val="24"/>
        </w:rPr>
      </w:pPr>
      <w:r>
        <w:rPr>
          <w:b/>
          <w:bCs/>
          <w:noProof/>
          <w:sz w:val="24"/>
          <w:szCs w:val="24"/>
        </w:rPr>
        <w:drawing>
          <wp:inline distT="0" distB="0" distL="114300" distR="114300" wp14:anchorId="0720C6F6" wp14:editId="0F7D904E">
            <wp:extent cx="5022850" cy="1386205"/>
            <wp:effectExtent l="0" t="0" r="6350" b="10795"/>
            <wp:docPr id="1" name="图片 1" descr="1686296677718_26406D0D-250B-4f18-BC5F-E83798219E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686296677718_26406D0D-250B-4f18-BC5F-E83798219E59"/>
                    <pic:cNvPicPr>
                      <a:picLocks noChangeAspect="1"/>
                    </pic:cNvPicPr>
                  </pic:nvPicPr>
                  <pic:blipFill>
                    <a:blip r:embed="rId4"/>
                    <a:srcRect l="2074" t="5019" r="1978" b="16739"/>
                    <a:stretch>
                      <a:fillRect/>
                    </a:stretch>
                  </pic:blipFill>
                  <pic:spPr>
                    <a:xfrm>
                      <a:off x="0" y="0"/>
                      <a:ext cx="5022850" cy="1386205"/>
                    </a:xfrm>
                    <a:prstGeom prst="rect">
                      <a:avLst/>
                    </a:prstGeom>
                    <a:noFill/>
                    <a:ln>
                      <a:noFill/>
                    </a:ln>
                  </pic:spPr>
                </pic:pic>
              </a:graphicData>
            </a:graphic>
          </wp:inline>
        </w:drawing>
      </w:r>
    </w:p>
    <w:p w14:paraId="09324FFC" w14:textId="77777777" w:rsidR="007A1C93" w:rsidRDefault="00000000">
      <w:pPr>
        <w:spacing w:line="360" w:lineRule="auto"/>
        <w:jc w:val="center"/>
        <w:rPr>
          <w:color w:val="000000"/>
        </w:rPr>
      </w:pPr>
      <w:r>
        <w:rPr>
          <w:rFonts w:eastAsia="Arial"/>
          <w:color w:val="000000"/>
        </w:rPr>
        <w:t>Figure 1 Cell identification diagram</w:t>
      </w:r>
    </w:p>
    <w:p w14:paraId="6A332B72" w14:textId="77777777" w:rsidR="007A1C93" w:rsidRDefault="00000000">
      <w:pPr>
        <w:spacing w:line="360" w:lineRule="auto"/>
        <w:rPr>
          <w:b/>
          <w:sz w:val="24"/>
        </w:rPr>
      </w:pPr>
      <w:r>
        <w:rPr>
          <w:rFonts w:eastAsia="Arial"/>
          <w:b/>
          <w:bCs/>
          <w:color w:val="000000"/>
          <w:sz w:val="24"/>
        </w:rPr>
        <w:lastRenderedPageBreak/>
        <w:t>2.2 Verify the effect of KLF4 overexpressing lentiviral vector</w:t>
      </w:r>
    </w:p>
    <w:p w14:paraId="48169765" w14:textId="77777777" w:rsidR="007A1C93" w:rsidRDefault="00000000">
      <w:pPr>
        <w:spacing w:line="360" w:lineRule="auto"/>
        <w:ind w:firstLineChars="200" w:firstLine="420"/>
        <w:rPr>
          <w:color w:val="000000"/>
        </w:rPr>
      </w:pPr>
      <w:r>
        <w:rPr>
          <w:rFonts w:eastAsia="Arial"/>
          <w:color w:val="000000"/>
        </w:rPr>
        <w:t xml:space="preserve">KLF4 overexpression vector was constructed, packaged into lentivirus, transfected into human primary chondrocytes, and the effect of overexpression virus was verified by WB and QPCR. As shown in Figure 2, compared with the control group, the expression levels of KLF4 protein and mRNA in the </w:t>
      </w:r>
      <w:proofErr w:type="spellStart"/>
      <w:r>
        <w:rPr>
          <w:rFonts w:eastAsia="Arial"/>
          <w:color w:val="000000"/>
        </w:rPr>
        <w:t>Model+OE</w:t>
      </w:r>
      <w:proofErr w:type="spellEnd"/>
      <w:r>
        <w:rPr>
          <w:rFonts w:eastAsia="Arial"/>
          <w:color w:val="000000"/>
        </w:rPr>
        <w:t xml:space="preserve"> group increased significantly; Compared with NC group, the expression of KLF4 mRNA in </w:t>
      </w:r>
      <w:proofErr w:type="spellStart"/>
      <w:r>
        <w:rPr>
          <w:rFonts w:eastAsia="Arial"/>
          <w:color w:val="000000"/>
        </w:rPr>
        <w:t>Model+OE</w:t>
      </w:r>
      <w:proofErr w:type="spellEnd"/>
      <w:r>
        <w:rPr>
          <w:rFonts w:eastAsia="Arial"/>
          <w:color w:val="000000"/>
        </w:rPr>
        <w:t xml:space="preserve"> group was significantly increased and significantly, which proved that overexpressing lentivirus was effective.</w:t>
      </w:r>
    </w:p>
    <w:p w14:paraId="25BAD582" w14:textId="77777777" w:rsidR="007A1C93" w:rsidRDefault="007A1C93">
      <w:pPr>
        <w:spacing w:line="360" w:lineRule="auto"/>
        <w:ind w:firstLineChars="200" w:firstLine="420"/>
        <w:jc w:val="center"/>
        <w:rPr>
          <w:color w:val="000000"/>
        </w:rPr>
      </w:pPr>
    </w:p>
    <w:p w14:paraId="0B9DB193" w14:textId="77777777" w:rsidR="007A1C93" w:rsidRDefault="00000000">
      <w:pPr>
        <w:spacing w:line="360" w:lineRule="auto"/>
        <w:ind w:firstLineChars="200" w:firstLine="480"/>
        <w:jc w:val="center"/>
        <w:rPr>
          <w:color w:val="000000"/>
        </w:rPr>
      </w:pPr>
      <w:r>
        <w:rPr>
          <w:noProof/>
          <w:sz w:val="24"/>
          <w:szCs w:val="24"/>
        </w:rPr>
        <w:drawing>
          <wp:inline distT="0" distB="0" distL="114300" distR="114300" wp14:anchorId="5F15B802" wp14:editId="5F40FCFE">
            <wp:extent cx="5235575" cy="3083560"/>
            <wp:effectExtent l="0" t="0" r="9525" b="2540"/>
            <wp:docPr id="2" name="图片 2" descr="capture_2023061521370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apture_20230615213701816"/>
                    <pic:cNvPicPr>
                      <a:picLocks noChangeAspect="1"/>
                    </pic:cNvPicPr>
                  </pic:nvPicPr>
                  <pic:blipFill>
                    <a:blip r:embed="rId5"/>
                    <a:stretch>
                      <a:fillRect/>
                    </a:stretch>
                  </pic:blipFill>
                  <pic:spPr>
                    <a:xfrm>
                      <a:off x="0" y="0"/>
                      <a:ext cx="5235575" cy="3083560"/>
                    </a:xfrm>
                    <a:prstGeom prst="rect">
                      <a:avLst/>
                    </a:prstGeom>
                    <a:noFill/>
                    <a:ln>
                      <a:noFill/>
                    </a:ln>
                  </pic:spPr>
                </pic:pic>
              </a:graphicData>
            </a:graphic>
          </wp:inline>
        </w:drawing>
      </w:r>
      <w:r>
        <w:rPr>
          <w:rFonts w:eastAsia="Arial"/>
          <w:color w:val="000000"/>
        </w:rPr>
        <w:t>Figure 2: Expression of KLF4 overexpressing lentivirus transfected with human primary chondrocytes</w:t>
      </w:r>
    </w:p>
    <w:p w14:paraId="3BB2039C" w14:textId="77777777" w:rsidR="007A1C93" w:rsidRDefault="00000000">
      <w:pPr>
        <w:spacing w:line="360" w:lineRule="auto"/>
        <w:jc w:val="center"/>
        <w:rPr>
          <w:color w:val="000000"/>
        </w:rPr>
      </w:pPr>
      <w:r>
        <w:rPr>
          <w:rFonts w:eastAsia="Arial"/>
          <w:color w:val="000000"/>
        </w:rPr>
        <w:t>("*" indicates that ratio to CON is P &lt; 0.05, # indicates that ratio to NC group is P &lt; 0.05)</w:t>
      </w:r>
    </w:p>
    <w:p w14:paraId="37413BC8" w14:textId="77777777" w:rsidR="007A1C93" w:rsidRDefault="00000000">
      <w:pPr>
        <w:spacing w:line="360" w:lineRule="auto"/>
        <w:rPr>
          <w:b/>
          <w:sz w:val="24"/>
        </w:rPr>
      </w:pPr>
      <w:r>
        <w:rPr>
          <w:rFonts w:eastAsia="Arial"/>
          <w:b/>
          <w:bCs/>
          <w:color w:val="000000"/>
          <w:sz w:val="24"/>
        </w:rPr>
        <w:t>2.3 Detection of TNF-α and IL-10 content by ELISA to screen the optimum IL-1β concentration</w:t>
      </w:r>
    </w:p>
    <w:p w14:paraId="5C9F45C4" w14:textId="77777777" w:rsidR="007A1C93" w:rsidRDefault="00000000">
      <w:pPr>
        <w:spacing w:line="360" w:lineRule="auto"/>
        <w:ind w:firstLineChars="200" w:firstLine="420"/>
        <w:rPr>
          <w:bCs/>
          <w:sz w:val="24"/>
          <w:szCs w:val="24"/>
        </w:rPr>
      </w:pPr>
      <w:r>
        <w:rPr>
          <w:rFonts w:eastAsia="Arial"/>
          <w:color w:val="000000"/>
        </w:rPr>
        <w:t>The IL-1β concentration gradient (0, 5, 7.5, 10, 12.5 ng/mL) was set, and the contents of TNF-α and IL-10 were detected by ELISA. The results are shown in Figure 3. Compared with IL-1β (0 ng/mL), the TNF-α content in the IL-1β (12.5 ng/mL) group increased significantly; Compared with IL-1β (0 ng/mL), IL-1β (5 ng/mL), IL-1β (7.5 ng/mL), IL-1β (10 ng/mL), and IL-1β (12.5 ng/mL) groups significantly increased IL-10 content, so IL-1β (12.5 ng/mL) was selected to induce simulated osteoarthritis microenvironment in subsequent experiments.</w:t>
      </w:r>
    </w:p>
    <w:p w14:paraId="65444F6F" w14:textId="77777777" w:rsidR="007A1C93" w:rsidRDefault="007A1C93">
      <w:pPr>
        <w:spacing w:line="360" w:lineRule="auto"/>
        <w:ind w:firstLineChars="200" w:firstLine="480"/>
        <w:rPr>
          <w:sz w:val="24"/>
          <w:szCs w:val="24"/>
        </w:rPr>
      </w:pPr>
    </w:p>
    <w:p w14:paraId="08A8505C" w14:textId="77777777" w:rsidR="007A1C93" w:rsidRDefault="007A1C93">
      <w:pPr>
        <w:spacing w:line="360" w:lineRule="auto"/>
        <w:ind w:firstLineChars="200" w:firstLine="480"/>
        <w:jc w:val="center"/>
        <w:rPr>
          <w:sz w:val="24"/>
          <w:szCs w:val="24"/>
        </w:rPr>
      </w:pPr>
    </w:p>
    <w:p w14:paraId="3C1F96A4" w14:textId="77777777" w:rsidR="007A1C93" w:rsidRDefault="00000000">
      <w:pPr>
        <w:spacing w:line="360" w:lineRule="auto"/>
        <w:ind w:firstLineChars="200" w:firstLine="480"/>
        <w:jc w:val="center"/>
        <w:rPr>
          <w:color w:val="000000"/>
        </w:rPr>
      </w:pPr>
      <w:r>
        <w:rPr>
          <w:noProof/>
          <w:sz w:val="24"/>
          <w:szCs w:val="24"/>
        </w:rPr>
        <w:drawing>
          <wp:inline distT="0" distB="0" distL="114300" distR="114300" wp14:anchorId="5B367510" wp14:editId="5335CA04">
            <wp:extent cx="4922520" cy="1737995"/>
            <wp:effectExtent l="0" t="0" r="5080" b="1905"/>
            <wp:docPr id="3" name="图片 3" descr="capture_20230611210517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apture_20230611210517133"/>
                    <pic:cNvPicPr>
                      <a:picLocks noChangeAspect="1"/>
                    </pic:cNvPicPr>
                  </pic:nvPicPr>
                  <pic:blipFill>
                    <a:blip r:embed="rId6"/>
                    <a:srcRect l="1636" t="8817" r="4401" b="14084"/>
                    <a:stretch>
                      <a:fillRect/>
                    </a:stretch>
                  </pic:blipFill>
                  <pic:spPr>
                    <a:xfrm>
                      <a:off x="0" y="0"/>
                      <a:ext cx="4922520" cy="1737995"/>
                    </a:xfrm>
                    <a:prstGeom prst="rect">
                      <a:avLst/>
                    </a:prstGeom>
                    <a:noFill/>
                    <a:ln>
                      <a:noFill/>
                    </a:ln>
                  </pic:spPr>
                </pic:pic>
              </a:graphicData>
            </a:graphic>
          </wp:inline>
        </w:drawing>
      </w:r>
      <w:r>
        <w:rPr>
          <w:rFonts w:eastAsia="Arial"/>
          <w:color w:val="000000"/>
        </w:rPr>
        <w:t>Figure 3 Detection of TNF-α and IL-10 content by ELISA</w:t>
      </w:r>
    </w:p>
    <w:p w14:paraId="22E2D46B" w14:textId="77777777" w:rsidR="007A1C93" w:rsidRDefault="00000000">
      <w:pPr>
        <w:spacing w:line="360" w:lineRule="auto"/>
        <w:ind w:firstLineChars="200" w:firstLine="420"/>
        <w:jc w:val="center"/>
        <w:rPr>
          <w:color w:val="000000"/>
        </w:rPr>
      </w:pPr>
      <w:r>
        <w:rPr>
          <w:rFonts w:eastAsia="Arial"/>
          <w:color w:val="000000"/>
        </w:rPr>
        <w:t>("*" indicates that ratio to IL-1β (0 ng/mL) P &lt; 0.05)</w:t>
      </w:r>
    </w:p>
    <w:p w14:paraId="72FBC13E" w14:textId="77777777" w:rsidR="007A1C93" w:rsidRDefault="00000000">
      <w:pPr>
        <w:spacing w:line="360" w:lineRule="auto"/>
        <w:rPr>
          <w:b/>
          <w:sz w:val="24"/>
        </w:rPr>
      </w:pPr>
      <w:r>
        <w:rPr>
          <w:rFonts w:eastAsia="Arial"/>
          <w:b/>
          <w:bCs/>
          <w:color w:val="000000"/>
          <w:sz w:val="24"/>
        </w:rPr>
        <w:t>2.4 Detection of apoptosis level by flow cytometry</w:t>
      </w:r>
    </w:p>
    <w:p w14:paraId="3F316674" w14:textId="77777777" w:rsidR="007A1C93" w:rsidRDefault="00000000">
      <w:pPr>
        <w:spacing w:line="360" w:lineRule="auto"/>
        <w:ind w:firstLineChars="200" w:firstLine="420"/>
        <w:rPr>
          <w:color w:val="000000"/>
        </w:rPr>
      </w:pPr>
      <w:r>
        <w:rPr>
          <w:rFonts w:eastAsia="Arial"/>
          <w:color w:val="000000"/>
        </w:rPr>
        <w:t xml:space="preserve">After human primary chondrocytes were transfected with KLF4 overexpressing lentivirus, the apoptosis changes were detected by flow cytometry. The results are shown in Figure 4. Compared with the Control group, the apoptosis rate of the Model and </w:t>
      </w:r>
      <w:proofErr w:type="spellStart"/>
      <w:r>
        <w:rPr>
          <w:rFonts w:eastAsia="Arial"/>
          <w:color w:val="000000"/>
        </w:rPr>
        <w:t>Model+NC</w:t>
      </w:r>
      <w:proofErr w:type="spellEnd"/>
      <w:r>
        <w:rPr>
          <w:rFonts w:eastAsia="Arial"/>
          <w:color w:val="000000"/>
        </w:rPr>
        <w:t xml:space="preserve"> groups increased significantly; Compared with the Model group, the apoptosis rate of </w:t>
      </w:r>
      <w:proofErr w:type="spellStart"/>
      <w:r>
        <w:rPr>
          <w:rFonts w:eastAsia="Arial"/>
          <w:color w:val="000000"/>
        </w:rPr>
        <w:t>Model+NC</w:t>
      </w:r>
      <w:proofErr w:type="spellEnd"/>
      <w:r>
        <w:rPr>
          <w:rFonts w:eastAsia="Arial"/>
          <w:color w:val="000000"/>
        </w:rPr>
        <w:t xml:space="preserve"> increased significantly and the apoptosis rate of Model+OE-KLF4 group decreased significantly; Compared with the </w:t>
      </w:r>
      <w:proofErr w:type="spellStart"/>
      <w:r>
        <w:rPr>
          <w:rFonts w:eastAsia="Arial"/>
          <w:color w:val="000000"/>
        </w:rPr>
        <w:t>Model+NC</w:t>
      </w:r>
      <w:proofErr w:type="spellEnd"/>
      <w:r>
        <w:rPr>
          <w:rFonts w:eastAsia="Arial"/>
          <w:color w:val="000000"/>
        </w:rPr>
        <w:t xml:space="preserve"> group, the apoptosis rate of the Model+OE-KLF4 group was significantly reduced. The above results indicated that human primary chondrocytes transfected with KLF4 overexpressing lentivirus could significantly reduce the apoptosis level.</w:t>
      </w:r>
    </w:p>
    <w:p w14:paraId="65343E97" w14:textId="77777777" w:rsidR="007A1C93" w:rsidRDefault="00000000">
      <w:pPr>
        <w:spacing w:line="360" w:lineRule="auto"/>
        <w:rPr>
          <w:rFonts w:eastAsia="Arial"/>
          <w:color w:val="000000"/>
        </w:rPr>
      </w:pPr>
      <w:r>
        <w:rPr>
          <w:rFonts w:eastAsia="Arial"/>
          <w:noProof/>
          <w:color w:val="000000"/>
        </w:rPr>
        <w:drawing>
          <wp:inline distT="0" distB="0" distL="114300" distR="114300" wp14:anchorId="5193E82C" wp14:editId="323ECF54">
            <wp:extent cx="4978400" cy="2722245"/>
            <wp:effectExtent l="0" t="0" r="0" b="8255"/>
            <wp:docPr id="4" name="图片 4" descr="新建 PPT 演示文稿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新建 PPT 演示文稿_01"/>
                    <pic:cNvPicPr>
                      <a:picLocks noChangeAspect="1"/>
                    </pic:cNvPicPr>
                  </pic:nvPicPr>
                  <pic:blipFill>
                    <a:blip r:embed="rId7"/>
                    <a:srcRect r="33229" b="51326"/>
                    <a:stretch>
                      <a:fillRect/>
                    </a:stretch>
                  </pic:blipFill>
                  <pic:spPr>
                    <a:xfrm>
                      <a:off x="0" y="0"/>
                      <a:ext cx="4978400" cy="2722245"/>
                    </a:xfrm>
                    <a:prstGeom prst="rect">
                      <a:avLst/>
                    </a:prstGeom>
                  </pic:spPr>
                </pic:pic>
              </a:graphicData>
            </a:graphic>
          </wp:inline>
        </w:drawing>
      </w:r>
    </w:p>
    <w:p w14:paraId="20520784" w14:textId="77777777" w:rsidR="007A1C93" w:rsidRDefault="00000000">
      <w:pPr>
        <w:spacing w:line="360" w:lineRule="auto"/>
        <w:jc w:val="center"/>
        <w:rPr>
          <w:color w:val="000000"/>
        </w:rPr>
      </w:pPr>
      <w:r>
        <w:rPr>
          <w:rFonts w:eastAsia="Arial"/>
          <w:color w:val="000000"/>
        </w:rPr>
        <w:t>Figure 4 Detection of apoptosis level by flow cytometry</w:t>
      </w:r>
    </w:p>
    <w:p w14:paraId="05F71292" w14:textId="77777777" w:rsidR="007A1C93" w:rsidRDefault="00000000">
      <w:pPr>
        <w:spacing w:line="360" w:lineRule="auto"/>
        <w:ind w:firstLineChars="200" w:firstLine="420"/>
        <w:jc w:val="center"/>
        <w:rPr>
          <w:color w:val="000000"/>
        </w:rPr>
      </w:pPr>
      <w:r>
        <w:rPr>
          <w:rFonts w:eastAsia="Arial"/>
          <w:color w:val="000000"/>
        </w:rPr>
        <w:lastRenderedPageBreak/>
        <w:t xml:space="preserve">("*" indicates that ratio to CON P &lt; 0.05, "#" is that ratio to Model P &lt; 0.05, and "$" is that ratio to </w:t>
      </w:r>
      <w:proofErr w:type="spellStart"/>
      <w:r>
        <w:rPr>
          <w:rFonts w:eastAsia="Arial"/>
          <w:color w:val="000000"/>
        </w:rPr>
        <w:t>Model+NC</w:t>
      </w:r>
      <w:proofErr w:type="spellEnd"/>
      <w:r>
        <w:rPr>
          <w:rFonts w:eastAsia="Arial"/>
          <w:color w:val="000000"/>
        </w:rPr>
        <w:t xml:space="preserve"> P &lt; 0.05)</w:t>
      </w:r>
    </w:p>
    <w:p w14:paraId="729026AE" w14:textId="77777777" w:rsidR="007A1C93" w:rsidRDefault="00000000">
      <w:pPr>
        <w:spacing w:line="360" w:lineRule="auto"/>
        <w:rPr>
          <w:b/>
          <w:sz w:val="24"/>
        </w:rPr>
      </w:pPr>
      <w:r>
        <w:rPr>
          <w:rFonts w:eastAsia="Arial"/>
          <w:b/>
          <w:bCs/>
          <w:color w:val="000000"/>
          <w:sz w:val="24"/>
        </w:rPr>
        <w:t>2.5 Observation of mitochondrial morphology of cells by electron microscope</w:t>
      </w:r>
    </w:p>
    <w:p w14:paraId="1F28D188" w14:textId="77777777" w:rsidR="007A1C93" w:rsidRDefault="00000000">
      <w:pPr>
        <w:spacing w:line="360" w:lineRule="auto"/>
        <w:ind w:firstLineChars="200" w:firstLine="420"/>
        <w:rPr>
          <w:color w:val="000000"/>
        </w:rPr>
      </w:pPr>
      <w:r>
        <w:rPr>
          <w:rFonts w:eastAsia="Arial"/>
          <w:color w:val="000000"/>
        </w:rPr>
        <w:t xml:space="preserve">After human primary chondrocytes were transfected with KLF4 overexpressing lentivirus, the mitochondrial morphology of cells was observed by electron microscope, and the results are shown in Figure 5. Compared with the Control group, the nuclear membrane of the Model group shrank, mitochondria were damaged and the number decreased, which proved that the modeling was successful; Compared with the Model group, mitochondria in the </w:t>
      </w:r>
      <w:proofErr w:type="spellStart"/>
      <w:r>
        <w:rPr>
          <w:rFonts w:eastAsia="Arial"/>
          <w:color w:val="000000"/>
        </w:rPr>
        <w:t>Model+NC</w:t>
      </w:r>
      <w:proofErr w:type="spellEnd"/>
      <w:r>
        <w:rPr>
          <w:rFonts w:eastAsia="Arial"/>
          <w:color w:val="000000"/>
        </w:rPr>
        <w:t xml:space="preserve"> group were damaged, and autophagosomes and apoptotic bodies appeared in the cytoplasm; Compared with the </w:t>
      </w:r>
      <w:proofErr w:type="spellStart"/>
      <w:r>
        <w:rPr>
          <w:rFonts w:eastAsia="Arial"/>
          <w:color w:val="000000"/>
        </w:rPr>
        <w:t>Model+NC</w:t>
      </w:r>
      <w:proofErr w:type="spellEnd"/>
      <w:r>
        <w:rPr>
          <w:rFonts w:eastAsia="Arial"/>
          <w:color w:val="000000"/>
        </w:rPr>
        <w:t xml:space="preserve"> group, the mitochondrial damage of the Model+OE-KLF4 group was repaired and the mitochondrial structure was gradually restored. The above results show that human primary chondrocytes transfected with KLF4 overexpressing lentivirus can significantly repair the mitochondrial structure and restore mitochondrial function.</w:t>
      </w:r>
    </w:p>
    <w:p w14:paraId="7BFB0CAB" w14:textId="77777777" w:rsidR="007A1C93" w:rsidRDefault="00000000">
      <w:pPr>
        <w:spacing w:line="360" w:lineRule="auto"/>
        <w:jc w:val="center"/>
        <w:rPr>
          <w:rFonts w:eastAsia="Arial"/>
          <w:color w:val="000000"/>
        </w:rPr>
      </w:pPr>
      <w:r>
        <w:rPr>
          <w:rFonts w:eastAsia="Arial"/>
          <w:noProof/>
          <w:color w:val="000000"/>
        </w:rPr>
        <w:drawing>
          <wp:inline distT="0" distB="0" distL="114300" distR="114300" wp14:anchorId="2EA4A036" wp14:editId="7CA2F129">
            <wp:extent cx="4977130" cy="1593215"/>
            <wp:effectExtent l="0" t="0" r="0" b="0"/>
            <wp:docPr id="6" name="图片 6" descr="新建 PPT 演示文稿_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新建 PPT 演示文稿_01(1)"/>
                    <pic:cNvPicPr>
                      <a:picLocks noChangeAspect="1"/>
                    </pic:cNvPicPr>
                  </pic:nvPicPr>
                  <pic:blipFill>
                    <a:blip r:embed="rId8"/>
                    <a:srcRect r="5498" b="59669"/>
                    <a:stretch>
                      <a:fillRect/>
                    </a:stretch>
                  </pic:blipFill>
                  <pic:spPr>
                    <a:xfrm>
                      <a:off x="0" y="0"/>
                      <a:ext cx="4977130" cy="1593215"/>
                    </a:xfrm>
                    <a:prstGeom prst="rect">
                      <a:avLst/>
                    </a:prstGeom>
                  </pic:spPr>
                </pic:pic>
              </a:graphicData>
            </a:graphic>
          </wp:inline>
        </w:drawing>
      </w:r>
    </w:p>
    <w:p w14:paraId="6921FA26" w14:textId="77777777" w:rsidR="007A1C93" w:rsidRDefault="00000000">
      <w:pPr>
        <w:spacing w:line="360" w:lineRule="auto"/>
        <w:jc w:val="center"/>
        <w:rPr>
          <w:color w:val="000000"/>
        </w:rPr>
      </w:pPr>
      <w:r>
        <w:rPr>
          <w:rFonts w:eastAsia="Arial"/>
          <w:color w:val="000000"/>
        </w:rPr>
        <w:t>Figure 5 Observation of mitochondrial morphology by electron microscope</w:t>
      </w:r>
    </w:p>
    <w:p w14:paraId="578671B9" w14:textId="77777777" w:rsidR="007A1C93" w:rsidRDefault="00000000">
      <w:pPr>
        <w:spacing w:line="360" w:lineRule="auto"/>
        <w:rPr>
          <w:b/>
          <w:color w:val="000000"/>
          <w:sz w:val="24"/>
        </w:rPr>
      </w:pPr>
      <w:r>
        <w:rPr>
          <w:rFonts w:eastAsia="Arial"/>
          <w:b/>
          <w:bCs/>
          <w:color w:val="000000"/>
          <w:sz w:val="24"/>
        </w:rPr>
        <w:t>2.6 ELISA detection of cellular ATP levels</w:t>
      </w:r>
    </w:p>
    <w:p w14:paraId="5BC5B1F4" w14:textId="77777777" w:rsidR="007A1C93" w:rsidRDefault="00000000">
      <w:pPr>
        <w:spacing w:line="360" w:lineRule="auto"/>
        <w:ind w:firstLineChars="200" w:firstLine="420"/>
        <w:rPr>
          <w:color w:val="000000"/>
        </w:rPr>
      </w:pPr>
      <w:r>
        <w:rPr>
          <w:rFonts w:eastAsia="Arial"/>
          <w:color w:val="000000"/>
        </w:rPr>
        <w:t xml:space="preserve">After human primary chondrocytes were transfected with KLF4 overexpressing lentivirus, the ATP level of cells was observed by ELISA. The results are shown in Figure 6. Compared with the Control group, the ATP content of Model and </w:t>
      </w:r>
      <w:proofErr w:type="spellStart"/>
      <w:r>
        <w:rPr>
          <w:rFonts w:eastAsia="Arial"/>
          <w:color w:val="000000"/>
        </w:rPr>
        <w:t>Model+NC</w:t>
      </w:r>
      <w:proofErr w:type="spellEnd"/>
      <w:r>
        <w:rPr>
          <w:rFonts w:eastAsia="Arial"/>
          <w:color w:val="000000"/>
        </w:rPr>
        <w:t xml:space="preserve"> groups decreased significantly, indicating that the mitochondrial structure and function were significantly affected. Compared with the </w:t>
      </w:r>
      <w:proofErr w:type="spellStart"/>
      <w:r>
        <w:rPr>
          <w:rFonts w:eastAsia="Arial"/>
          <w:color w:val="000000"/>
        </w:rPr>
        <w:t>Model+NC</w:t>
      </w:r>
      <w:proofErr w:type="spellEnd"/>
      <w:r>
        <w:rPr>
          <w:rFonts w:eastAsia="Arial"/>
          <w:color w:val="000000"/>
        </w:rPr>
        <w:t xml:space="preserve"> group, the ATP content of Model+OE-KLF4 group increased significantly, indicating that the mitochondrial structure was significantly repaired and the function was also significantly restored.</w:t>
      </w:r>
    </w:p>
    <w:p w14:paraId="4A48BF1F" w14:textId="77777777" w:rsidR="007A1C93" w:rsidRDefault="007A1C93">
      <w:pPr>
        <w:spacing w:line="360" w:lineRule="auto"/>
        <w:jc w:val="center"/>
      </w:pPr>
    </w:p>
    <w:p w14:paraId="63D8EE2A" w14:textId="77777777" w:rsidR="007A1C93" w:rsidRDefault="00000000">
      <w:pPr>
        <w:spacing w:line="360" w:lineRule="auto"/>
        <w:ind w:firstLineChars="200" w:firstLine="420"/>
        <w:jc w:val="center"/>
      </w:pPr>
      <w:r>
        <w:rPr>
          <w:noProof/>
        </w:rPr>
        <w:lastRenderedPageBreak/>
        <w:drawing>
          <wp:inline distT="0" distB="0" distL="114300" distR="114300" wp14:anchorId="120A9EEB" wp14:editId="3C7F5BF0">
            <wp:extent cx="2648585" cy="2541270"/>
            <wp:effectExtent l="0" t="0" r="5715" b="1143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9"/>
                    <a:srcRect l="11818" t="8809" r="15907" b="7257"/>
                    <a:stretch>
                      <a:fillRect/>
                    </a:stretch>
                  </pic:blipFill>
                  <pic:spPr>
                    <a:xfrm>
                      <a:off x="0" y="0"/>
                      <a:ext cx="2648585" cy="2541270"/>
                    </a:xfrm>
                    <a:prstGeom prst="rect">
                      <a:avLst/>
                    </a:prstGeom>
                    <a:noFill/>
                    <a:ln>
                      <a:noFill/>
                    </a:ln>
                  </pic:spPr>
                </pic:pic>
              </a:graphicData>
            </a:graphic>
          </wp:inline>
        </w:drawing>
      </w:r>
    </w:p>
    <w:p w14:paraId="14359C4C" w14:textId="77777777" w:rsidR="007A1C93" w:rsidRDefault="00000000">
      <w:pPr>
        <w:spacing w:line="360" w:lineRule="auto"/>
        <w:ind w:firstLineChars="200" w:firstLine="420"/>
        <w:jc w:val="center"/>
        <w:rPr>
          <w:color w:val="000000"/>
        </w:rPr>
      </w:pPr>
      <w:r>
        <w:rPr>
          <w:rFonts w:eastAsia="Arial"/>
          <w:color w:val="000000"/>
        </w:rPr>
        <w:t>Figure 6 ELISA detection of cell ATP level</w:t>
      </w:r>
    </w:p>
    <w:p w14:paraId="67B9DDAF" w14:textId="77777777" w:rsidR="007A1C93" w:rsidRDefault="00000000">
      <w:pPr>
        <w:spacing w:line="360" w:lineRule="auto"/>
        <w:ind w:firstLineChars="200" w:firstLine="420"/>
        <w:jc w:val="center"/>
        <w:rPr>
          <w:color w:val="000000"/>
        </w:rPr>
      </w:pPr>
      <w:r>
        <w:rPr>
          <w:rFonts w:eastAsia="Arial"/>
          <w:color w:val="000000"/>
        </w:rPr>
        <w:t>("*" indicates that ratio to CON P &lt; 0.05, "#" is that ratio to KLF4 NC P &lt; 0.05)</w:t>
      </w:r>
    </w:p>
    <w:p w14:paraId="607A66C0" w14:textId="77777777" w:rsidR="007A1C93" w:rsidRDefault="00000000">
      <w:pPr>
        <w:spacing w:line="360" w:lineRule="auto"/>
        <w:rPr>
          <w:b/>
          <w:sz w:val="24"/>
        </w:rPr>
      </w:pPr>
      <w:r>
        <w:rPr>
          <w:rFonts w:eastAsia="Arial"/>
          <w:b/>
          <w:bCs/>
          <w:color w:val="000000"/>
          <w:sz w:val="24"/>
        </w:rPr>
        <w:t>2.7 Detection of mitochondrial membrane potential level by flow cytometry</w:t>
      </w:r>
    </w:p>
    <w:p w14:paraId="52C4CE55" w14:textId="77777777" w:rsidR="007A1C93" w:rsidRDefault="00000000">
      <w:pPr>
        <w:spacing w:line="360" w:lineRule="auto"/>
        <w:ind w:firstLineChars="200" w:firstLine="420"/>
        <w:rPr>
          <w:color w:val="000000"/>
        </w:rPr>
      </w:pPr>
      <w:r>
        <w:rPr>
          <w:rFonts w:eastAsia="Arial"/>
          <w:color w:val="000000"/>
        </w:rPr>
        <w:t xml:space="preserve">After human primary chondrocytes were transfected with KLF4 overexpression lentivirus, the mitochondrial membrane potential level of cells was detected by flow cytometry. The results are shown in Figure 7. Compared with the Control group, the mitochondrial membrane potential level of the Model group increased significantly, compared with the Control and Model groups, the mitochondrial membrane potential level of the </w:t>
      </w:r>
      <w:proofErr w:type="spellStart"/>
      <w:r>
        <w:rPr>
          <w:rFonts w:eastAsia="Arial"/>
          <w:color w:val="000000"/>
        </w:rPr>
        <w:t>Model+NC</w:t>
      </w:r>
      <w:proofErr w:type="spellEnd"/>
      <w:r>
        <w:rPr>
          <w:rFonts w:eastAsia="Arial"/>
          <w:color w:val="000000"/>
        </w:rPr>
        <w:t xml:space="preserve"> group increased significantly, compared with the Model and </w:t>
      </w:r>
      <w:proofErr w:type="spellStart"/>
      <w:r>
        <w:rPr>
          <w:rFonts w:eastAsia="Arial"/>
          <w:color w:val="000000"/>
        </w:rPr>
        <w:t>Model+NC</w:t>
      </w:r>
      <w:proofErr w:type="spellEnd"/>
      <w:r>
        <w:rPr>
          <w:rFonts w:eastAsia="Arial"/>
          <w:color w:val="000000"/>
        </w:rPr>
        <w:t xml:space="preserve"> groups, the mitochondrial membrane potential level of the Model+OE-KLF4 group decreased significantly, and the apoptosis was significantly reduced.</w:t>
      </w:r>
    </w:p>
    <w:p w14:paraId="632C7303" w14:textId="77777777" w:rsidR="007A1C93" w:rsidRDefault="00000000">
      <w:pPr>
        <w:spacing w:line="360" w:lineRule="auto"/>
        <w:ind w:firstLineChars="200" w:firstLine="420"/>
        <w:jc w:val="center"/>
        <w:rPr>
          <w:color w:val="000000"/>
        </w:rPr>
      </w:pPr>
      <w:r>
        <w:rPr>
          <w:noProof/>
        </w:rPr>
        <w:drawing>
          <wp:inline distT="0" distB="0" distL="114300" distR="114300" wp14:anchorId="7CF6D35C" wp14:editId="24177413">
            <wp:extent cx="5233035" cy="2977515"/>
            <wp:effectExtent l="0" t="0" r="12065" b="698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0"/>
                    <a:stretch>
                      <a:fillRect/>
                    </a:stretch>
                  </pic:blipFill>
                  <pic:spPr>
                    <a:xfrm>
                      <a:off x="0" y="0"/>
                      <a:ext cx="5233035" cy="2977515"/>
                    </a:xfrm>
                    <a:prstGeom prst="rect">
                      <a:avLst/>
                    </a:prstGeom>
                    <a:noFill/>
                    <a:ln>
                      <a:noFill/>
                    </a:ln>
                  </pic:spPr>
                </pic:pic>
              </a:graphicData>
            </a:graphic>
          </wp:inline>
        </w:drawing>
      </w:r>
      <w:r>
        <w:rPr>
          <w:rFonts w:eastAsia="Arial"/>
          <w:color w:val="000000"/>
        </w:rPr>
        <w:lastRenderedPageBreak/>
        <w:t>Figure 7 Flow cytometry detection of mitochondrial membrane potential level</w:t>
      </w:r>
    </w:p>
    <w:p w14:paraId="3B4515A7" w14:textId="77777777" w:rsidR="007A1C93" w:rsidRDefault="00000000">
      <w:pPr>
        <w:spacing w:line="360" w:lineRule="auto"/>
        <w:ind w:firstLineChars="200" w:firstLine="420"/>
        <w:jc w:val="center"/>
        <w:rPr>
          <w:color w:val="000000"/>
        </w:rPr>
      </w:pPr>
      <w:r>
        <w:rPr>
          <w:rFonts w:eastAsia="Arial"/>
          <w:color w:val="000000"/>
        </w:rPr>
        <w:t xml:space="preserve">("*" indicates that ratio to CON P &lt; 0.05, "#" indicates that ratio to Model P &lt; 0.05, and "$" indicates that ratio to </w:t>
      </w:r>
      <w:proofErr w:type="spellStart"/>
      <w:r>
        <w:rPr>
          <w:rFonts w:eastAsia="Arial"/>
          <w:color w:val="000000"/>
        </w:rPr>
        <w:t>Model+NC</w:t>
      </w:r>
      <w:proofErr w:type="spellEnd"/>
      <w:r>
        <w:rPr>
          <w:rFonts w:eastAsia="Arial"/>
          <w:color w:val="000000"/>
        </w:rPr>
        <w:t xml:space="preserve"> P &lt; 0.05)</w:t>
      </w:r>
    </w:p>
    <w:p w14:paraId="645C8028" w14:textId="77777777" w:rsidR="007A1C93" w:rsidRDefault="00000000">
      <w:pPr>
        <w:spacing w:line="360" w:lineRule="auto"/>
        <w:rPr>
          <w:b/>
          <w:sz w:val="24"/>
        </w:rPr>
      </w:pPr>
      <w:r>
        <w:rPr>
          <w:rFonts w:eastAsia="Arial"/>
          <w:b/>
          <w:bCs/>
          <w:color w:val="000000"/>
          <w:sz w:val="24"/>
        </w:rPr>
        <w:t>2.8 Fluo-3/AM fluorescence labeling method for flow cytometry detection of Ca</w:t>
      </w:r>
      <w:r>
        <w:rPr>
          <w:rFonts w:eastAsia="Arial"/>
          <w:b/>
          <w:bCs/>
          <w:color w:val="000000"/>
          <w:sz w:val="24"/>
          <w:vertAlign w:val="superscript"/>
        </w:rPr>
        <w:t>2+</w:t>
      </w:r>
      <w:r>
        <w:rPr>
          <w:rFonts w:eastAsia="Arial"/>
          <w:b/>
          <w:bCs/>
          <w:color w:val="000000"/>
          <w:sz w:val="24"/>
        </w:rPr>
        <w:t xml:space="preserve"> homeostasis</w:t>
      </w:r>
    </w:p>
    <w:p w14:paraId="4BAD6C3A" w14:textId="77777777" w:rsidR="007A1C93" w:rsidRDefault="00000000">
      <w:pPr>
        <w:spacing w:line="360" w:lineRule="auto"/>
        <w:ind w:firstLineChars="200" w:firstLine="420"/>
        <w:rPr>
          <w:color w:val="000000"/>
        </w:rPr>
      </w:pPr>
      <w:r>
        <w:rPr>
          <w:rFonts w:eastAsia="Arial"/>
          <w:color w:val="000000"/>
        </w:rPr>
        <w:t>After human primary chondrocytes were transfected with KLF4 overexpression lentivirus, the Ca</w:t>
      </w:r>
      <w:r>
        <w:rPr>
          <w:rFonts w:eastAsia="Arial"/>
          <w:color w:val="000000"/>
          <w:vertAlign w:val="superscript"/>
        </w:rPr>
        <w:t>2+</w:t>
      </w:r>
      <w:r>
        <w:rPr>
          <w:rFonts w:eastAsia="Arial"/>
          <w:color w:val="000000"/>
        </w:rPr>
        <w:t xml:space="preserve"> steady-state was detected by flow cytometry using Fluo-3/AM fluorescence labeling method. The results are shown in Figure 8. Compared with the Control group, the Ca</w:t>
      </w:r>
      <w:r>
        <w:rPr>
          <w:rFonts w:eastAsia="Arial"/>
          <w:color w:val="000000"/>
          <w:vertAlign w:val="superscript"/>
        </w:rPr>
        <w:t>2+</w:t>
      </w:r>
      <w:r>
        <w:rPr>
          <w:rFonts w:eastAsia="Arial"/>
          <w:color w:val="000000"/>
        </w:rPr>
        <w:t xml:space="preserve"> steady-state level in the Model and </w:t>
      </w:r>
      <w:proofErr w:type="spellStart"/>
      <w:r>
        <w:rPr>
          <w:rFonts w:eastAsia="Arial"/>
          <w:color w:val="000000"/>
        </w:rPr>
        <w:t>Model+NC</w:t>
      </w:r>
      <w:proofErr w:type="spellEnd"/>
      <w:r>
        <w:rPr>
          <w:rFonts w:eastAsia="Arial"/>
          <w:color w:val="000000"/>
        </w:rPr>
        <w:t xml:space="preserve"> groups was significantly increased, and compared with the Model and </w:t>
      </w:r>
      <w:proofErr w:type="spellStart"/>
      <w:r>
        <w:rPr>
          <w:rFonts w:eastAsia="Arial"/>
          <w:color w:val="000000"/>
        </w:rPr>
        <w:t>Model+NC</w:t>
      </w:r>
      <w:proofErr w:type="spellEnd"/>
      <w:r>
        <w:rPr>
          <w:rFonts w:eastAsia="Arial"/>
          <w:color w:val="000000"/>
        </w:rPr>
        <w:t xml:space="preserve"> groups, the Ca</w:t>
      </w:r>
      <w:r>
        <w:rPr>
          <w:rFonts w:eastAsia="Arial"/>
          <w:color w:val="000000"/>
          <w:vertAlign w:val="superscript"/>
        </w:rPr>
        <w:t>2+</w:t>
      </w:r>
      <w:r>
        <w:rPr>
          <w:rFonts w:eastAsia="Arial"/>
          <w:color w:val="000000"/>
        </w:rPr>
        <w:t xml:space="preserve"> steady-state level in the Model+OE-KLF4 group was significantly decreased. The above results indicate that after human primary chondrocytes were transfected with KLF4 overexpression lentivirus, the level of cell apoptosis was significantly reduced.</w:t>
      </w:r>
    </w:p>
    <w:p w14:paraId="571DC3E9" w14:textId="77777777" w:rsidR="007A1C93" w:rsidRDefault="00000000">
      <w:pPr>
        <w:spacing w:line="360" w:lineRule="auto"/>
        <w:ind w:firstLineChars="200" w:firstLine="420"/>
        <w:jc w:val="center"/>
        <w:rPr>
          <w:rFonts w:eastAsia="Arial"/>
          <w:color w:val="000000"/>
        </w:rPr>
      </w:pPr>
      <w:r>
        <w:rPr>
          <w:rFonts w:eastAsia="Arial"/>
          <w:noProof/>
          <w:color w:val="000000"/>
        </w:rPr>
        <w:drawing>
          <wp:inline distT="0" distB="0" distL="114300" distR="114300" wp14:anchorId="32CCB5ED" wp14:editId="726C0156">
            <wp:extent cx="3916680" cy="2169160"/>
            <wp:effectExtent l="0" t="0" r="0" b="0"/>
            <wp:docPr id="9" name="图片 9" descr="新建 PPT 演示文稿_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新建 PPT 演示文稿_01(2)"/>
                    <pic:cNvPicPr>
                      <a:picLocks noChangeAspect="1"/>
                    </pic:cNvPicPr>
                  </pic:nvPicPr>
                  <pic:blipFill>
                    <a:blip r:embed="rId11"/>
                    <a:srcRect r="25633" b="45089"/>
                    <a:stretch>
                      <a:fillRect/>
                    </a:stretch>
                  </pic:blipFill>
                  <pic:spPr>
                    <a:xfrm>
                      <a:off x="0" y="0"/>
                      <a:ext cx="3916680" cy="2169160"/>
                    </a:xfrm>
                    <a:prstGeom prst="rect">
                      <a:avLst/>
                    </a:prstGeom>
                  </pic:spPr>
                </pic:pic>
              </a:graphicData>
            </a:graphic>
          </wp:inline>
        </w:drawing>
      </w:r>
    </w:p>
    <w:p w14:paraId="2BF1AF7E" w14:textId="77777777" w:rsidR="007A1C93" w:rsidRDefault="00000000">
      <w:pPr>
        <w:spacing w:line="360" w:lineRule="auto"/>
        <w:ind w:firstLineChars="200" w:firstLine="420"/>
        <w:jc w:val="center"/>
        <w:rPr>
          <w:color w:val="000000"/>
        </w:rPr>
      </w:pPr>
      <w:r>
        <w:rPr>
          <w:rFonts w:eastAsia="Arial"/>
          <w:color w:val="000000"/>
        </w:rPr>
        <w:t>Figure 8 Fluo-3/AM fluorescence labeling method for flow cytometry detection of Ca</w:t>
      </w:r>
      <w:r>
        <w:rPr>
          <w:rFonts w:eastAsia="Arial"/>
          <w:color w:val="000000"/>
          <w:vertAlign w:val="superscript"/>
        </w:rPr>
        <w:t>2+</w:t>
      </w:r>
      <w:r>
        <w:rPr>
          <w:rFonts w:eastAsia="Arial"/>
          <w:color w:val="000000"/>
        </w:rPr>
        <w:t xml:space="preserve"> homeostasis</w:t>
      </w:r>
    </w:p>
    <w:p w14:paraId="71E63330" w14:textId="77777777" w:rsidR="007A1C93" w:rsidRDefault="00000000">
      <w:pPr>
        <w:spacing w:line="360" w:lineRule="auto"/>
        <w:ind w:firstLineChars="200" w:firstLine="420"/>
        <w:jc w:val="center"/>
        <w:rPr>
          <w:color w:val="000000"/>
        </w:rPr>
      </w:pPr>
      <w:r>
        <w:rPr>
          <w:rFonts w:eastAsia="Arial"/>
          <w:color w:val="000000"/>
        </w:rPr>
        <w:t xml:space="preserve">("*" indicates that ratio to CON P &lt; 0.05, "#" indicates that ratio to Model P &lt; 0.05, and "$" indicates that ratio to </w:t>
      </w:r>
      <w:proofErr w:type="spellStart"/>
      <w:r>
        <w:rPr>
          <w:rFonts w:eastAsia="Arial"/>
          <w:color w:val="000000"/>
        </w:rPr>
        <w:t>Model+NC</w:t>
      </w:r>
      <w:proofErr w:type="spellEnd"/>
      <w:r>
        <w:rPr>
          <w:rFonts w:eastAsia="Arial"/>
          <w:color w:val="000000"/>
        </w:rPr>
        <w:t xml:space="preserve"> P &lt; 0.05)</w:t>
      </w:r>
    </w:p>
    <w:p w14:paraId="27469E0B" w14:textId="77777777" w:rsidR="007A1C93" w:rsidRDefault="00000000">
      <w:pPr>
        <w:spacing w:line="360" w:lineRule="auto"/>
        <w:rPr>
          <w:b/>
          <w:color w:val="FF0000"/>
          <w:sz w:val="24"/>
        </w:rPr>
      </w:pPr>
      <w:r>
        <w:rPr>
          <w:rFonts w:eastAsia="Arial"/>
          <w:b/>
          <w:bCs/>
          <w:color w:val="000000"/>
          <w:sz w:val="24"/>
        </w:rPr>
        <w:t>2.9 WB detection of autophagy-related proteins Beclin1, P62, and LC3 expression</w:t>
      </w:r>
    </w:p>
    <w:p w14:paraId="5B29CB29" w14:textId="77777777" w:rsidR="007A1C93" w:rsidRDefault="00000000">
      <w:pPr>
        <w:spacing w:line="360" w:lineRule="auto"/>
        <w:ind w:firstLineChars="200" w:firstLine="420"/>
        <w:rPr>
          <w:color w:val="000000"/>
        </w:rPr>
      </w:pPr>
      <w:r>
        <w:rPr>
          <w:rFonts w:eastAsia="Arial"/>
          <w:color w:val="000000"/>
        </w:rPr>
        <w:t xml:space="preserve">After human primary chondrocytes were transfected with KLF4 overexpressing lentivirus, the expression levels of Beclin1, P62 and LC3 proteins in human primary chondrocytes were detected by WB. Results As shown in Figure 9, compared with the Control group, the expression </w:t>
      </w:r>
      <w:r>
        <w:rPr>
          <w:rFonts w:eastAsia="Arial"/>
          <w:color w:val="000000"/>
        </w:rPr>
        <w:lastRenderedPageBreak/>
        <w:t xml:space="preserve">levels of p62 and LC3 proteins in the Model, </w:t>
      </w:r>
      <w:proofErr w:type="spellStart"/>
      <w:r>
        <w:rPr>
          <w:rFonts w:eastAsia="Arial"/>
          <w:color w:val="000000"/>
        </w:rPr>
        <w:t>Model+NC</w:t>
      </w:r>
      <w:proofErr w:type="spellEnd"/>
      <w:r>
        <w:rPr>
          <w:rFonts w:eastAsia="Arial"/>
          <w:color w:val="000000"/>
        </w:rPr>
        <w:t xml:space="preserve"> and </w:t>
      </w:r>
      <w:proofErr w:type="spellStart"/>
      <w:r>
        <w:rPr>
          <w:rFonts w:eastAsia="Arial"/>
          <w:color w:val="000000"/>
        </w:rPr>
        <w:t>Model+OE</w:t>
      </w:r>
      <w:proofErr w:type="spellEnd"/>
      <w:r>
        <w:rPr>
          <w:rFonts w:eastAsia="Arial"/>
          <w:color w:val="000000"/>
        </w:rPr>
        <w:t xml:space="preserve"> groups increased significantly, while there was no significant difference in the expression levels of Beclin1 protein among the groups. The above results indicated that after human primary chondrocytes were transfected with KLF4 overexpressing lentivirus, the expression level of autophagy-related protein p62 increased significantly, and the level of autophagy increased.</w:t>
      </w:r>
    </w:p>
    <w:p w14:paraId="6D63C274" w14:textId="77777777" w:rsidR="007A1C93" w:rsidRDefault="00000000">
      <w:pPr>
        <w:spacing w:line="360" w:lineRule="auto"/>
        <w:jc w:val="center"/>
        <w:rPr>
          <w:color w:val="000000"/>
        </w:rPr>
      </w:pPr>
      <w:r>
        <w:rPr>
          <w:b/>
          <w:noProof/>
          <w:sz w:val="24"/>
        </w:rPr>
        <w:drawing>
          <wp:inline distT="0" distB="0" distL="114300" distR="114300" wp14:anchorId="347C41F2" wp14:editId="1DFAA494">
            <wp:extent cx="5231765" cy="2513330"/>
            <wp:effectExtent l="0" t="0" r="635" b="1270"/>
            <wp:docPr id="10" name="图片 7" descr="capture_20230611234557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capture_20230611234557612"/>
                    <pic:cNvPicPr>
                      <a:picLocks noChangeAspect="1"/>
                    </pic:cNvPicPr>
                  </pic:nvPicPr>
                  <pic:blipFill>
                    <a:blip r:embed="rId12"/>
                    <a:stretch>
                      <a:fillRect/>
                    </a:stretch>
                  </pic:blipFill>
                  <pic:spPr>
                    <a:xfrm>
                      <a:off x="0" y="0"/>
                      <a:ext cx="5231765" cy="2513330"/>
                    </a:xfrm>
                    <a:prstGeom prst="rect">
                      <a:avLst/>
                    </a:prstGeom>
                    <a:noFill/>
                    <a:ln>
                      <a:noFill/>
                    </a:ln>
                  </pic:spPr>
                </pic:pic>
              </a:graphicData>
            </a:graphic>
          </wp:inline>
        </w:drawing>
      </w:r>
      <w:r>
        <w:rPr>
          <w:rFonts w:eastAsia="Arial"/>
          <w:color w:val="000000"/>
        </w:rPr>
        <w:t>Figure 9 Expression of Beclin1, P62 and LC3 proteins in human primary chondrocytes</w:t>
      </w:r>
    </w:p>
    <w:p w14:paraId="2727BED3" w14:textId="77777777" w:rsidR="007A1C93" w:rsidRDefault="00000000">
      <w:pPr>
        <w:spacing w:line="360" w:lineRule="auto"/>
        <w:ind w:firstLineChars="200" w:firstLine="420"/>
        <w:jc w:val="center"/>
        <w:rPr>
          <w:color w:val="000000"/>
        </w:rPr>
      </w:pPr>
      <w:r>
        <w:rPr>
          <w:rFonts w:eastAsia="Arial"/>
          <w:color w:val="000000"/>
        </w:rPr>
        <w:t>("*" indicates that ratio to CON P &lt; 0.05)</w:t>
      </w:r>
    </w:p>
    <w:p w14:paraId="3AD060AC" w14:textId="77777777" w:rsidR="007A1C93" w:rsidRDefault="00000000">
      <w:pPr>
        <w:spacing w:line="360" w:lineRule="auto"/>
        <w:rPr>
          <w:b/>
          <w:sz w:val="24"/>
        </w:rPr>
      </w:pPr>
      <w:r>
        <w:rPr>
          <w:rFonts w:eastAsia="Arial"/>
          <w:b/>
          <w:bCs/>
          <w:color w:val="000000"/>
          <w:sz w:val="24"/>
        </w:rPr>
        <w:t>2.10 Dual luciferase validation of transcription factor KLF4 interacting with gene p62 promoter</w:t>
      </w:r>
    </w:p>
    <w:p w14:paraId="67196CEA" w14:textId="77777777" w:rsidR="007A1C93" w:rsidRDefault="00000000">
      <w:pPr>
        <w:spacing w:line="360" w:lineRule="auto"/>
        <w:ind w:firstLineChars="200" w:firstLine="420"/>
        <w:rPr>
          <w:color w:val="000000"/>
        </w:rPr>
      </w:pPr>
      <w:r>
        <w:rPr>
          <w:rFonts w:eastAsia="Arial"/>
          <w:color w:val="000000"/>
        </w:rPr>
        <w:t>The results of dual luciferase are shown in Figure 10. Compared with the control group, the dual luciferase activity of the WT-p62 group was significantly increased, which proved that the p62 promoter had promoter activity; Compared with WT-P62, WT-P62+overexpressed KLF4 genome double luciferase activity increased, which proved that overexpressing KLF4 could increase promoter activity; Compared with WT-p62+overexpressing KLF4 genome, the dual luciferase activity of MUT-p62+overexpressing KLF4 gene vector group decreased significantly, indicating that there is an interaction between transcription factor KLF4 and gene p62 promoter.</w:t>
      </w:r>
    </w:p>
    <w:p w14:paraId="55744352" w14:textId="77777777" w:rsidR="007A1C93" w:rsidRDefault="00000000">
      <w:pPr>
        <w:spacing w:line="360" w:lineRule="auto"/>
        <w:ind w:firstLineChars="200" w:firstLine="420"/>
        <w:jc w:val="center"/>
      </w:pPr>
      <w:r>
        <w:rPr>
          <w:noProof/>
        </w:rPr>
        <w:lastRenderedPageBreak/>
        <w:drawing>
          <wp:inline distT="0" distB="0" distL="114300" distR="114300" wp14:anchorId="33887611" wp14:editId="15263BC7">
            <wp:extent cx="4514850" cy="3206750"/>
            <wp:effectExtent l="0" t="0" r="6350" b="635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3"/>
                    <a:srcRect l="4248" t="4134" r="9467" b="2676"/>
                    <a:stretch>
                      <a:fillRect/>
                    </a:stretch>
                  </pic:blipFill>
                  <pic:spPr>
                    <a:xfrm>
                      <a:off x="0" y="0"/>
                      <a:ext cx="4514850" cy="3206750"/>
                    </a:xfrm>
                    <a:prstGeom prst="rect">
                      <a:avLst/>
                    </a:prstGeom>
                    <a:noFill/>
                    <a:ln>
                      <a:noFill/>
                    </a:ln>
                  </pic:spPr>
                </pic:pic>
              </a:graphicData>
            </a:graphic>
          </wp:inline>
        </w:drawing>
      </w:r>
    </w:p>
    <w:p w14:paraId="6847735C" w14:textId="77777777" w:rsidR="007A1C93" w:rsidRDefault="00000000">
      <w:pPr>
        <w:spacing w:line="360" w:lineRule="auto"/>
        <w:ind w:firstLineChars="200" w:firstLine="420"/>
        <w:jc w:val="center"/>
        <w:rPr>
          <w:color w:val="000000"/>
        </w:rPr>
      </w:pPr>
      <w:r>
        <w:rPr>
          <w:rFonts w:eastAsia="Arial"/>
          <w:color w:val="000000"/>
        </w:rPr>
        <w:t>Figure 10 Dual luciferase experiment</w:t>
      </w:r>
    </w:p>
    <w:p w14:paraId="182170B5" w14:textId="77777777" w:rsidR="007A1C93" w:rsidRDefault="00000000">
      <w:pPr>
        <w:spacing w:line="360" w:lineRule="auto"/>
        <w:ind w:firstLineChars="200" w:firstLine="420"/>
        <w:jc w:val="center"/>
        <w:rPr>
          <w:color w:val="000000"/>
        </w:rPr>
      </w:pPr>
      <w:r>
        <w:rPr>
          <w:rFonts w:eastAsia="Arial"/>
          <w:color w:val="000000"/>
        </w:rPr>
        <w:t>("*" indicates that ratio to CON is P &lt; 0.05, and "#" indicates that ratio to MUT-P62+OE-KLF4 is P &lt; 0.05)</w:t>
      </w:r>
    </w:p>
    <w:p w14:paraId="55ED92E3" w14:textId="77777777" w:rsidR="007A1C93" w:rsidRDefault="00000000">
      <w:pPr>
        <w:spacing w:line="360" w:lineRule="auto"/>
        <w:rPr>
          <w:b/>
          <w:sz w:val="24"/>
        </w:rPr>
      </w:pPr>
      <w:r>
        <w:rPr>
          <w:rFonts w:eastAsia="Arial"/>
          <w:b/>
          <w:bCs/>
          <w:color w:val="000000"/>
          <w:sz w:val="24"/>
        </w:rPr>
        <w:t>2.11 Chip experiment validates the interaction between p62, Beclin1 and KLF4</w:t>
      </w:r>
    </w:p>
    <w:p w14:paraId="16290514" w14:textId="77777777" w:rsidR="007A1C93" w:rsidRDefault="00000000">
      <w:pPr>
        <w:spacing w:line="360" w:lineRule="auto"/>
        <w:ind w:firstLineChars="200" w:firstLine="420"/>
      </w:pPr>
      <w:r>
        <w:rPr>
          <w:rFonts w:eastAsia="Arial"/>
          <w:color w:val="000000"/>
        </w:rPr>
        <w:t>After human primary chondrocytes were transfected with KLF4 overexpressing lentivirus, the interaction between p62, Beclin1 and KLF4 was verified by chip experiment. The results are shown in Figure 11. The input experiment results in Figure A showed that IL-1β model+KLF4 overexpressing lentivirus group was expressed in KLF4, and subsequent chip experiments could be performed. The results in Figure B showed that compared with IgG, the level of GAPDH promoter sequence bound by RNA polymerase II protein was significantly increased, and the positive property control was passed. The results of Figure C show that in the P62-F2/R2 group, compared with IgG, the level of P62 promoter sequence binding to KLF4 protein is significantly higher, indicating that KLF4 may interact with the P62 promoter region. The results of Figure D show that the level of Beclin1 promoter sequence bound to KLF4 protein is significantly higher in Beclin1-F1/R1 group and Beclin1-F3/R3 group compared to IgG, indicating that KLF4 may interact with the Beclin1 promoter region.</w:t>
      </w:r>
    </w:p>
    <w:p w14:paraId="3EB49859" w14:textId="77777777" w:rsidR="007A1C93" w:rsidRDefault="00000000">
      <w:pPr>
        <w:spacing w:line="360" w:lineRule="auto"/>
        <w:ind w:firstLineChars="200" w:firstLine="420"/>
        <w:jc w:val="center"/>
        <w:rPr>
          <w:color w:val="000000"/>
        </w:rPr>
      </w:pPr>
      <w:r>
        <w:rPr>
          <w:rFonts w:hint="eastAsia"/>
          <w:noProof/>
          <w:color w:val="000000"/>
        </w:rPr>
        <w:lastRenderedPageBreak/>
        <w:drawing>
          <wp:inline distT="0" distB="0" distL="114300" distR="114300" wp14:anchorId="76CFED59" wp14:editId="21D1680B">
            <wp:extent cx="4828540" cy="4495800"/>
            <wp:effectExtent l="0" t="0" r="10160" b="0"/>
            <wp:docPr id="12" name="图片 12" descr="新建 PPT 演示文稿_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新建 PPT 演示文稿_01(3)"/>
                    <pic:cNvPicPr>
                      <a:picLocks noChangeAspect="1"/>
                    </pic:cNvPicPr>
                  </pic:nvPicPr>
                  <pic:blipFill>
                    <a:blip r:embed="rId14"/>
                    <a:srcRect l="15421" r="29009" b="31024"/>
                    <a:stretch>
                      <a:fillRect/>
                    </a:stretch>
                  </pic:blipFill>
                  <pic:spPr>
                    <a:xfrm>
                      <a:off x="0" y="0"/>
                      <a:ext cx="4828540" cy="4495800"/>
                    </a:xfrm>
                    <a:prstGeom prst="rect">
                      <a:avLst/>
                    </a:prstGeom>
                  </pic:spPr>
                </pic:pic>
              </a:graphicData>
            </a:graphic>
          </wp:inline>
        </w:drawing>
      </w:r>
    </w:p>
    <w:p w14:paraId="31455E22" w14:textId="77777777" w:rsidR="007A1C93" w:rsidRDefault="00000000">
      <w:pPr>
        <w:spacing w:line="360" w:lineRule="auto"/>
        <w:ind w:firstLineChars="200" w:firstLine="420"/>
        <w:jc w:val="center"/>
        <w:rPr>
          <w:color w:val="000000"/>
        </w:rPr>
      </w:pPr>
      <w:r>
        <w:rPr>
          <w:rFonts w:eastAsia="Arial"/>
          <w:color w:val="000000"/>
        </w:rPr>
        <w:t>Figure 11 Chip experimental results</w:t>
      </w:r>
    </w:p>
    <w:p w14:paraId="4D3902FC" w14:textId="77777777" w:rsidR="007A1C93" w:rsidRDefault="00000000">
      <w:pPr>
        <w:spacing w:line="360" w:lineRule="auto"/>
        <w:ind w:firstLineChars="200" w:firstLine="420"/>
        <w:jc w:val="center"/>
        <w:rPr>
          <w:color w:val="000000"/>
        </w:rPr>
      </w:pPr>
      <w:r>
        <w:rPr>
          <w:rFonts w:eastAsia="Arial"/>
          <w:color w:val="000000"/>
        </w:rPr>
        <w:t>("*" indicates that ratio to IgG P &lt; 0.05)</w:t>
      </w:r>
    </w:p>
    <w:p w14:paraId="1F346613" w14:textId="77777777" w:rsidR="007A1C93" w:rsidRDefault="00000000">
      <w:pPr>
        <w:spacing w:line="360" w:lineRule="auto"/>
        <w:rPr>
          <w:b/>
          <w:sz w:val="24"/>
        </w:rPr>
      </w:pPr>
      <w:r>
        <w:rPr>
          <w:rFonts w:eastAsia="Arial"/>
          <w:b/>
          <w:bCs/>
          <w:color w:val="000000"/>
          <w:sz w:val="24"/>
        </w:rPr>
        <w:t>2.12 Expression levels of autophagy-related proteins Beclin1, P62 and LC3 were detected by WB</w:t>
      </w:r>
    </w:p>
    <w:p w14:paraId="383CA94A" w14:textId="77777777" w:rsidR="007A1C93" w:rsidRDefault="00000000">
      <w:pPr>
        <w:spacing w:line="360" w:lineRule="auto"/>
        <w:ind w:firstLineChars="200" w:firstLine="420"/>
        <w:rPr>
          <w:color w:val="000000"/>
        </w:rPr>
      </w:pPr>
      <w:r>
        <w:rPr>
          <w:rFonts w:eastAsia="Arial"/>
          <w:color w:val="000000"/>
        </w:rPr>
        <w:t xml:space="preserve">After human primary chondrocytes were transfected with KLF4 overexpressing lentivirus, then treated with IL-1β, and then treated with autophagy inhibitor 3-MA (5 mmol/L) for 24 hours, WB was used to detect the expression levels of Beclin1, p62, and LC3 proteins in human primary chondrocytes. The results are shown in Figure 12. Compared with the </w:t>
      </w:r>
      <w:proofErr w:type="spellStart"/>
      <w:r>
        <w:rPr>
          <w:rFonts w:eastAsia="Arial"/>
          <w:color w:val="000000"/>
        </w:rPr>
        <w:t>Model+NC</w:t>
      </w:r>
      <w:proofErr w:type="spellEnd"/>
      <w:r>
        <w:rPr>
          <w:rFonts w:eastAsia="Arial"/>
          <w:color w:val="000000"/>
        </w:rPr>
        <w:t xml:space="preserve"> group, the expression levels of p62 and LC3 proteins in the </w:t>
      </w:r>
      <w:proofErr w:type="spellStart"/>
      <w:r>
        <w:rPr>
          <w:rFonts w:eastAsia="Arial"/>
          <w:color w:val="000000"/>
        </w:rPr>
        <w:t>Model+OE</w:t>
      </w:r>
      <w:proofErr w:type="spellEnd"/>
      <w:r>
        <w:rPr>
          <w:rFonts w:eastAsia="Arial"/>
          <w:color w:val="000000"/>
        </w:rPr>
        <w:t xml:space="preserve"> group were significant.</w:t>
      </w:r>
    </w:p>
    <w:p w14:paraId="0A37532E" w14:textId="77777777" w:rsidR="007A1C93" w:rsidRDefault="00000000">
      <w:pPr>
        <w:spacing w:line="360" w:lineRule="auto"/>
        <w:ind w:firstLineChars="200" w:firstLine="480"/>
        <w:jc w:val="center"/>
        <w:rPr>
          <w:sz w:val="24"/>
          <w:szCs w:val="24"/>
        </w:rPr>
      </w:pPr>
      <w:r>
        <w:rPr>
          <w:noProof/>
          <w:sz w:val="24"/>
          <w:szCs w:val="24"/>
        </w:rPr>
        <w:lastRenderedPageBreak/>
        <w:drawing>
          <wp:inline distT="0" distB="0" distL="114300" distR="114300" wp14:anchorId="79913972" wp14:editId="5355C73E">
            <wp:extent cx="4756150" cy="2125345"/>
            <wp:effectExtent l="0" t="0" r="6350" b="8255"/>
            <wp:docPr id="13" name="图片 9" descr="capture_20230615204218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descr="capture_20230615204218448"/>
                    <pic:cNvPicPr>
                      <a:picLocks noChangeAspect="1"/>
                    </pic:cNvPicPr>
                  </pic:nvPicPr>
                  <pic:blipFill>
                    <a:blip r:embed="rId15"/>
                    <a:srcRect l="5190" t="9201" r="3989" b="6194"/>
                    <a:stretch>
                      <a:fillRect/>
                    </a:stretch>
                  </pic:blipFill>
                  <pic:spPr>
                    <a:xfrm>
                      <a:off x="0" y="0"/>
                      <a:ext cx="4756150" cy="2125345"/>
                    </a:xfrm>
                    <a:prstGeom prst="rect">
                      <a:avLst/>
                    </a:prstGeom>
                    <a:noFill/>
                    <a:ln>
                      <a:noFill/>
                    </a:ln>
                  </pic:spPr>
                </pic:pic>
              </a:graphicData>
            </a:graphic>
          </wp:inline>
        </w:drawing>
      </w:r>
    </w:p>
    <w:p w14:paraId="077EB048" w14:textId="77777777" w:rsidR="007A1C93" w:rsidRDefault="00000000">
      <w:pPr>
        <w:spacing w:line="360" w:lineRule="auto"/>
        <w:ind w:firstLineChars="200" w:firstLine="420"/>
        <w:jc w:val="center"/>
        <w:rPr>
          <w:color w:val="000000"/>
        </w:rPr>
      </w:pPr>
      <w:r>
        <w:rPr>
          <w:rFonts w:eastAsia="Arial"/>
          <w:color w:val="000000"/>
        </w:rPr>
        <w:t>Figure 12 Expression levels of autophagy-related proteins Beclin1, P62, and LC3</w:t>
      </w:r>
    </w:p>
    <w:p w14:paraId="223D5FD9" w14:textId="77777777" w:rsidR="007A1C93" w:rsidRDefault="00000000">
      <w:pPr>
        <w:spacing w:line="360" w:lineRule="auto"/>
        <w:rPr>
          <w:b/>
          <w:sz w:val="24"/>
        </w:rPr>
      </w:pPr>
      <w:r>
        <w:rPr>
          <w:rFonts w:eastAsia="Arial"/>
          <w:b/>
          <w:bCs/>
          <w:color w:val="000000"/>
          <w:sz w:val="24"/>
        </w:rPr>
        <w:t>2.13 Detection of apoptosis level by flow cytometry</w:t>
      </w:r>
    </w:p>
    <w:p w14:paraId="2792C952" w14:textId="77777777" w:rsidR="007A1C93" w:rsidRDefault="00000000">
      <w:pPr>
        <w:spacing w:line="360" w:lineRule="auto"/>
        <w:ind w:firstLineChars="200" w:firstLine="420"/>
        <w:rPr>
          <w:color w:val="000000"/>
        </w:rPr>
      </w:pPr>
      <w:r>
        <w:rPr>
          <w:rFonts w:eastAsia="Arial"/>
          <w:color w:val="000000"/>
        </w:rPr>
        <w:t xml:space="preserve">After human primary chondrocytes were transfected with KLF4 overexpressing lentivirus, they were treated with IL-1β, and then treated with autophagy inhibitor 3-MA (5mmol/L) for 24 hours, the apoptosis level of human primary chondrocytes was detected by flow cytometry. The results are shown in Figure 13. Compared with the Model group, the apoptosis level of the </w:t>
      </w:r>
      <w:proofErr w:type="spellStart"/>
      <w:r>
        <w:rPr>
          <w:rFonts w:eastAsia="Arial"/>
          <w:color w:val="000000"/>
        </w:rPr>
        <w:t>Model+OE</w:t>
      </w:r>
      <w:proofErr w:type="spellEnd"/>
      <w:r>
        <w:rPr>
          <w:rFonts w:eastAsia="Arial"/>
          <w:color w:val="000000"/>
        </w:rPr>
        <w:t xml:space="preserve"> group was significantly reduced, and compared with the </w:t>
      </w:r>
      <w:proofErr w:type="spellStart"/>
      <w:r>
        <w:rPr>
          <w:rFonts w:eastAsia="Arial"/>
          <w:color w:val="000000"/>
        </w:rPr>
        <w:t>Model+NC</w:t>
      </w:r>
      <w:proofErr w:type="spellEnd"/>
      <w:r>
        <w:rPr>
          <w:rFonts w:eastAsia="Arial"/>
          <w:color w:val="000000"/>
        </w:rPr>
        <w:t xml:space="preserve"> group, the apoptosis level of the </w:t>
      </w:r>
      <w:proofErr w:type="spellStart"/>
      <w:r>
        <w:rPr>
          <w:rFonts w:eastAsia="Arial"/>
          <w:color w:val="000000"/>
        </w:rPr>
        <w:t>Model+OE</w:t>
      </w:r>
      <w:proofErr w:type="spellEnd"/>
      <w:r>
        <w:rPr>
          <w:rFonts w:eastAsia="Arial"/>
          <w:color w:val="000000"/>
        </w:rPr>
        <w:t xml:space="preserve"> group was still significantly reduced.</w:t>
      </w:r>
    </w:p>
    <w:p w14:paraId="45421F30" w14:textId="77777777" w:rsidR="007A1C93" w:rsidRDefault="00000000">
      <w:pPr>
        <w:spacing w:line="360" w:lineRule="auto"/>
        <w:ind w:firstLineChars="200" w:firstLine="420"/>
        <w:jc w:val="center"/>
        <w:rPr>
          <w:color w:val="000000"/>
        </w:rPr>
      </w:pPr>
      <w:r>
        <w:rPr>
          <w:noProof/>
        </w:rPr>
        <w:drawing>
          <wp:inline distT="0" distB="0" distL="114300" distR="114300" wp14:anchorId="1CC9870B" wp14:editId="7A4E6B96">
            <wp:extent cx="5238750" cy="3002915"/>
            <wp:effectExtent l="0" t="0" r="6350" b="698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6"/>
                    <a:stretch>
                      <a:fillRect/>
                    </a:stretch>
                  </pic:blipFill>
                  <pic:spPr>
                    <a:xfrm>
                      <a:off x="0" y="0"/>
                      <a:ext cx="5238750" cy="3002915"/>
                    </a:xfrm>
                    <a:prstGeom prst="rect">
                      <a:avLst/>
                    </a:prstGeom>
                    <a:noFill/>
                    <a:ln>
                      <a:noFill/>
                    </a:ln>
                  </pic:spPr>
                </pic:pic>
              </a:graphicData>
            </a:graphic>
          </wp:inline>
        </w:drawing>
      </w:r>
      <w:r>
        <w:rPr>
          <w:rFonts w:eastAsia="Arial"/>
          <w:color w:val="000000"/>
        </w:rPr>
        <w:t>Figure 13 Detection of apoptosis level by flow cytometry</w:t>
      </w:r>
    </w:p>
    <w:p w14:paraId="14B34A75" w14:textId="77777777" w:rsidR="007A1C93" w:rsidRDefault="00000000">
      <w:pPr>
        <w:spacing w:line="360" w:lineRule="auto"/>
        <w:ind w:firstLineChars="200" w:firstLine="420"/>
        <w:jc w:val="center"/>
        <w:rPr>
          <w:color w:val="000000"/>
        </w:rPr>
      </w:pPr>
      <w:r>
        <w:rPr>
          <w:rFonts w:eastAsia="Arial"/>
          <w:color w:val="000000"/>
        </w:rPr>
        <w:t>("^" represents a ratio P &lt; 0.05 to Model+3-MA, and "&amp;" represents a ratio P &lt; 0.05 to Model+NC+3-MA)</w:t>
      </w:r>
    </w:p>
    <w:p w14:paraId="3D3C3210" w14:textId="77777777" w:rsidR="007A1C93" w:rsidRDefault="00000000">
      <w:pPr>
        <w:spacing w:line="360" w:lineRule="auto"/>
        <w:rPr>
          <w:b/>
          <w:sz w:val="24"/>
        </w:rPr>
      </w:pPr>
      <w:r>
        <w:rPr>
          <w:rFonts w:eastAsia="Arial"/>
          <w:b/>
          <w:bCs/>
          <w:color w:val="000000"/>
          <w:sz w:val="24"/>
        </w:rPr>
        <w:t>2.14 Detection of mitochondrial membrane potential level by flow cytometry</w:t>
      </w:r>
    </w:p>
    <w:p w14:paraId="49595532" w14:textId="77777777" w:rsidR="007A1C93" w:rsidRDefault="00000000">
      <w:pPr>
        <w:spacing w:line="360" w:lineRule="auto"/>
        <w:ind w:firstLineChars="200" w:firstLine="420"/>
        <w:rPr>
          <w:rFonts w:eastAsia="Arial"/>
          <w:color w:val="000000"/>
        </w:rPr>
      </w:pPr>
      <w:r>
        <w:rPr>
          <w:rFonts w:eastAsia="Arial"/>
          <w:color w:val="000000"/>
        </w:rPr>
        <w:lastRenderedPageBreak/>
        <w:t xml:space="preserve">After human primary chondrocytes were transfected with KLF4 overexpression lentivirus, they were treated with IL-1β and then treated with the autophagy inhibitor 3-MA (5mmol/L) for 24h. The mitochondrial membrane potential level of human primary chondrocytes was detected by flow cytometry. The results are shown in Figure 14. Compared with the Model group, the membrane potential level of the </w:t>
      </w:r>
      <w:proofErr w:type="spellStart"/>
      <w:r>
        <w:rPr>
          <w:rFonts w:eastAsia="Arial"/>
          <w:color w:val="000000"/>
        </w:rPr>
        <w:t>Model+OE</w:t>
      </w:r>
      <w:proofErr w:type="spellEnd"/>
      <w:r>
        <w:rPr>
          <w:rFonts w:eastAsia="Arial"/>
          <w:color w:val="000000"/>
        </w:rPr>
        <w:t xml:space="preserve"> group was significantly decreased. Compared with the </w:t>
      </w:r>
      <w:proofErr w:type="spellStart"/>
      <w:r>
        <w:rPr>
          <w:rFonts w:eastAsia="Arial"/>
          <w:color w:val="000000"/>
        </w:rPr>
        <w:t>Model+NC</w:t>
      </w:r>
      <w:proofErr w:type="spellEnd"/>
      <w:r>
        <w:rPr>
          <w:rFonts w:eastAsia="Arial"/>
          <w:color w:val="000000"/>
        </w:rPr>
        <w:t xml:space="preserve"> group, the membrane potential level of the </w:t>
      </w:r>
      <w:proofErr w:type="spellStart"/>
      <w:r>
        <w:rPr>
          <w:rFonts w:eastAsia="Arial"/>
          <w:color w:val="000000"/>
        </w:rPr>
        <w:t>Model+OE</w:t>
      </w:r>
      <w:proofErr w:type="spellEnd"/>
      <w:r>
        <w:rPr>
          <w:rFonts w:eastAsia="Arial"/>
          <w:color w:val="000000"/>
        </w:rPr>
        <w:t xml:space="preserve"> group was still significantly decreased. Apoptosis was significantly reduced.</w:t>
      </w:r>
    </w:p>
    <w:p w14:paraId="032640A6" w14:textId="77777777" w:rsidR="007A1C93" w:rsidRDefault="00000000">
      <w:pPr>
        <w:spacing w:line="360" w:lineRule="auto"/>
        <w:jc w:val="center"/>
        <w:rPr>
          <w:color w:val="000000"/>
        </w:rPr>
      </w:pPr>
      <w:r>
        <w:rPr>
          <w:noProof/>
        </w:rPr>
        <w:drawing>
          <wp:inline distT="0" distB="0" distL="114300" distR="114300" wp14:anchorId="2D825B58" wp14:editId="7CF71090">
            <wp:extent cx="5233670" cy="3308985"/>
            <wp:effectExtent l="0" t="0" r="11430" b="5715"/>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17"/>
                    <a:stretch>
                      <a:fillRect/>
                    </a:stretch>
                  </pic:blipFill>
                  <pic:spPr>
                    <a:xfrm>
                      <a:off x="0" y="0"/>
                      <a:ext cx="5233670" cy="3308985"/>
                    </a:xfrm>
                    <a:prstGeom prst="rect">
                      <a:avLst/>
                    </a:prstGeom>
                    <a:noFill/>
                    <a:ln>
                      <a:noFill/>
                    </a:ln>
                  </pic:spPr>
                </pic:pic>
              </a:graphicData>
            </a:graphic>
          </wp:inline>
        </w:drawing>
      </w:r>
      <w:r>
        <w:rPr>
          <w:rFonts w:eastAsia="Arial"/>
          <w:color w:val="000000"/>
        </w:rPr>
        <w:t>Figure 14 Flow cytometry detection of mitochondrial membrane potential level</w:t>
      </w:r>
    </w:p>
    <w:p w14:paraId="6D8ADFD7" w14:textId="77777777" w:rsidR="007A1C93" w:rsidRDefault="00000000">
      <w:pPr>
        <w:spacing w:line="360" w:lineRule="auto"/>
        <w:ind w:firstLineChars="200" w:firstLine="420"/>
        <w:jc w:val="center"/>
        <w:rPr>
          <w:color w:val="000000"/>
        </w:rPr>
      </w:pPr>
      <w:r>
        <w:rPr>
          <w:rFonts w:eastAsia="Arial"/>
          <w:color w:val="000000"/>
        </w:rPr>
        <w:t>("^" represents a ratio P &lt; 0.05 to Model+3-MA, and "&amp;" represents a ratio P &lt; 0.05 to Model+NC+3-MA)</w:t>
      </w:r>
    </w:p>
    <w:p w14:paraId="03BA3C83" w14:textId="77777777" w:rsidR="007A1C93" w:rsidRDefault="00000000">
      <w:pPr>
        <w:spacing w:line="360" w:lineRule="auto"/>
        <w:rPr>
          <w:b/>
          <w:sz w:val="24"/>
        </w:rPr>
      </w:pPr>
      <w:r>
        <w:rPr>
          <w:rFonts w:eastAsia="Arial"/>
          <w:b/>
          <w:bCs/>
          <w:color w:val="000000"/>
          <w:sz w:val="24"/>
        </w:rPr>
        <w:t>2.15 Fluo-3/AM fluorescence labeling method for flow cytometry detection of Ca</w:t>
      </w:r>
      <w:r>
        <w:rPr>
          <w:rFonts w:eastAsia="Arial"/>
          <w:b/>
          <w:bCs/>
          <w:color w:val="000000"/>
          <w:sz w:val="24"/>
          <w:vertAlign w:val="superscript"/>
        </w:rPr>
        <w:t>2+</w:t>
      </w:r>
      <w:r>
        <w:rPr>
          <w:rFonts w:eastAsia="Arial"/>
          <w:b/>
          <w:bCs/>
          <w:color w:val="000000"/>
          <w:sz w:val="24"/>
        </w:rPr>
        <w:t xml:space="preserve"> homeostasis</w:t>
      </w:r>
    </w:p>
    <w:p w14:paraId="1AB02C4F" w14:textId="77777777" w:rsidR="007A1C93" w:rsidRDefault="00000000">
      <w:pPr>
        <w:spacing w:line="360" w:lineRule="auto"/>
        <w:ind w:firstLineChars="200" w:firstLine="420"/>
        <w:rPr>
          <w:color w:val="000000"/>
        </w:rPr>
      </w:pPr>
      <w:r>
        <w:rPr>
          <w:rFonts w:eastAsia="Arial"/>
          <w:color w:val="000000"/>
        </w:rPr>
        <w:t xml:space="preserve">Human primary chondrocytes were transfected with KLF4 overexpressing lentivirus and then treated with IL-1β. After 24h treatment with autophagy inhibitor 3-MA (5mmol/L), </w:t>
      </w:r>
      <w:r>
        <w:rPr>
          <w:color w:val="000000"/>
        </w:rPr>
        <w:t>Ca</w:t>
      </w:r>
      <w:r>
        <w:rPr>
          <w:b/>
          <w:sz w:val="24"/>
          <w:vertAlign w:val="superscript"/>
        </w:rPr>
        <w:t>2+</w:t>
      </w:r>
      <w:r>
        <w:rPr>
          <w:rFonts w:eastAsia="Arial"/>
          <w:color w:val="000000"/>
        </w:rPr>
        <w:t xml:space="preserve"> homeostasis was detected by Fluo-3/AM fluorescence labeling flow cytometry. The results are shown in Figure 15. Compared with the Model group, the steady-state level of </w:t>
      </w:r>
      <w:r>
        <w:rPr>
          <w:color w:val="000000"/>
        </w:rPr>
        <w:t>Ca</w:t>
      </w:r>
      <w:r>
        <w:rPr>
          <w:b/>
          <w:sz w:val="24"/>
          <w:vertAlign w:val="superscript"/>
        </w:rPr>
        <w:t>2+</w:t>
      </w:r>
      <w:r>
        <w:rPr>
          <w:rFonts w:eastAsia="Arial"/>
          <w:color w:val="000000"/>
        </w:rPr>
        <w:t xml:space="preserve"> in the Model + NC and Model + OE groups decreased significantly. Compared with Model + NC group, the steady-state level of </w:t>
      </w:r>
      <w:r>
        <w:rPr>
          <w:color w:val="000000"/>
        </w:rPr>
        <w:t>Ca</w:t>
      </w:r>
      <w:r>
        <w:rPr>
          <w:b/>
          <w:sz w:val="24"/>
          <w:vertAlign w:val="superscript"/>
        </w:rPr>
        <w:t>2+</w:t>
      </w:r>
      <w:r>
        <w:rPr>
          <w:rFonts w:eastAsia="Arial"/>
          <w:color w:val="000000"/>
        </w:rPr>
        <w:t xml:space="preserve"> + in Model + OE group still decreased significantly, indicating that the </w:t>
      </w:r>
      <w:r>
        <w:rPr>
          <w:rFonts w:eastAsia="Arial"/>
          <w:color w:val="000000"/>
        </w:rPr>
        <w:lastRenderedPageBreak/>
        <w:t>level of apoptosis was significantly reduced</w:t>
      </w:r>
    </w:p>
    <w:p w14:paraId="73A08772" w14:textId="77777777" w:rsidR="007A1C93" w:rsidRDefault="00000000">
      <w:pPr>
        <w:spacing w:line="360" w:lineRule="auto"/>
        <w:ind w:firstLineChars="200" w:firstLine="420"/>
        <w:jc w:val="center"/>
        <w:rPr>
          <w:color w:val="000000"/>
        </w:rPr>
      </w:pPr>
      <w:r>
        <w:rPr>
          <w:noProof/>
        </w:rPr>
        <w:drawing>
          <wp:inline distT="0" distB="0" distL="114300" distR="114300" wp14:anchorId="2D435D19" wp14:editId="0C575A6F">
            <wp:extent cx="5236210" cy="3247390"/>
            <wp:effectExtent l="0" t="0" r="8890" b="381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18"/>
                    <a:stretch>
                      <a:fillRect/>
                    </a:stretch>
                  </pic:blipFill>
                  <pic:spPr>
                    <a:xfrm>
                      <a:off x="0" y="0"/>
                      <a:ext cx="5236210" cy="3247390"/>
                    </a:xfrm>
                    <a:prstGeom prst="rect">
                      <a:avLst/>
                    </a:prstGeom>
                    <a:noFill/>
                    <a:ln>
                      <a:noFill/>
                    </a:ln>
                  </pic:spPr>
                </pic:pic>
              </a:graphicData>
            </a:graphic>
          </wp:inline>
        </w:drawing>
      </w:r>
      <w:r>
        <w:rPr>
          <w:rFonts w:eastAsia="Arial"/>
          <w:color w:val="000000"/>
        </w:rPr>
        <w:t>Figure 15 Fluo-3/AM fluorescence labeling method for flow cytometry detection of Ca</w:t>
      </w:r>
      <w:r>
        <w:rPr>
          <w:rFonts w:eastAsia="Arial"/>
          <w:color w:val="000000"/>
          <w:vertAlign w:val="superscript"/>
        </w:rPr>
        <w:t>2+</w:t>
      </w:r>
      <w:r>
        <w:rPr>
          <w:rFonts w:eastAsia="Arial"/>
          <w:color w:val="000000"/>
        </w:rPr>
        <w:t xml:space="preserve"> homeostasis</w:t>
      </w:r>
    </w:p>
    <w:p w14:paraId="70791BD1" w14:textId="77777777" w:rsidR="007A1C93" w:rsidRDefault="00000000">
      <w:pPr>
        <w:spacing w:line="360" w:lineRule="auto"/>
        <w:ind w:firstLineChars="200" w:firstLine="420"/>
        <w:jc w:val="center"/>
        <w:rPr>
          <w:rFonts w:eastAsia="Arial"/>
          <w:color w:val="000000"/>
        </w:rPr>
      </w:pPr>
      <w:r>
        <w:rPr>
          <w:rFonts w:eastAsia="Arial"/>
          <w:color w:val="000000"/>
        </w:rPr>
        <w:t>("^" represents a ratio P &lt; 0.05 to Model+3-MA, and "&amp;" represents a ratio P &lt; 0.05 to Model+NC+3-MA)</w:t>
      </w:r>
    </w:p>
    <w:p w14:paraId="712D276B" w14:textId="77777777" w:rsidR="007A1C93" w:rsidRDefault="00000000">
      <w:pPr>
        <w:autoSpaceDE w:val="0"/>
        <w:autoSpaceDN w:val="0"/>
        <w:adjustRightInd w:val="0"/>
        <w:spacing w:line="360" w:lineRule="auto"/>
        <w:outlineLvl w:val="1"/>
        <w:rPr>
          <w:rFonts w:eastAsia="Arial"/>
          <w:b/>
          <w:bCs/>
          <w:color w:val="000000"/>
          <w:sz w:val="24"/>
        </w:rPr>
      </w:pPr>
      <w:r>
        <w:rPr>
          <w:rFonts w:eastAsia="Arial"/>
          <w:b/>
          <w:bCs/>
          <w:color w:val="000000"/>
          <w:sz w:val="24"/>
        </w:rPr>
        <w:t>Conclusion</w:t>
      </w:r>
    </w:p>
    <w:p w14:paraId="6C4E35DF" w14:textId="77777777" w:rsidR="007A1C93" w:rsidRDefault="00000000">
      <w:pPr>
        <w:spacing w:line="360" w:lineRule="auto"/>
        <w:ind w:firstLine="480"/>
        <w:rPr>
          <w:sz w:val="24"/>
          <w:szCs w:val="24"/>
        </w:rPr>
      </w:pPr>
      <w:r>
        <w:rPr>
          <w:rFonts w:eastAsia="Arial"/>
          <w:sz w:val="24"/>
          <w:szCs w:val="24"/>
        </w:rPr>
        <w:t>Transcription factor KLF4 can regulate mitochondrial damage and apoptosis by activating chondrocyte autophagy</w:t>
      </w:r>
    </w:p>
    <w:p w14:paraId="0F758B8C" w14:textId="77777777" w:rsidR="007A1C93" w:rsidRDefault="00000000">
      <w:pPr>
        <w:autoSpaceDE w:val="0"/>
        <w:autoSpaceDN w:val="0"/>
        <w:adjustRightInd w:val="0"/>
        <w:spacing w:line="360" w:lineRule="auto"/>
        <w:outlineLvl w:val="1"/>
        <w:rPr>
          <w:b/>
          <w:sz w:val="24"/>
        </w:rPr>
      </w:pPr>
      <w:r>
        <w:rPr>
          <w:rFonts w:eastAsia="Arial"/>
          <w:b/>
          <w:bCs/>
          <w:color w:val="000000"/>
          <w:sz w:val="24"/>
        </w:rPr>
        <w:t>Discussion</w:t>
      </w:r>
    </w:p>
    <w:p w14:paraId="2B77441D" w14:textId="4854C3ED" w:rsidR="007A1C93" w:rsidRDefault="00000000">
      <w:pPr>
        <w:spacing w:line="360" w:lineRule="auto"/>
        <w:ind w:firstLine="480"/>
        <w:rPr>
          <w:rFonts w:eastAsia="Arial"/>
          <w:sz w:val="24"/>
          <w:szCs w:val="24"/>
        </w:rPr>
      </w:pPr>
      <w:r>
        <w:rPr>
          <w:rFonts w:eastAsia="Arial"/>
          <w:sz w:val="24"/>
          <w:szCs w:val="24"/>
        </w:rPr>
        <w:t>OA has now become the third fastest growing disease after diabetes and dementia</w:t>
      </w:r>
      <w:r w:rsidR="00D365DC">
        <w:rPr>
          <w:rFonts w:eastAsia="Arial"/>
          <w:sz w:val="24"/>
          <w:szCs w:val="24"/>
        </w:rPr>
        <w:fldChar w:fldCharType="begin"/>
      </w:r>
      <w:r w:rsidR="00104BE4">
        <w:rPr>
          <w:rFonts w:eastAsia="Arial"/>
          <w:sz w:val="24"/>
          <w:szCs w:val="24"/>
        </w:rPr>
        <w:instrText xml:space="preserve"> ADDIN EN.CITE &lt;EndNote&gt;&lt;Cite&gt;&lt;Author&gt;Cao&lt;/Author&gt;&lt;Year&gt;2024&lt;/Year&gt;&lt;RecNum&gt;43&lt;/RecNum&gt;&lt;DisplayText&gt;&lt;style face="superscript"&gt;[9]&lt;/style&gt;&lt;/DisplayText&gt;&lt;record&gt;&lt;rec-number&gt;43&lt;/rec-number&gt;&lt;foreign-keys&gt;&lt;key app="EN" db-id="avfaaezvnr20v0e2zfkxaee9fwrzz5sx02a2" timestamp="1732712909"&gt;43&lt;/key&gt;&lt;/foreign-keys&gt;&lt;ref-type name="Journal Article"&gt;17&lt;/ref-type&gt;&lt;contributors&gt;&lt;authors&gt;&lt;author&gt;Cao, Fan&lt;/author&gt;&lt;author&gt;Xu, Zhiwei&lt;/author&gt;&lt;author&gt;Li, Xiao-Xiao&lt;/author&gt;&lt;author&gt;Fu, Zi-Yue&lt;/author&gt;&lt;author&gt;Han, Rong-Ying&lt;/author&gt;&lt;author&gt;Zhang, Jun-Lin&lt;/author&gt;&lt;author&gt;Wang, Peng&lt;/author&gt;&lt;author&gt;Hou, Shengping&lt;/author&gt;&lt;author&gt;Pan, Hai-Feng&lt;/author&gt;&lt;/authors&gt;&lt;/contributors&gt;&lt;titles&gt;&lt;title&gt;Trends and cross-country inequalities in the global burden of osteoarthritis, 1990–2019: A population-based study&lt;/title&gt;&lt;secondary-title&gt;Ageing Research Reviews&lt;/secondary-title&gt;&lt;/titles&gt;&lt;periodical&gt;&lt;full-title&gt;Ageing Research Reviews&lt;/full-title&gt;&lt;/periodical&gt;&lt;volume&gt;99&lt;/volume&gt;&lt;section&gt;102382&lt;/section&gt;&lt;dates&gt;&lt;year&gt;2024&lt;/year&gt;&lt;/dates&gt;&lt;isbn&gt;15681637&lt;/isbn&gt;&lt;urls&gt;&lt;/urls&gt;&lt;electronic-resource-num&gt;10.1016/j.arr.2024.102382&lt;/electronic-resource-num&gt;&lt;/record&gt;&lt;/Cite&gt;&lt;/EndNote&gt;</w:instrText>
      </w:r>
      <w:r w:rsidR="00D365DC">
        <w:rPr>
          <w:rFonts w:eastAsia="Arial"/>
          <w:sz w:val="24"/>
          <w:szCs w:val="24"/>
        </w:rPr>
        <w:fldChar w:fldCharType="separate"/>
      </w:r>
      <w:r w:rsidR="00104BE4" w:rsidRPr="00104BE4">
        <w:rPr>
          <w:rFonts w:eastAsia="Arial"/>
          <w:noProof/>
          <w:sz w:val="24"/>
          <w:szCs w:val="24"/>
          <w:vertAlign w:val="superscript"/>
        </w:rPr>
        <w:t>[9]</w:t>
      </w:r>
      <w:r w:rsidR="00D365DC">
        <w:rPr>
          <w:rFonts w:eastAsia="Arial"/>
          <w:sz w:val="24"/>
          <w:szCs w:val="24"/>
        </w:rPr>
        <w:fldChar w:fldCharType="end"/>
      </w:r>
      <w:r>
        <w:rPr>
          <w:rFonts w:eastAsia="Arial"/>
          <w:sz w:val="24"/>
          <w:szCs w:val="24"/>
        </w:rPr>
        <w:t>. The World Health Organization lists OA, cardiovascular disease and cancer as the "three killers" threatening human health, and predicts that China will become the country with the largest number of OA patients in the world</w:t>
      </w:r>
      <w:r w:rsidR="00D365DC">
        <w:rPr>
          <w:rFonts w:eastAsia="Arial"/>
          <w:sz w:val="24"/>
          <w:szCs w:val="24"/>
        </w:rPr>
        <w:fldChar w:fldCharType="begin"/>
      </w:r>
      <w:r w:rsidR="00104BE4">
        <w:rPr>
          <w:rFonts w:eastAsia="Arial"/>
          <w:sz w:val="24"/>
          <w:szCs w:val="24"/>
        </w:rPr>
        <w:instrText xml:space="preserve"> ADDIN EN.CITE &lt;EndNote&gt;&lt;Cite&gt;&lt;Author&gt;Cui&lt;/Author&gt;&lt;Year&gt;2020&lt;/Year&gt;&lt;RecNum&gt;45&lt;/RecNum&gt;&lt;DisplayText&gt;&lt;style face="superscript"&gt;[10]&lt;/style&gt;&lt;/DisplayText&gt;&lt;record&gt;&lt;rec-number&gt;45&lt;/rec-number&gt;&lt;foreign-keys&gt;&lt;key app="EN" db-id="avfaaezvnr20v0e2zfkxaee9fwrzz5sx02a2" timestamp="1732712972"&gt;45&lt;/key&gt;&lt;/foreign-keys&gt;&lt;ref-type name="Journal Article"&gt;17&lt;/ref-type&gt;&lt;contributors&gt;&lt;authors&gt;&lt;author&gt;Cui, Aiyong&lt;/author&gt;&lt;author&gt;Li, Huizi&lt;/author&gt;&lt;author&gt;Wang, Dawei&lt;/author&gt;&lt;author&gt;Zhong, Junlong&lt;/author&gt;&lt;author&gt;Chen, Yufeng&lt;/author&gt;&lt;author&gt;Lu, Huading&lt;/author&gt;&lt;/authors&gt;&lt;/contributors&gt;&lt;titles&gt;&lt;title&gt;Global, regional prevalence, incidence and risk factors of knee osteoarthritis in population-based studies&lt;/title&gt;&lt;secondary-title&gt;EClinicalMedicine&lt;/secondary-title&gt;&lt;/titles&gt;&lt;periodical&gt;&lt;full-title&gt;EClinicalMedicine&lt;/full-title&gt;&lt;/periodical&gt;&lt;volume&gt;29-30&lt;/volume&gt;&lt;section&gt;100587&lt;/section&gt;&lt;dates&gt;&lt;year&gt;2020&lt;/year&gt;&lt;/dates&gt;&lt;isbn&gt;25895370&lt;/isbn&gt;&lt;urls&gt;&lt;/urls&gt;&lt;electronic-resource-num&gt;10.1016/j.eclinm.2020.100587&lt;/electronic-resource-num&gt;&lt;/record&gt;&lt;/Cite&gt;&lt;/EndNote&gt;</w:instrText>
      </w:r>
      <w:r w:rsidR="00D365DC">
        <w:rPr>
          <w:rFonts w:eastAsia="Arial"/>
          <w:sz w:val="24"/>
          <w:szCs w:val="24"/>
        </w:rPr>
        <w:fldChar w:fldCharType="separate"/>
      </w:r>
      <w:r w:rsidR="00104BE4" w:rsidRPr="00104BE4">
        <w:rPr>
          <w:rFonts w:eastAsia="Arial"/>
          <w:noProof/>
          <w:sz w:val="24"/>
          <w:szCs w:val="24"/>
          <w:vertAlign w:val="superscript"/>
        </w:rPr>
        <w:t>[10]</w:t>
      </w:r>
      <w:r w:rsidR="00D365DC">
        <w:rPr>
          <w:rFonts w:eastAsia="Arial"/>
          <w:sz w:val="24"/>
          <w:szCs w:val="24"/>
        </w:rPr>
        <w:fldChar w:fldCharType="end"/>
      </w:r>
      <w:r>
        <w:rPr>
          <w:rFonts w:eastAsia="Arial"/>
          <w:sz w:val="24"/>
          <w:szCs w:val="24"/>
        </w:rPr>
        <w:t>. According to the statistics of Tang et al., the proportion of knee osteoarthritis in Chinese population is as high as 8.1%, so the research on the mechanism of OA has become a hot spot at home and abroad</w:t>
      </w:r>
      <w:r w:rsidR="00D365DC">
        <w:rPr>
          <w:rFonts w:eastAsia="Arial"/>
          <w:sz w:val="24"/>
          <w:szCs w:val="24"/>
        </w:rPr>
        <w:fldChar w:fldCharType="begin"/>
      </w:r>
      <w:r w:rsidR="00104BE4">
        <w:rPr>
          <w:rFonts w:eastAsia="Arial"/>
          <w:sz w:val="24"/>
          <w:szCs w:val="24"/>
        </w:rPr>
        <w:instrText xml:space="preserve"> ADDIN EN.CITE &lt;EndNote&gt;&lt;Cite&gt;&lt;Author&gt;Tang&lt;/Author&gt;&lt;Year&gt;2015&lt;/Year&gt;&lt;RecNum&gt;47&lt;/RecNum&gt;&lt;DisplayText&gt;&lt;style face="superscript"&gt;[11]&lt;/style&gt;&lt;/DisplayText&gt;&lt;record&gt;&lt;rec-number&gt;47&lt;/rec-number&gt;&lt;foreign-keys&gt;&lt;key app="EN" db-id="avfaaezvnr20v0e2zfkxaee9fwrzz5sx02a2" timestamp="1732713099"&gt;47&lt;/key&gt;&lt;/foreign-keys&gt;&lt;ref-type name="Journal Article"&gt;17&lt;/ref-type&gt;&lt;contributors&gt;&lt;authors&gt;&lt;author&gt;Tang, X.&lt;/author&gt;&lt;author&gt;Wang, S.&lt;/author&gt;&lt;author&gt;Zhang, Y.&lt;/author&gt;&lt;author&gt;Niu, J.&lt;/author&gt;&lt;author&gt;Tao, K.&lt;/author&gt;&lt;author&gt;Lin, J.&lt;/author&gt;&lt;/authors&gt;&lt;/contributors&gt;&lt;auth-address&gt;[Tang, X.; Tao, K.; Lin, J.] Peking Univ, Peoples Hosp, Arthrit Inst, Beijing 100871, Peoples R China. [Wang, S.] Peking Univ, Hlth Sci Ctr, Sch Publ Hlth, Dept Epidemiol, Beijing 100871, Peoples R China. [Zhang, Y.; Niu, J.] Boston Univ, Sch Med, Boston, MA 02118 USA.&lt;/auth-address&gt;&lt;titles&gt;&lt;title&gt;THE PREVALENCE OF SYMPTOMATIC KNEE OSTEOARTHRITIS IN CHINA: RESULTS FROM CHINA HEALTH AND RETIREMENT LONGITUDINAL STUDY&lt;/title&gt;&lt;secondary-title&gt;Osteoarthritis and Cartilage&lt;/secondary-title&gt;&lt;alt-title&gt;Osteoarthritis Cartilage&lt;/alt-title&gt;&lt;/titles&gt;&lt;periodical&gt;&lt;full-title&gt;Osteoarthritis and Cartilage&lt;/full-title&gt;&lt;/periodical&gt;&lt;pages&gt;A176-A177&lt;/pages&gt;&lt;volume&gt;23&lt;/volume&gt;&lt;keywords&gt;&lt;keyword&gt;Orthopedics&lt;/keyword&gt;&lt;keyword&gt;Rheumatology&lt;/keyword&gt;&lt;/keywords&gt;&lt;dates&gt;&lt;year&gt;2015&lt;/year&gt;&lt;pub-dates&gt;&lt;date&gt;Apr&lt;/date&gt;&lt;/pub-dates&gt;&lt;/dates&gt;&lt;isbn&gt;1063-4584&lt;/isbn&gt;&lt;accession-num&gt;WOS:000355048800301&lt;/accession-num&gt;&lt;work-type&gt;Meeting Abstract&lt;/work-type&gt;&lt;urls&gt;&lt;related-urls&gt;&lt;url&gt;&amp;lt;Go to ISI&amp;gt;://WOS:000355048800301&lt;/url&gt;&lt;/related-urls&gt;&lt;/urls&gt;&lt;electronic-resource-num&gt;10.1016/j.joca.2015.02.949&lt;/electronic-resource-num&gt;&lt;language&gt;English&lt;/language&gt;&lt;/record&gt;&lt;/Cite&gt;&lt;/EndNote&gt;</w:instrText>
      </w:r>
      <w:r w:rsidR="00D365DC">
        <w:rPr>
          <w:rFonts w:eastAsia="Arial"/>
          <w:sz w:val="24"/>
          <w:szCs w:val="24"/>
        </w:rPr>
        <w:fldChar w:fldCharType="separate"/>
      </w:r>
      <w:r w:rsidR="00104BE4" w:rsidRPr="00104BE4">
        <w:rPr>
          <w:rFonts w:eastAsia="Arial"/>
          <w:noProof/>
          <w:sz w:val="24"/>
          <w:szCs w:val="24"/>
          <w:vertAlign w:val="superscript"/>
        </w:rPr>
        <w:t>[11]</w:t>
      </w:r>
      <w:r w:rsidR="00D365DC">
        <w:rPr>
          <w:rFonts w:eastAsia="Arial"/>
          <w:sz w:val="24"/>
          <w:szCs w:val="24"/>
        </w:rPr>
        <w:fldChar w:fldCharType="end"/>
      </w:r>
      <w:r>
        <w:rPr>
          <w:rFonts w:eastAsia="Arial"/>
          <w:sz w:val="24"/>
          <w:szCs w:val="24"/>
        </w:rPr>
        <w:t>.</w:t>
      </w:r>
    </w:p>
    <w:p w14:paraId="197CE69A" w14:textId="139BB302" w:rsidR="007A1C93" w:rsidRDefault="00000000">
      <w:pPr>
        <w:spacing w:line="360" w:lineRule="auto"/>
        <w:ind w:firstLine="480"/>
        <w:rPr>
          <w:rFonts w:eastAsia="Arial"/>
          <w:sz w:val="24"/>
          <w:szCs w:val="24"/>
        </w:rPr>
      </w:pPr>
      <w:r>
        <w:rPr>
          <w:rFonts w:eastAsia="Arial"/>
          <w:sz w:val="24"/>
          <w:szCs w:val="24"/>
        </w:rPr>
        <w:t xml:space="preserve">As the only cellular component in cartilage, chondrocytes are sparsely distributed on the surface of articular cartilage, and their volume only accounts for </w:t>
      </w:r>
      <w:r>
        <w:rPr>
          <w:rFonts w:eastAsia="Arial"/>
          <w:sz w:val="24"/>
          <w:szCs w:val="24"/>
        </w:rPr>
        <w:lastRenderedPageBreak/>
        <w:t>1%-2% of the volume of articular cartilage, but they are responsible for regulating the metabolism of the whole cartilage</w:t>
      </w:r>
      <w:r w:rsidR="0014037C">
        <w:rPr>
          <w:rFonts w:eastAsia="Arial"/>
          <w:sz w:val="24"/>
          <w:szCs w:val="24"/>
        </w:rPr>
        <w:fldChar w:fldCharType="begin"/>
      </w:r>
      <w:r w:rsidR="00104BE4">
        <w:rPr>
          <w:rFonts w:eastAsia="Arial"/>
          <w:sz w:val="24"/>
          <w:szCs w:val="24"/>
        </w:rPr>
        <w:instrText xml:space="preserve"> ADDIN EN.CITE &lt;EndNote&gt;&lt;Cite&gt;&lt;Author&gt;Michelacci&lt;/Author&gt;&lt;Year&gt;2023&lt;/Year&gt;&lt;RecNum&gt;50&lt;/RecNum&gt;&lt;DisplayText&gt;&lt;style face="superscript"&gt;[12]&lt;/style&gt;&lt;/DisplayText&gt;&lt;record&gt;&lt;rec-number&gt;50&lt;/rec-number&gt;&lt;foreign-keys&gt;&lt;key app="EN" db-id="avfaaezvnr20v0e2zfkxaee9fwrzz5sx02a2" timestamp="1732713182"&gt;50&lt;/key&gt;&lt;/foreign-keys&gt;&lt;ref-type name="Journal Article"&gt;17&lt;/ref-type&gt;&lt;contributors&gt;&lt;authors&gt;&lt;author&gt;Michelacci, Yara M.&lt;/author&gt;&lt;author&gt;Baccarin, Raquel Y. A.&lt;/author&gt;&lt;author&gt;Rodrigues, Nubia N. P.&lt;/author&gt;&lt;/authors&gt;&lt;/contributors&gt;&lt;titles&gt;&lt;title&gt;Chondrocyte Homeostasis and Differentiation: Transcriptional Control and Signaling in Healthy and Osteoarthritic Conditions&lt;/title&gt;&lt;secondary-title&gt;Life&lt;/secondary-title&gt;&lt;/titles&gt;&lt;periodical&gt;&lt;full-title&gt;Life&lt;/full-title&gt;&lt;/periodical&gt;&lt;volume&gt;13&lt;/volume&gt;&lt;number&gt;7&lt;/number&gt;&lt;section&gt;1460&lt;/section&gt;&lt;dates&gt;&lt;year&gt;2023&lt;/year&gt;&lt;/dates&gt;&lt;isbn&gt;2075-1729&lt;/isbn&gt;&lt;urls&gt;&lt;/urls&gt;&lt;electronic-resource-num&gt;10.3390/life13071460&lt;/electronic-resource-num&gt;&lt;/record&gt;&lt;/Cite&gt;&lt;/EndNote&gt;</w:instrText>
      </w:r>
      <w:r w:rsidR="0014037C">
        <w:rPr>
          <w:rFonts w:eastAsia="Arial"/>
          <w:sz w:val="24"/>
          <w:szCs w:val="24"/>
        </w:rPr>
        <w:fldChar w:fldCharType="separate"/>
      </w:r>
      <w:r w:rsidR="00104BE4" w:rsidRPr="00104BE4">
        <w:rPr>
          <w:rFonts w:eastAsia="Arial"/>
          <w:noProof/>
          <w:sz w:val="24"/>
          <w:szCs w:val="24"/>
          <w:vertAlign w:val="superscript"/>
        </w:rPr>
        <w:t>[12]</w:t>
      </w:r>
      <w:r w:rsidR="0014037C">
        <w:rPr>
          <w:rFonts w:eastAsia="Arial"/>
          <w:sz w:val="24"/>
          <w:szCs w:val="24"/>
        </w:rPr>
        <w:fldChar w:fldCharType="end"/>
      </w:r>
      <w:r>
        <w:rPr>
          <w:rFonts w:eastAsia="Arial"/>
          <w:sz w:val="24"/>
          <w:szCs w:val="24"/>
        </w:rPr>
        <w:t>. Researchers' research on the mechanism of OA naturally focuses on the study of signal pathways under the physiological and pathological conditions of chondrocytes. For example, it has been discovered that CCAAT/enhancer binding proteins β (C/EBPβ) may be involved in osteoarthritis through interaction with Runx2</w:t>
      </w:r>
      <w:r w:rsidR="0014037C">
        <w:rPr>
          <w:rFonts w:eastAsia="Arial"/>
          <w:sz w:val="24"/>
          <w:szCs w:val="24"/>
        </w:rPr>
        <w:fldChar w:fldCharType="begin"/>
      </w:r>
      <w:r w:rsidR="00104BE4">
        <w:rPr>
          <w:rFonts w:eastAsia="Arial"/>
          <w:sz w:val="24"/>
          <w:szCs w:val="24"/>
        </w:rPr>
        <w:instrText xml:space="preserve"> ADDIN EN.CITE &lt;EndNote&gt;&lt;Cite&gt;&lt;Author&gt;Xiao&lt;/Author&gt;&lt;Year&gt;2019&lt;/Year&gt;&lt;RecNum&gt;52&lt;/RecNum&gt;&lt;DisplayText&gt;&lt;style face="superscript"&gt;[13]&lt;/style&gt;&lt;/DisplayText&gt;&lt;record&gt;&lt;rec-number&gt;52&lt;/rec-number&gt;&lt;foreign-keys&gt;&lt;key app="EN" db-id="avfaaezvnr20v0e2zfkxaee9fwrzz5sx02a2" timestamp="1732713272"&gt;52&lt;/key&gt;&lt;/foreign-keys&gt;&lt;ref-type name="Journal Article"&gt;17&lt;/ref-type&gt;&lt;contributors&gt;&lt;authors&gt;&lt;author&gt;Xiao, Di&lt;/author&gt;&lt;author&gt;Bi, Ruiye&lt;/author&gt;&lt;author&gt;Liu, Xianwen&lt;/author&gt;&lt;author&gt;Mei, Jie&lt;/author&gt;&lt;author&gt;Jiang, Nan&lt;/author&gt;&lt;author&gt;Zhu, Songsong&lt;/author&gt;&lt;/authors&gt;&lt;/contributors&gt;&lt;titles&gt;&lt;title&gt;Notch Signaling Regulates MMP-13 Expression via Runx2 in Chondrocytes&lt;/title&gt;&lt;secondary-title&gt;Scientific Reports&lt;/secondary-title&gt;&lt;/titles&gt;&lt;periodical&gt;&lt;full-title&gt;Scientific Reports&lt;/full-title&gt;&lt;/periodical&gt;&lt;volume&gt;9&lt;/volume&gt;&lt;number&gt;1&lt;/number&gt;&lt;dates&gt;&lt;year&gt;2019&lt;/year&gt;&lt;/dates&gt;&lt;isbn&gt;2045-2322&lt;/isbn&gt;&lt;urls&gt;&lt;/urls&gt;&lt;electronic-resource-num&gt;10.1038/s41598-019-52125-5&lt;/electronic-resource-num&gt;&lt;/record&gt;&lt;/Cite&gt;&lt;/EndNote&gt;</w:instrText>
      </w:r>
      <w:r w:rsidR="0014037C">
        <w:rPr>
          <w:rFonts w:eastAsia="Arial"/>
          <w:sz w:val="24"/>
          <w:szCs w:val="24"/>
        </w:rPr>
        <w:fldChar w:fldCharType="separate"/>
      </w:r>
      <w:r w:rsidR="00104BE4" w:rsidRPr="00104BE4">
        <w:rPr>
          <w:rFonts w:eastAsia="Arial"/>
          <w:noProof/>
          <w:sz w:val="24"/>
          <w:szCs w:val="24"/>
          <w:vertAlign w:val="superscript"/>
        </w:rPr>
        <w:t>[13]</w:t>
      </w:r>
      <w:r w:rsidR="0014037C">
        <w:rPr>
          <w:rFonts w:eastAsia="Arial"/>
          <w:sz w:val="24"/>
          <w:szCs w:val="24"/>
        </w:rPr>
        <w:fldChar w:fldCharType="end"/>
      </w:r>
      <w:r>
        <w:rPr>
          <w:rFonts w:eastAsia="Arial"/>
          <w:sz w:val="24"/>
          <w:szCs w:val="24"/>
        </w:rPr>
        <w:t>, members of the NFAT transcription family are involved in maintaining the homeostasis of articular chondrocytes</w:t>
      </w:r>
      <w:r w:rsidR="0014037C">
        <w:rPr>
          <w:rFonts w:eastAsia="Arial"/>
          <w:sz w:val="24"/>
          <w:szCs w:val="24"/>
        </w:rPr>
        <w:fldChar w:fldCharType="begin">
          <w:fldData xml:space="preserve">PEVuZE5vdGU+PENpdGU+PEF1dGhvcj5UYXJkaWY8L0F1dGhvcj48WWVhcj4yMDEzPC9ZZWFyPjxS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==
</w:fldData>
        </w:fldChar>
      </w:r>
      <w:r w:rsidR="00104BE4">
        <w:rPr>
          <w:rFonts w:eastAsia="Arial"/>
          <w:sz w:val="24"/>
          <w:szCs w:val="24"/>
        </w:rPr>
        <w:instrText xml:space="preserve"> ADDIN EN.CITE </w:instrText>
      </w:r>
      <w:r w:rsidR="00104BE4">
        <w:rPr>
          <w:rFonts w:eastAsia="Arial"/>
          <w:sz w:val="24"/>
          <w:szCs w:val="24"/>
        </w:rPr>
        <w:fldChar w:fldCharType="begin">
          <w:fldData xml:space="preserve">PEVuZE5vdGU+PENpdGU+PEF1dGhvcj5UYXJkaWY8L0F1dGhvcj48WWVhcj4yMDEzPC9ZZWFyPjxS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==
</w:fldData>
        </w:fldChar>
      </w:r>
      <w:r w:rsidR="00104BE4">
        <w:rPr>
          <w:rFonts w:eastAsia="Arial"/>
          <w:sz w:val="24"/>
          <w:szCs w:val="24"/>
        </w:rPr>
        <w:instrText xml:space="preserve"> ADDIN EN.CITE.DATA </w:instrText>
      </w:r>
      <w:r w:rsidR="00104BE4">
        <w:rPr>
          <w:rFonts w:eastAsia="Arial"/>
          <w:sz w:val="24"/>
          <w:szCs w:val="24"/>
        </w:rPr>
      </w:r>
      <w:r w:rsidR="00104BE4">
        <w:rPr>
          <w:rFonts w:eastAsia="Arial"/>
          <w:sz w:val="24"/>
          <w:szCs w:val="24"/>
        </w:rPr>
        <w:fldChar w:fldCharType="end"/>
      </w:r>
      <w:r w:rsidR="0014037C">
        <w:rPr>
          <w:rFonts w:eastAsia="Arial"/>
          <w:sz w:val="24"/>
          <w:szCs w:val="24"/>
        </w:rPr>
      </w:r>
      <w:r w:rsidR="0014037C">
        <w:rPr>
          <w:rFonts w:eastAsia="Arial"/>
          <w:sz w:val="24"/>
          <w:szCs w:val="24"/>
        </w:rPr>
        <w:fldChar w:fldCharType="separate"/>
      </w:r>
      <w:r w:rsidR="00104BE4" w:rsidRPr="00104BE4">
        <w:rPr>
          <w:rFonts w:eastAsia="Arial"/>
          <w:noProof/>
          <w:sz w:val="24"/>
          <w:szCs w:val="24"/>
          <w:vertAlign w:val="superscript"/>
        </w:rPr>
        <w:t>[14]</w:t>
      </w:r>
      <w:r w:rsidR="0014037C">
        <w:rPr>
          <w:rFonts w:eastAsia="Arial"/>
          <w:sz w:val="24"/>
          <w:szCs w:val="24"/>
        </w:rPr>
        <w:fldChar w:fldCharType="end"/>
      </w:r>
      <w:r>
        <w:rPr>
          <w:rFonts w:eastAsia="Arial"/>
          <w:sz w:val="24"/>
          <w:szCs w:val="24"/>
        </w:rPr>
        <w:t>, and the pathogenic role of p63 in osteoarthritis</w:t>
      </w:r>
      <w:r w:rsidR="005A7E5C">
        <w:rPr>
          <w:rFonts w:eastAsia="Arial"/>
          <w:sz w:val="24"/>
          <w:szCs w:val="24"/>
        </w:rPr>
        <w:fldChar w:fldCharType="begin"/>
      </w:r>
      <w:r w:rsidR="005A7E5C">
        <w:rPr>
          <w:rFonts w:eastAsia="Arial"/>
          <w:sz w:val="24"/>
          <w:szCs w:val="24"/>
        </w:rPr>
        <w:instrText xml:space="preserve"> ADDIN EN.CITE &lt;EndNote&gt;&lt;Cite&gt;&lt;Author&gt;Zhang&lt;/Author&gt;&lt;Year&gt;2021&lt;/Year&gt;&lt;RecNum&gt;56&lt;/RecNum&gt;&lt;DisplayText&gt;&lt;style face="superscript"&gt;[15]&lt;/style&gt;&lt;/DisplayText&gt;&lt;record&gt;&lt;rec-number&gt;56&lt;/rec-number&gt;&lt;foreign-keys&gt;&lt;key app="EN" db-id="avfaaezvnr20v0e2zfkxaee9fwrzz5sx02a2" timestamp="1732713455"&gt;56&lt;/key&gt;&lt;key app="ENWeb" db-id=""&gt;0&lt;/key&gt;&lt;/foreign-keys&gt;&lt;ref-type name="Journal Article"&gt;17&lt;/ref-type&gt;&lt;contributors&gt;&lt;authors&gt;&lt;author&gt;Zhang, Xin-Xin&lt;/author&gt;&lt;author&gt;He, Shi-Hao&lt;/author&gt;&lt;author&gt;Liang, Xu&lt;/author&gt;&lt;author&gt;Li, Wei&lt;/author&gt;&lt;author&gt;Li, Tian-Fang&lt;/author&gt;&lt;author&gt;Li, Dai-Feng&lt;/author&gt;&lt;/authors&gt;&lt;/contributors&gt;&lt;titles&gt;&lt;title&gt;Aging, Cell Senescence, the Pathogenesis and Targeted Therapies of Osteoarthritis&lt;/title&gt;&lt;secondary-title&gt;Frontiers in Pharmacology&lt;/secondary-title&gt;&lt;/titles&gt;&lt;periodical&gt;&lt;full-title&gt;Frontiers in Pharmacology&lt;/full-title&gt;&lt;/periodical&gt;&lt;volume&gt;12&lt;/volume&gt;&lt;dates&gt;&lt;year&gt;2021&lt;/year&gt;&lt;/dates&gt;&lt;isbn&gt;1663-9812&lt;/isbn&gt;&lt;urls&gt;&lt;/urls&gt;&lt;electronic-resource-num&gt;10.3389/fphar.2021.728100&lt;/electronic-resource-num&gt;&lt;/record&gt;&lt;/Cite&gt;&lt;/EndNote&gt;</w:instrText>
      </w:r>
      <w:r w:rsidR="005A7E5C">
        <w:rPr>
          <w:rFonts w:eastAsia="Arial"/>
          <w:sz w:val="24"/>
          <w:szCs w:val="24"/>
        </w:rPr>
        <w:fldChar w:fldCharType="separate"/>
      </w:r>
      <w:r w:rsidR="005A7E5C" w:rsidRPr="005A7E5C">
        <w:rPr>
          <w:rFonts w:eastAsia="Arial"/>
          <w:noProof/>
          <w:sz w:val="24"/>
          <w:szCs w:val="24"/>
          <w:vertAlign w:val="superscript"/>
        </w:rPr>
        <w:t>[15]</w:t>
      </w:r>
      <w:r w:rsidR="005A7E5C">
        <w:rPr>
          <w:rFonts w:eastAsia="Arial"/>
          <w:sz w:val="24"/>
          <w:szCs w:val="24"/>
        </w:rPr>
        <w:fldChar w:fldCharType="end"/>
      </w:r>
      <w:r>
        <w:rPr>
          <w:rFonts w:eastAsia="Arial"/>
          <w:sz w:val="24"/>
          <w:szCs w:val="24"/>
        </w:rPr>
        <w:t>, and the mechanism of Notch signaling stimulating the expression of Col10a1, MMP-13 and vascular endothelial growth factor (VEGF) discovered by Sugita and Hosaka et al</w:t>
      </w:r>
      <w:r w:rsidR="005A7E5C">
        <w:rPr>
          <w:rFonts w:eastAsia="Arial"/>
          <w:sz w:val="24"/>
          <w:szCs w:val="24"/>
        </w:rPr>
        <w:fldChar w:fldCharType="begin"/>
      </w:r>
      <w:r w:rsidR="005A7E5C">
        <w:rPr>
          <w:rFonts w:eastAsia="Arial"/>
          <w:sz w:val="24"/>
          <w:szCs w:val="24"/>
        </w:rPr>
        <w:instrText xml:space="preserve"> ADDIN EN.CITE &lt;EndNote&gt;&lt;Cite&gt;&lt;Author&gt;Hosaka&lt;/Author&gt;&lt;Year&gt;2011&lt;/Year&gt;&lt;RecNum&gt;69&lt;/RecNum&gt;&lt;DisplayText&gt;&lt;style face="superscript"&gt;[16]&lt;/style&gt;&lt;/DisplayText&gt;&lt;record&gt;&lt;rec-number&gt;69&lt;/rec-number&gt;&lt;foreign-keys&gt;&lt;key app="EN" db-id="avfaaezvnr20v0e2zfkxaee9fwrzz5sx02a2" timestamp="1732716067"&gt;69&lt;/key&gt;&lt;/foreign-keys&gt;&lt;ref-type name="Journal Article"&gt;17&lt;/ref-type&gt;&lt;contributors&gt;&lt;authors&gt;&lt;author&gt;Hosaka, Y.&lt;/author&gt;&lt;author&gt;Saito, T.&lt;/author&gt;&lt;author&gt;Sugita, S.&lt;/author&gt;&lt;author&gt;Fukai, A.&lt;/author&gt;&lt;author&gt;Hikata, T.&lt;/author&gt;&lt;author&gt;Akiyama, H.&lt;/author&gt;&lt;author&gt;Nakamura, T.&lt;/author&gt;&lt;author&gt;Nakamura, K.&lt;/author&gt;&lt;author&gt;Chung, U. I.&lt;/author&gt;&lt;author&gt;Kawaguchi, H.&lt;/author&gt;&lt;/authors&gt;&lt;/contributors&gt;&lt;auth-address&gt;[Hosaka, Y.; Saito, T.; Sugita, S.; Fukai, A.; Nakamura, K.; Kawaguchi, H.] Univ Tokyo, Grad Sch Med, Tokyo, Japan. [Hikata, T.] Keio Univ, Tokyo, Japan. [Akiyama, H.; Nakamura, T.] Kyoto Univ, Kyoto, Japan. [Chung, U-I.] Univ Tokyo, Ctr Dis Biol &amp;amp; Integrat Med, Tokyo, Japan. Tokyo&lt;/auth-address&gt;&lt;titles&gt;&lt;title&gt;NOTCH/RBPJ/HES1 SIGNAL IN CHONDROCYTES MODULATES TERMINAL STAGE OF ENDOCHONDRAL OSSIFICATION DURING SKELETAL GROWTH AND OSTEOARTHRITIS DEVELOPMENT&lt;/title&gt;&lt;secondary-title&gt;Osteoarthritis and Cartilage&lt;/secondary-title&gt;&lt;alt-title&gt;Osteoarthritis Cartilage&lt;/alt-title&gt;&lt;/titles&gt;&lt;periodical&gt;&lt;full-title&gt;Osteoarthritis and Cartilage&lt;/full-title&gt;&lt;/periodical&gt;&lt;pages&gt;S38-S38&lt;/pages&gt;&lt;volume&gt;19&lt;/volume&gt;&lt;keywords&gt;&lt;keyword&gt;Orthopedics&lt;/keyword&gt;&lt;keyword&gt;Rheumatology&lt;/keyword&gt;&lt;/keywords&gt;&lt;dates&gt;&lt;year&gt;2011&lt;/year&gt;&lt;pub-dates&gt;&lt;date&gt;Sep&lt;/date&gt;&lt;/pub-dates&gt;&lt;/dates&gt;&lt;isbn&gt;1063-4584&lt;/isbn&gt;&lt;accession-num&gt;WOS:000209001600094&lt;/accession-num&gt;&lt;work-type&gt;Meeting Abstract&lt;/work-type&gt;&lt;urls&gt;&lt;related-urls&gt;&lt;url&gt;&amp;lt;Go to ISI&amp;gt;://WOS:000209001600094&lt;/url&gt;&lt;/related-urls&gt;&lt;/urls&gt;&lt;electronic-resource-num&gt;10.1016/s1063-4584(11)60098-8&lt;/electronic-resource-num&gt;&lt;language&gt;English&lt;/language&gt;&lt;/record&gt;&lt;/Cite&gt;&lt;/EndNote&gt;</w:instrText>
      </w:r>
      <w:r w:rsidR="005A7E5C">
        <w:rPr>
          <w:rFonts w:eastAsia="Arial"/>
          <w:sz w:val="24"/>
          <w:szCs w:val="24"/>
        </w:rPr>
        <w:fldChar w:fldCharType="separate"/>
      </w:r>
      <w:r w:rsidR="005A7E5C" w:rsidRPr="005A7E5C">
        <w:rPr>
          <w:rFonts w:eastAsia="Arial"/>
          <w:noProof/>
          <w:sz w:val="24"/>
          <w:szCs w:val="24"/>
          <w:vertAlign w:val="superscript"/>
        </w:rPr>
        <w:t>[16]</w:t>
      </w:r>
      <w:r w:rsidR="005A7E5C">
        <w:rPr>
          <w:rFonts w:eastAsia="Arial"/>
          <w:sz w:val="24"/>
          <w:szCs w:val="24"/>
        </w:rPr>
        <w:fldChar w:fldCharType="end"/>
      </w:r>
      <w:r>
        <w:rPr>
          <w:rFonts w:eastAsia="Arial"/>
          <w:sz w:val="24"/>
          <w:szCs w:val="24"/>
        </w:rPr>
        <w:t>. However, most of the research methods of the above achievements are to establish animal models, and whether they are universal in human chondrocytes needs to be further verified.</w:t>
      </w:r>
    </w:p>
    <w:p w14:paraId="67A76228" w14:textId="445597A1" w:rsidR="007A1C93" w:rsidRDefault="00000000">
      <w:pPr>
        <w:spacing w:line="360" w:lineRule="auto"/>
        <w:ind w:firstLine="480"/>
        <w:rPr>
          <w:sz w:val="24"/>
          <w:szCs w:val="24"/>
        </w:rPr>
      </w:pPr>
      <w:r>
        <w:rPr>
          <w:rFonts w:eastAsia="Arial"/>
          <w:sz w:val="24"/>
          <w:szCs w:val="24"/>
        </w:rPr>
        <w:t>KLF4 exists in most tissues and cells, regulates various cell proliferation and differentiation, cycle apoptosis, and participates in embryonic development and tumor development</w:t>
      </w:r>
      <w:r w:rsidR="005A7E5C">
        <w:rPr>
          <w:rFonts w:eastAsia="Arial"/>
          <w:sz w:val="24"/>
          <w:szCs w:val="24"/>
        </w:rPr>
        <w:fldChar w:fldCharType="begin">
          <w:fldData xml:space="preserve">PEVuZE5vdGU+PENpdGU+PEF1dGhvcj5UaWFuPC9BdXRob3I+PFllYXI+MjAxNzwvWWVhcj48UmVj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</w:fldData>
        </w:fldChar>
      </w:r>
      <w:r w:rsidR="005A7E5C">
        <w:rPr>
          <w:rFonts w:eastAsia="Arial"/>
          <w:sz w:val="24"/>
          <w:szCs w:val="24"/>
        </w:rPr>
        <w:instrText xml:space="preserve"> ADDIN EN.CITE </w:instrText>
      </w:r>
      <w:r w:rsidR="005A7E5C">
        <w:rPr>
          <w:rFonts w:eastAsia="Arial"/>
          <w:sz w:val="24"/>
          <w:szCs w:val="24"/>
        </w:rPr>
        <w:fldChar w:fldCharType="begin">
          <w:fldData xml:space="preserve">PEVuZE5vdGU+PENpdGU+PEF1dGhvcj5UaWFuPC9BdXRob3I+PFllYXI+MjAxNzwvWWVhcj48UmVj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</w:fldData>
        </w:fldChar>
      </w:r>
      <w:r w:rsidR="005A7E5C">
        <w:rPr>
          <w:rFonts w:eastAsia="Arial"/>
          <w:sz w:val="24"/>
          <w:szCs w:val="24"/>
        </w:rPr>
        <w:instrText xml:space="preserve"> ADDIN EN.CITE.DATA </w:instrText>
      </w:r>
      <w:r w:rsidR="005A7E5C">
        <w:rPr>
          <w:rFonts w:eastAsia="Arial"/>
          <w:sz w:val="24"/>
          <w:szCs w:val="24"/>
        </w:rPr>
      </w:r>
      <w:r w:rsidR="005A7E5C">
        <w:rPr>
          <w:rFonts w:eastAsia="Arial"/>
          <w:sz w:val="24"/>
          <w:szCs w:val="24"/>
        </w:rPr>
        <w:fldChar w:fldCharType="end"/>
      </w:r>
      <w:r w:rsidR="005A7E5C">
        <w:rPr>
          <w:rFonts w:eastAsia="Arial"/>
          <w:sz w:val="24"/>
          <w:szCs w:val="24"/>
        </w:rPr>
        <w:fldChar w:fldCharType="separate"/>
      </w:r>
      <w:r w:rsidR="005A7E5C" w:rsidRPr="005A7E5C">
        <w:rPr>
          <w:rFonts w:eastAsia="Arial"/>
          <w:noProof/>
          <w:sz w:val="24"/>
          <w:szCs w:val="24"/>
          <w:vertAlign w:val="superscript"/>
        </w:rPr>
        <w:t>[17, 18]</w:t>
      </w:r>
      <w:r w:rsidR="005A7E5C">
        <w:rPr>
          <w:rFonts w:eastAsia="Arial"/>
          <w:sz w:val="24"/>
          <w:szCs w:val="24"/>
        </w:rPr>
        <w:fldChar w:fldCharType="end"/>
      </w:r>
      <w:r>
        <w:rPr>
          <w:rFonts w:eastAsia="Arial"/>
          <w:sz w:val="24"/>
          <w:szCs w:val="24"/>
        </w:rPr>
        <w:t>. With the discovery of the effect of KLF4 on bone development, its effect on cartilage has been gradually reported</w:t>
      </w:r>
      <w:r w:rsidR="005A7E5C">
        <w:rPr>
          <w:rFonts w:eastAsia="Arial"/>
          <w:sz w:val="24"/>
          <w:szCs w:val="24"/>
        </w:rPr>
        <w:fldChar w:fldCharType="begin"/>
      </w:r>
      <w:r w:rsidR="005A7E5C">
        <w:rPr>
          <w:rFonts w:eastAsia="Arial"/>
          <w:sz w:val="24"/>
          <w:szCs w:val="24"/>
        </w:rPr>
        <w:instrText xml:space="preserve"> ADDIN EN.CITE &lt;EndNote&gt;&lt;Cite&gt;&lt;Author&gt;Cai&lt;/Author&gt;&lt;Year&gt;2023&lt;/Year&gt;&lt;RecNum&gt;77&lt;/RecNum&gt;&lt;DisplayText&gt;&lt;style face="superscript"&gt;[19]&lt;/style&gt;&lt;/DisplayText&gt;&lt;record&gt;&lt;rec-number&gt;77&lt;/rec-number&gt;&lt;foreign-keys&gt;&lt;key app="EN" db-id="avfaaezvnr20v0e2zfkxaee9fwrzz5sx02a2" timestamp="1732716341"&gt;77&lt;/key&gt;&lt;/foreign-keys&gt;&lt;ref-type name="Journal Article"&gt;17&lt;/ref-type&gt;&lt;contributors&gt;&lt;authors&gt;&lt;author&gt;Cai, Shufang&lt;/author&gt;&lt;author&gt;Wang, Xiaoyu&lt;/author&gt;&lt;author&gt;Xu, Rong&lt;/author&gt;&lt;author&gt;Liang, Ziyun&lt;/author&gt;&lt;author&gt;Zhu, Qi&lt;/author&gt;&lt;author&gt;Chen, Meilin&lt;/author&gt;&lt;author&gt;Lin, Zhuhu&lt;/author&gt;&lt;author&gt;Li, Chenggan&lt;/author&gt;&lt;author&gt;Duo, Tianqi&lt;/author&gt;&lt;author&gt;Tong, Xian&lt;/author&gt;&lt;author&gt;Li, Enru&lt;/author&gt;&lt;author&gt;He, Zuyong&lt;/author&gt;&lt;author&gt;Liu, Xiaohong&lt;/author&gt;&lt;author&gt;Chen, Yaosheng&lt;/author&gt;&lt;author&gt;Mo, Delin&lt;/author&gt;&lt;/authors&gt;&lt;/contributors&gt;&lt;titles&gt;&lt;title&gt;KLF4 regulates skeletal muscle development and regeneration by directly targeting P57 and Myomixer&lt;/title&gt;&lt;secondary-title&gt;Cell Death &amp;amp; Disease&lt;/secondary-title&gt;&lt;/titles&gt;&lt;periodical&gt;&lt;full-title&gt;Cell Death &amp;amp; Disease&lt;/full-title&gt;&lt;/periodical&gt;&lt;volume&gt;14&lt;/volume&gt;&lt;number&gt;9&lt;/number&gt;&lt;dates&gt;&lt;year&gt;2023&lt;/year&gt;&lt;/dates&gt;&lt;isbn&gt;2041-4889&lt;/isbn&gt;&lt;urls&gt;&lt;/urls&gt;&lt;electronic-resource-num&gt;10.1038/s41419-023-06136-w&lt;/electronic-resource-num&gt;&lt;/record&gt;&lt;/Cite&gt;&lt;/EndNote&gt;</w:instrText>
      </w:r>
      <w:r w:rsidR="005A7E5C">
        <w:rPr>
          <w:rFonts w:eastAsia="Arial"/>
          <w:sz w:val="24"/>
          <w:szCs w:val="24"/>
        </w:rPr>
        <w:fldChar w:fldCharType="separate"/>
      </w:r>
      <w:r w:rsidR="005A7E5C" w:rsidRPr="005A7E5C">
        <w:rPr>
          <w:rFonts w:eastAsia="Arial"/>
          <w:noProof/>
          <w:sz w:val="24"/>
          <w:szCs w:val="24"/>
          <w:vertAlign w:val="superscript"/>
        </w:rPr>
        <w:t>[19]</w:t>
      </w:r>
      <w:r w:rsidR="005A7E5C">
        <w:rPr>
          <w:rFonts w:eastAsia="Arial"/>
          <w:sz w:val="24"/>
          <w:szCs w:val="24"/>
        </w:rPr>
        <w:fldChar w:fldCharType="end"/>
      </w:r>
      <w:r>
        <w:rPr>
          <w:rFonts w:eastAsia="Arial"/>
          <w:sz w:val="24"/>
          <w:szCs w:val="24"/>
        </w:rPr>
        <w:t>. Studies have shown that overexpression of KLF4 in chondrocytes can promote the release of matrix metalloproteinases, thus promoting cartilage formation</w:t>
      </w:r>
      <w:r w:rsidR="005A7E5C">
        <w:rPr>
          <w:rFonts w:eastAsia="Arial"/>
          <w:sz w:val="24"/>
          <w:szCs w:val="24"/>
        </w:rPr>
        <w:fldChar w:fldCharType="begin"/>
      </w:r>
      <w:r w:rsidR="005A7E5C">
        <w:rPr>
          <w:rFonts w:eastAsia="Arial"/>
          <w:sz w:val="24"/>
          <w:szCs w:val="24"/>
        </w:rPr>
        <w:instrText xml:space="preserve"> ADDIN EN.CITE &lt;EndNote&gt;&lt;Cite&gt;&lt;Author&gt;Takeuchi&lt;/Author&gt;&lt;Year&gt;2020&lt;/Year&gt;&lt;RecNum&gt;79&lt;/RecNum&gt;&lt;DisplayText&gt;&lt;style face="superscript"&gt;[20]&lt;/style&gt;&lt;/DisplayText&gt;&lt;record&gt;&lt;rec-number&gt;79&lt;/rec-number&gt;&lt;foreign-keys&gt;&lt;key app="EN" db-id="avfaaezvnr20v0e2zfkxaee9fwrzz5sx02a2" timestamp="1732716422"&gt;79&lt;/key&gt;&lt;/foreign-keys&gt;&lt;ref-type name="Journal Article"&gt;17&lt;/ref-type&gt;&lt;contributors&gt;&lt;authors&gt;&lt;author&gt;Takeuchi, Yuto&lt;/author&gt;&lt;author&gt;Tatsuta, Sayuri&lt;/author&gt;&lt;author&gt;Kito, Akiyoshi&lt;/author&gt;&lt;author&gt;Fujikawa, Junji&lt;/author&gt;&lt;author&gt;Itoh, Shousaku&lt;/author&gt;&lt;author&gt;Itoh, Yuki&lt;/author&gt;&lt;author&gt;Akiyama, Shigehisa&lt;/author&gt;&lt;author&gt;Yamashiro, Takashi&lt;/author&gt;&lt;author&gt;Wakisaka, Satoshi&lt;/author&gt;&lt;author&gt;Abe, Makoto&lt;/author&gt;&lt;/authors&gt;&lt;/contributors&gt;&lt;titles&gt;&lt;title&gt;Kruppel-like factor 4 upregulates matrix metalloproteinase 13 expression in chondrocytes via mRNA stabilization&lt;/title&gt;&lt;secondary-title&gt;Cell and Tissue Research&lt;/secondary-title&gt;&lt;/titles&gt;&lt;periodical&gt;&lt;full-title&gt;Cell and Tissue Research&lt;/full-title&gt;&lt;/periodical&gt;&lt;pages&gt;307-319&lt;/pages&gt;&lt;volume&gt;382&lt;/volume&gt;&lt;number&gt;2&lt;/number&gt;&lt;section&gt;307&lt;/section&gt;&lt;dates&gt;&lt;year&gt;2020&lt;/year&gt;&lt;/dates&gt;&lt;isbn&gt;0302-766X&amp;#xD;1432-0878&lt;/isbn&gt;&lt;urls&gt;&lt;/urls&gt;&lt;electronic-resource-num&gt;10.1007/s00441-020-03228-3&lt;/electronic-resource-num&gt;&lt;/record&gt;&lt;/Cite&gt;&lt;/EndNote&gt;</w:instrText>
      </w:r>
      <w:r w:rsidR="005A7E5C">
        <w:rPr>
          <w:rFonts w:eastAsia="Arial"/>
          <w:sz w:val="24"/>
          <w:szCs w:val="24"/>
        </w:rPr>
        <w:fldChar w:fldCharType="separate"/>
      </w:r>
      <w:r w:rsidR="005A7E5C" w:rsidRPr="005A7E5C">
        <w:rPr>
          <w:rFonts w:eastAsia="Arial"/>
          <w:noProof/>
          <w:sz w:val="24"/>
          <w:szCs w:val="24"/>
          <w:vertAlign w:val="superscript"/>
        </w:rPr>
        <w:t>[20]</w:t>
      </w:r>
      <w:r w:rsidR="005A7E5C">
        <w:rPr>
          <w:rFonts w:eastAsia="Arial"/>
          <w:sz w:val="24"/>
          <w:szCs w:val="24"/>
        </w:rPr>
        <w:fldChar w:fldCharType="end"/>
      </w:r>
      <w:r>
        <w:rPr>
          <w:rFonts w:eastAsia="Arial"/>
          <w:sz w:val="24"/>
          <w:szCs w:val="24"/>
        </w:rPr>
        <w:t xml:space="preserve">. After transfection of KLF4 by lentiviral vector, chondrogenesis </w:t>
      </w:r>
      <w:proofErr w:type="spellStart"/>
      <w:r>
        <w:rPr>
          <w:rFonts w:eastAsia="Arial"/>
          <w:sz w:val="24"/>
          <w:szCs w:val="24"/>
        </w:rPr>
        <w:t>redifferentiated</w:t>
      </w:r>
      <w:proofErr w:type="spellEnd"/>
      <w:r>
        <w:rPr>
          <w:rFonts w:eastAsia="Arial"/>
          <w:sz w:val="24"/>
          <w:szCs w:val="24"/>
        </w:rPr>
        <w:t xml:space="preserve"> and proliferated in equine chondrocytes, indicating that KLF4 significantly promoted chondrogenesis</w:t>
      </w:r>
      <w:r w:rsidR="005A7E5C">
        <w:rPr>
          <w:rFonts w:eastAsia="Arial"/>
          <w:sz w:val="24"/>
          <w:szCs w:val="24"/>
        </w:rPr>
        <w:fldChar w:fldCharType="begin"/>
      </w:r>
      <w:r w:rsidR="005A7E5C">
        <w:rPr>
          <w:rFonts w:eastAsia="Arial"/>
          <w:sz w:val="24"/>
          <w:szCs w:val="24"/>
        </w:rPr>
        <w:instrText xml:space="preserve"> ADDIN EN.CITE &lt;EndNote&gt;&lt;Cite&gt;&lt;Author&gt;Gurusinghe&lt;/Author&gt;&lt;Year&gt;2019&lt;/Year&gt;&lt;RecNum&gt;81&lt;/RecNum&gt;&lt;DisplayText&gt;&lt;style face="superscript"&gt;[21]&lt;/style&gt;&lt;/DisplayText&gt;&lt;record&gt;&lt;rec-number&gt;81&lt;/rec-number&gt;&lt;foreign-keys&gt;&lt;key app="EN" db-id="avfaaezvnr20v0e2zfkxaee9fwrzz5sx02a2" timestamp="1732716469"&gt;81&lt;/key&gt;&lt;/foreign-keys&gt;&lt;ref-type name="Journal Article"&gt;17&lt;/ref-type&gt;&lt;contributors&gt;&lt;authors&gt;&lt;author&gt;Gurusinghe, Saliya&lt;/author&gt;&lt;author&gt;Bandara, Nadeeka&lt;/author&gt;&lt;author&gt;Hilbert, Bryan&lt;/author&gt;&lt;author&gt;Trope, Gareth&lt;/author&gt;&lt;author&gt;Wang, Lexin&lt;/author&gt;&lt;author&gt;Strappe, Padraig&lt;/author&gt;&lt;/authors&gt;&lt;/contributors&gt;&lt;titles&gt;&lt;title&gt;Lentiviral vector expression of Klf4 enhances chondrogenesis and reduces hypertrophy in equine chondrocytes&lt;/title&gt;&lt;secondary-title&gt;Gene&lt;/secondary-title&gt;&lt;/titles&gt;&lt;periodical&gt;&lt;full-title&gt;Gene&lt;/full-title&gt;&lt;/periodical&gt;&lt;pages&gt;9-19&lt;/pages&gt;&lt;volume&gt;680&lt;/volume&gt;&lt;section&gt;9&lt;/section&gt;&lt;dates&gt;&lt;year&gt;2019&lt;/year&gt;&lt;/dates&gt;&lt;isbn&gt;03781119&lt;/isbn&gt;&lt;urls&gt;&lt;/urls&gt;&lt;electronic-resource-num&gt;10.1016/j.gene.2018.09.013&lt;/electronic-resource-num&gt;&lt;/record&gt;&lt;/Cite&gt;&lt;/EndNote&gt;</w:instrText>
      </w:r>
      <w:r w:rsidR="005A7E5C">
        <w:rPr>
          <w:rFonts w:eastAsia="Arial"/>
          <w:sz w:val="24"/>
          <w:szCs w:val="24"/>
        </w:rPr>
        <w:fldChar w:fldCharType="separate"/>
      </w:r>
      <w:r w:rsidR="005A7E5C" w:rsidRPr="005A7E5C">
        <w:rPr>
          <w:rFonts w:eastAsia="Arial"/>
          <w:noProof/>
          <w:sz w:val="24"/>
          <w:szCs w:val="24"/>
          <w:vertAlign w:val="superscript"/>
        </w:rPr>
        <w:t>[21]</w:t>
      </w:r>
      <w:r w:rsidR="005A7E5C">
        <w:rPr>
          <w:rFonts w:eastAsia="Arial"/>
          <w:sz w:val="24"/>
          <w:szCs w:val="24"/>
        </w:rPr>
        <w:fldChar w:fldCharType="end"/>
      </w:r>
      <w:r>
        <w:rPr>
          <w:rFonts w:eastAsia="Arial"/>
          <w:sz w:val="24"/>
          <w:szCs w:val="24"/>
        </w:rPr>
        <w:t>. Huang et al. found that the MEG3 gene can promote the survival and migration of chondrocytes and inhibit cell apoptosis and inflammation in the in vitro model of OA, and this effect is mediated by KLF4</w:t>
      </w:r>
      <w:r w:rsidR="005A7E5C">
        <w:rPr>
          <w:rFonts w:eastAsia="Arial"/>
          <w:sz w:val="24"/>
          <w:szCs w:val="24"/>
        </w:rPr>
        <w:fldChar w:fldCharType="begin"/>
      </w:r>
      <w:r w:rsidR="005A7E5C">
        <w:rPr>
          <w:rFonts w:eastAsia="Arial"/>
          <w:sz w:val="24"/>
          <w:szCs w:val="24"/>
        </w:rPr>
        <w:instrText xml:space="preserve"> ADDIN EN.CITE &lt;EndNote&gt;&lt;Cite&gt;&lt;Author&gt;Huang&lt;/Author&gt;&lt;Year&gt;2021&lt;/Year&gt;&lt;RecNum&gt;83&lt;/RecNum&gt;&lt;DisplayText&gt;&lt;style face="superscript"&gt;[22]&lt;/style&gt;&lt;/DisplayText&gt;&lt;record&gt;&lt;rec-number&gt;83&lt;/rec-number&gt;&lt;foreign-keys&gt;&lt;key app="EN" db-id="avfaaezvnr20v0e2zfkxaee9fwrzz5sx02a2" timestamp="1732716523"&gt;83&lt;/key&gt;&lt;/foreign-keys&gt;&lt;ref-type name="Journal Article"&gt;17&lt;/ref-type&gt;&lt;contributors&gt;&lt;authors&gt;&lt;author&gt;Huang, Yijiang&lt;/author&gt;&lt;author&gt;Chen, Daosen&lt;/author&gt;&lt;author&gt;Yan, Zijian&lt;/author&gt;&lt;author&gt;Zhan, Jingdi&lt;/author&gt;&lt;author&gt;Xue, Xinghe&lt;/author&gt;&lt;author&gt;Pan, Xiaoyun&lt;/author&gt;&lt;author&gt;Yu, Huachen&lt;/author&gt;&lt;/authors&gt;&lt;/contributors&gt;&lt;titles&gt;&lt;title&gt;LncRNA MEG3 Protects Chondrocytes From IL-1β-Induced Inflammation via Regulating miR-9-5p/KLF4 Axis&lt;/title&gt;&lt;secondary-title&gt;Frontiers in Physiology&lt;/secondary-title&gt;&lt;/titles&gt;&lt;periodical&gt;&lt;full-title&gt;Frontiers in Physiology&lt;/full-title&gt;&lt;/periodical&gt;&lt;volume&gt;12&lt;/volume&gt;&lt;dates&gt;&lt;year&gt;2021&lt;/year&gt;&lt;/dates&gt;&lt;isbn&gt;1664-042X&lt;/isbn&gt;&lt;urls&gt;&lt;/urls&gt;&lt;electronic-resource-num&gt;10.3389/fphys.2021.617654&lt;/electronic-resource-num&gt;&lt;/record&gt;&lt;/Cite&gt;&lt;/EndNote&gt;</w:instrText>
      </w:r>
      <w:r w:rsidR="005A7E5C">
        <w:rPr>
          <w:rFonts w:eastAsia="Arial"/>
          <w:sz w:val="24"/>
          <w:szCs w:val="24"/>
        </w:rPr>
        <w:fldChar w:fldCharType="separate"/>
      </w:r>
      <w:r w:rsidR="005A7E5C" w:rsidRPr="005A7E5C">
        <w:rPr>
          <w:rFonts w:eastAsia="Arial"/>
          <w:noProof/>
          <w:sz w:val="24"/>
          <w:szCs w:val="24"/>
          <w:vertAlign w:val="superscript"/>
        </w:rPr>
        <w:t>[22]</w:t>
      </w:r>
      <w:r w:rsidR="005A7E5C">
        <w:rPr>
          <w:rFonts w:eastAsia="Arial"/>
          <w:sz w:val="24"/>
          <w:szCs w:val="24"/>
        </w:rPr>
        <w:fldChar w:fldCharType="end"/>
      </w:r>
      <w:r>
        <w:rPr>
          <w:rFonts w:eastAsia="Arial"/>
          <w:sz w:val="24"/>
          <w:szCs w:val="24"/>
        </w:rPr>
        <w:t>. Yu et al. showed that KLF4 acted as a transcription factor in simvastatin-induced differentiation of rabbit chondrocytes, increasing the transcriptional activity of type II collagen</w:t>
      </w:r>
      <w:r w:rsidR="005D690D">
        <w:rPr>
          <w:rFonts w:eastAsia="Arial"/>
          <w:sz w:val="24"/>
          <w:szCs w:val="24"/>
        </w:rPr>
        <w:fldChar w:fldCharType="begin"/>
      </w:r>
      <w:r w:rsidR="005D690D">
        <w:rPr>
          <w:rFonts w:eastAsia="Arial"/>
          <w:sz w:val="24"/>
          <w:szCs w:val="24"/>
        </w:rPr>
        <w:instrText xml:space="preserve"> ADDIN EN.CITE &lt;EndNote&gt;&lt;Cite&gt;&lt;Author&gt;Yu&lt;/Author&gt;&lt;Year&gt;2018&lt;/Year&gt;&lt;RecNum&gt;85&lt;/RecNum&gt;&lt;DisplayText&gt;&lt;style face="superscript"&gt;[23]&lt;/style&gt;&lt;/DisplayText&gt;&lt;record&gt;&lt;rec-number&gt;85&lt;/rec-number&gt;&lt;foreign-keys&gt;&lt;key app="EN" db-id="avfaaezvnr20v0e2zfkxaee9fwrzz5sx02a2" timestamp="1732716566"&gt;85&lt;/key&gt;&lt;/foreign-keys&gt;&lt;ref-type name="Journal Article"&gt;17&lt;/ref-type&gt;&lt;contributors&gt;&lt;authors&gt;&lt;author&gt;Yu, Seon-Mi&lt;/author&gt;&lt;author&gt;Kim, Song Ja&lt;/author&gt;&lt;/authors&gt;&lt;/contributors&gt;&lt;titles&gt;&lt;title&gt;Kruppel-like factor 4 (KLF-4) plays a crucial role in simvastatin (SVT)-induced differentiation of rabbit articular chondrocytes&lt;/title&gt;&lt;secondary-title&gt;Biochemical and Biophysical Research Communications&lt;/secondary-title&gt;&lt;/titles&gt;&lt;periodical&gt;&lt;full-title&gt;Biochemical and Biophysical Research Communications&lt;/full-title&gt;&lt;/periodical&gt;&lt;pages&gt;814-819&lt;/pages&gt;&lt;volume&gt;501&lt;/volume&gt;&lt;number&gt;3&lt;/number&gt;&lt;section&gt;814&lt;/section&gt;&lt;dates&gt;&lt;year&gt;2018&lt;/year&gt;&lt;/dates&gt;&lt;isbn&gt;0006291X&lt;/isbn&gt;&lt;urls&gt;&lt;/urls&gt;&lt;electronic-resource-num&gt;10.1016/j.bbrc.2018.05.094&lt;/electronic-resource-num&gt;&lt;/record&gt;&lt;/Cite&gt;&lt;/EndNote&gt;</w:instrText>
      </w:r>
      <w:r w:rsidR="005D690D">
        <w:rPr>
          <w:rFonts w:eastAsia="Arial"/>
          <w:sz w:val="24"/>
          <w:szCs w:val="24"/>
        </w:rPr>
        <w:fldChar w:fldCharType="separate"/>
      </w:r>
      <w:r w:rsidR="005D690D" w:rsidRPr="005D690D">
        <w:rPr>
          <w:rFonts w:eastAsia="Arial"/>
          <w:noProof/>
          <w:sz w:val="24"/>
          <w:szCs w:val="24"/>
          <w:vertAlign w:val="superscript"/>
        </w:rPr>
        <w:t>[23]</w:t>
      </w:r>
      <w:r w:rsidR="005D690D">
        <w:rPr>
          <w:rFonts w:eastAsia="Arial"/>
          <w:sz w:val="24"/>
          <w:szCs w:val="24"/>
        </w:rPr>
        <w:fldChar w:fldCharType="end"/>
      </w:r>
      <w:r>
        <w:rPr>
          <w:rFonts w:eastAsia="Arial"/>
          <w:sz w:val="24"/>
          <w:szCs w:val="24"/>
        </w:rPr>
        <w:t>. Active ingredients of traditional Chinese medicine alleviate lipopolysaccharide-induced chondrocyte injury by upregulating KLF4</w:t>
      </w:r>
      <w:r w:rsidR="005D690D">
        <w:rPr>
          <w:rFonts w:eastAsia="Arial"/>
          <w:sz w:val="24"/>
          <w:szCs w:val="24"/>
        </w:rPr>
        <w:fldChar w:fldCharType="begin"/>
      </w:r>
      <w:r w:rsidR="005D690D">
        <w:rPr>
          <w:rFonts w:eastAsia="Arial"/>
          <w:sz w:val="24"/>
          <w:szCs w:val="24"/>
        </w:rPr>
        <w:instrText xml:space="preserve"> ADDIN EN.CITE &lt;EndNote&gt;&lt;Cite&gt;&lt;Author&gt;Ye&lt;/Author&gt;&lt;Year&gt;2023&lt;/Year&gt;&lt;RecNum&gt;87&lt;/RecNum&gt;&lt;DisplayText&gt;&lt;style face="superscript"&gt;[24]&lt;/style&gt;&lt;/DisplayText&gt;&lt;record&gt;&lt;rec-number&gt;87&lt;/rec-number&gt;&lt;foreign-keys&gt;&lt;key app="EN" db-id="avfaaezvnr20v0e2zfkxaee9fwrzz5sx02a2" timestamp="1732716615"&gt;87&lt;/key&gt;&lt;/foreign-keys&gt;&lt;ref-type name="Journal Article"&gt;17&lt;/ref-type&gt;&lt;contributors&gt;&lt;authors&gt;&lt;author&gt;Ye, Zhiqiang&lt;/author&gt;&lt;author&gt;Liu, Yuyu&lt;/author&gt;&lt;author&gt;Song, Jintong&lt;/author&gt;&lt;author&gt;Gao, Yin&lt;/author&gt;&lt;author&gt;Fang, Haiping&lt;/author&gt;&lt;author&gt;Hu, Zilong&lt;/author&gt;&lt;author&gt;Zhang, Min&lt;/author&gt;&lt;author&gt;Liao, Wenwei&lt;/author&gt;&lt;author&gt;Cui, Liao&lt;/author&gt;&lt;author&gt;Liu, Yanzhi&lt;/author&gt;&lt;/authors&gt;&lt;/contributors&gt;&lt;titles&gt;&lt;title&gt;Expanding the therapeutic potential of Salvia miltiorrhiza: a review of its pharmacological applications in musculoskeletal diseases&lt;/title&gt;&lt;secondary-title&gt;Frontiers in Pharmacology&lt;/secondary-title&gt;&lt;/titles&gt;&lt;periodical&gt;&lt;full-title&gt;Frontiers in Pharmacology&lt;/full-title&gt;&lt;/periodical&gt;&lt;volume&gt;14&lt;/volume&gt;&lt;dates&gt;&lt;year&gt;2023&lt;/year&gt;&lt;/dates&gt;&lt;isbn&gt;1663-9812&lt;/isbn&gt;&lt;urls&gt;&lt;/urls&gt;&lt;electronic-resource-num&gt;10.3389/fphar.2023.1276038&lt;/electronic-resource-num&gt;&lt;/record&gt;&lt;/Cite&gt;&lt;/EndNote&gt;</w:instrText>
      </w:r>
      <w:r w:rsidR="005D690D">
        <w:rPr>
          <w:rFonts w:eastAsia="Arial"/>
          <w:sz w:val="24"/>
          <w:szCs w:val="24"/>
        </w:rPr>
        <w:fldChar w:fldCharType="separate"/>
      </w:r>
      <w:r w:rsidR="005D690D" w:rsidRPr="005D690D">
        <w:rPr>
          <w:rFonts w:eastAsia="Arial"/>
          <w:noProof/>
          <w:sz w:val="24"/>
          <w:szCs w:val="24"/>
          <w:vertAlign w:val="superscript"/>
        </w:rPr>
        <w:t>[24]</w:t>
      </w:r>
      <w:r w:rsidR="005D690D">
        <w:rPr>
          <w:rFonts w:eastAsia="Arial"/>
          <w:sz w:val="24"/>
          <w:szCs w:val="24"/>
        </w:rPr>
        <w:fldChar w:fldCharType="end"/>
      </w:r>
      <w:r>
        <w:rPr>
          <w:rFonts w:eastAsia="Arial"/>
          <w:sz w:val="24"/>
          <w:szCs w:val="24"/>
        </w:rPr>
        <w:t>. In the process of reading relevant literature, we found that KLF4 can up-regulate the expression of autophagy-related gene p62 through transcriptional activation, thus improving the drug resistance of tumor cells</w:t>
      </w:r>
      <w:r w:rsidR="005D690D">
        <w:rPr>
          <w:rFonts w:eastAsia="Arial"/>
          <w:sz w:val="24"/>
          <w:szCs w:val="24"/>
        </w:rPr>
        <w:fldChar w:fldCharType="begin"/>
      </w:r>
      <w:r w:rsidR="005D690D">
        <w:rPr>
          <w:rFonts w:eastAsia="Arial"/>
          <w:sz w:val="24"/>
          <w:szCs w:val="24"/>
        </w:rPr>
        <w:instrText xml:space="preserve"> ADDIN EN.CITE &lt;EndNote&gt;&lt;Cite&gt;&lt;Author&gt;Pedrosa&lt;/Author&gt;&lt;Year&gt;2024&lt;/Year&gt;&lt;RecNum&gt;89&lt;/RecNum&gt;&lt;DisplayText&gt;&lt;style face="superscript"&gt;[25]&lt;/style&gt;&lt;/DisplayText&gt;&lt;record&gt;&lt;rec-number&gt;89&lt;/rec-number&gt;&lt;foreign-keys&gt;&lt;key app="EN" db-id="avfaaezvnr20v0e2zfkxaee9fwrzz5sx02a2" timestamp="1732716673"&gt;89&lt;/key&gt;&lt;/foreign-keys&gt;&lt;ref-type name="Journal Article"&gt;17&lt;/ref-type&gt;&lt;contributors&gt;&lt;authors&gt;&lt;author&gt;Pedrosa, Pablo&lt;/author&gt;&lt;author&gt;Zhang, Zhenguang&lt;/author&gt;&lt;author&gt;Nuñez-Quintela, Victor&lt;/author&gt;&lt;author&gt;Macias, David&lt;/author&gt;&lt;author&gt;Ge, Jianfeng&lt;/author&gt;&lt;author&gt;Denholm, Mary&lt;/author&gt;&lt;author&gt;Dyas, Anna&lt;/author&gt;&lt;author&gt;Estevez-Souto, Valentin&lt;/author&gt;&lt;author&gt;Lado-Fernandez, Patricia&lt;/author&gt;&lt;author&gt;Gonzalez, Patricia&lt;/author&gt;&lt;author&gt;Gomez, Maria&lt;/author&gt;&lt;author&gt;Martin, Jose Ezequiel&lt;/author&gt;&lt;author&gt;Da Silva-Alvarez, Sabela&lt;/author&gt;&lt;author&gt;Collado, Manuel&lt;/author&gt;&lt;author&gt;Muñoz-Espín, Daniel&lt;/author&gt;&lt;/authors&gt;&lt;/contributors&gt;&lt;titles&gt;&lt;title&gt;Inhibition of lung tumorigenesis by transient reprogramming in cancer cells&lt;/title&gt;&lt;secondary-title&gt;Cell Death &amp;amp; Disease&lt;/secondary-title&gt;&lt;/titles&gt;&lt;periodical&gt;&lt;full-title&gt;Cell Death &amp;amp; Disease&lt;/full-title&gt;&lt;/periodical&gt;&lt;volume&gt;15&lt;/volume&gt;&lt;number&gt;11&lt;/number&gt;&lt;dates&gt;&lt;year&gt;2024&lt;/year&gt;&lt;/dates&gt;&lt;isbn&gt;2041-4889&lt;/isbn&gt;&lt;urls&gt;&lt;/urls&gt;&lt;electronic-resource-num&gt;10.1038/s41419-024-07207-2&lt;/electronic-resource-num&gt;&lt;/record&gt;&lt;/Cite&gt;&lt;/EndNote&gt;</w:instrText>
      </w:r>
      <w:r w:rsidR="005D690D">
        <w:rPr>
          <w:rFonts w:eastAsia="Arial"/>
          <w:sz w:val="24"/>
          <w:szCs w:val="24"/>
        </w:rPr>
        <w:fldChar w:fldCharType="separate"/>
      </w:r>
      <w:r w:rsidR="005D690D" w:rsidRPr="005D690D">
        <w:rPr>
          <w:rFonts w:eastAsia="Arial"/>
          <w:noProof/>
          <w:sz w:val="24"/>
          <w:szCs w:val="24"/>
          <w:vertAlign w:val="superscript"/>
        </w:rPr>
        <w:t>[25]</w:t>
      </w:r>
      <w:r w:rsidR="005D690D">
        <w:rPr>
          <w:rFonts w:eastAsia="Arial"/>
          <w:sz w:val="24"/>
          <w:szCs w:val="24"/>
        </w:rPr>
        <w:fldChar w:fldCharType="end"/>
      </w:r>
      <w:r>
        <w:rPr>
          <w:rFonts w:eastAsia="Arial"/>
          <w:sz w:val="24"/>
          <w:szCs w:val="24"/>
        </w:rPr>
        <w:t xml:space="preserve">. It is well known that p62 is the first selective autophagy adapter discovered in mammals. </w:t>
      </w:r>
      <w:r>
        <w:rPr>
          <w:rFonts w:eastAsia="Arial"/>
          <w:sz w:val="24"/>
          <w:szCs w:val="24"/>
        </w:rPr>
        <w:lastRenderedPageBreak/>
        <w:t xml:space="preserve">p62 is an important adaptor protein involved in selective autophagy, which is crucial for the formation and transport of ubiquitinated aggregates. We predicted by </w:t>
      </w:r>
      <w:proofErr w:type="spellStart"/>
      <w:r>
        <w:rPr>
          <w:rFonts w:eastAsia="Arial"/>
          <w:sz w:val="24"/>
          <w:szCs w:val="24"/>
        </w:rPr>
        <w:t>hTFtarget</w:t>
      </w:r>
      <w:proofErr w:type="spellEnd"/>
      <w:r>
        <w:rPr>
          <w:rFonts w:eastAsia="Arial"/>
          <w:sz w:val="24"/>
          <w:szCs w:val="24"/>
        </w:rPr>
        <w:t xml:space="preserve"> website that autophagy-related factor p62 is the target gene of transcription factor KLF4. Rapamycin, an autophagy inducer, can promote the proliferation of early OA chondrocytes, and its induced autophagy can eliminate the oxidative stress produced by IL-1, thus protecting chondrocytes</w:t>
      </w:r>
      <w:r w:rsidR="005D690D">
        <w:rPr>
          <w:rFonts w:eastAsia="Arial"/>
          <w:sz w:val="24"/>
          <w:szCs w:val="24"/>
        </w:rPr>
        <w:fldChar w:fldCharType="begin">
          <w:fldData xml:space="preserve">PEVuZE5vdGU+PENpdGU+PEF1dGhvcj5UYWtheWFtYTwvQXV0aG9yPjxZZWFyPjIwMTQ8L1llYXI+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</w:fldData>
        </w:fldChar>
      </w:r>
      <w:r w:rsidR="005D690D">
        <w:rPr>
          <w:rFonts w:eastAsia="Arial"/>
          <w:sz w:val="24"/>
          <w:szCs w:val="24"/>
        </w:rPr>
        <w:instrText xml:space="preserve"> ADDIN EN.CITE </w:instrText>
      </w:r>
      <w:r w:rsidR="005D690D">
        <w:rPr>
          <w:rFonts w:eastAsia="Arial"/>
          <w:sz w:val="24"/>
          <w:szCs w:val="24"/>
        </w:rPr>
        <w:fldChar w:fldCharType="begin">
          <w:fldData xml:space="preserve">PEVuZE5vdGU+PENpdGU+PEF1dGhvcj5UYWtheWFtYTwvQXV0aG9yPjxZZWFyPjIwMTQ8L1llYXI+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</w:fldData>
        </w:fldChar>
      </w:r>
      <w:r w:rsidR="005D690D">
        <w:rPr>
          <w:rFonts w:eastAsia="Arial"/>
          <w:sz w:val="24"/>
          <w:szCs w:val="24"/>
        </w:rPr>
        <w:instrText xml:space="preserve"> ADDIN EN.CITE.DATA </w:instrText>
      </w:r>
      <w:r w:rsidR="005D690D">
        <w:rPr>
          <w:rFonts w:eastAsia="Arial"/>
          <w:sz w:val="24"/>
          <w:szCs w:val="24"/>
        </w:rPr>
      </w:r>
      <w:r w:rsidR="005D690D">
        <w:rPr>
          <w:rFonts w:eastAsia="Arial"/>
          <w:sz w:val="24"/>
          <w:szCs w:val="24"/>
        </w:rPr>
        <w:fldChar w:fldCharType="end"/>
      </w:r>
      <w:r w:rsidR="005D690D">
        <w:rPr>
          <w:rFonts w:eastAsia="Arial"/>
          <w:sz w:val="24"/>
          <w:szCs w:val="24"/>
        </w:rPr>
        <w:fldChar w:fldCharType="separate"/>
      </w:r>
      <w:r w:rsidR="005D690D" w:rsidRPr="005D690D">
        <w:rPr>
          <w:rFonts w:eastAsia="Arial"/>
          <w:noProof/>
          <w:sz w:val="24"/>
          <w:szCs w:val="24"/>
          <w:vertAlign w:val="superscript"/>
        </w:rPr>
        <w:t>[26]</w:t>
      </w:r>
      <w:r w:rsidR="005D690D">
        <w:rPr>
          <w:rFonts w:eastAsia="Arial"/>
          <w:sz w:val="24"/>
          <w:szCs w:val="24"/>
        </w:rPr>
        <w:fldChar w:fldCharType="end"/>
      </w:r>
      <w:r>
        <w:rPr>
          <w:rFonts w:eastAsia="Arial"/>
          <w:sz w:val="24"/>
          <w:szCs w:val="24"/>
        </w:rPr>
        <w:t>. In the rat model of temporomandibular arthritis, autophagosomes increased in early degenerative articular chondrocytes, indicating that the stress environment promoted chondrocytes to increase autophagy, reduce cell metabolism, improve energy utilization, and maintain cell survival in harsh microenvironment</w:t>
      </w:r>
      <w:r w:rsidR="005D690D">
        <w:rPr>
          <w:rFonts w:eastAsia="Arial"/>
          <w:sz w:val="24"/>
          <w:szCs w:val="24"/>
        </w:rPr>
        <w:fldChar w:fldCharType="begin"/>
      </w:r>
      <w:r w:rsidR="005D690D">
        <w:rPr>
          <w:rFonts w:eastAsia="Arial"/>
          <w:sz w:val="24"/>
          <w:szCs w:val="24"/>
        </w:rPr>
        <w:instrText xml:space="preserve"> ADDIN EN.CITE &lt;EndNote&gt;&lt;Cite&gt;&lt;Author&gt;Deng&lt;/Author&gt;&lt;Year&gt;2024&lt;/Year&gt;&lt;RecNum&gt;94&lt;/RecNum&gt;&lt;DisplayText&gt;&lt;style face="superscript"&gt;[27]&lt;/style&gt;&lt;/DisplayText&gt;&lt;record&gt;&lt;rec-number&gt;94&lt;/rec-number&gt;&lt;foreign-keys&gt;&lt;key app="EN" db-id="avfaaezvnr20v0e2zfkxaee9fwrzz5sx02a2" timestamp="1732716915"&gt;94&lt;/key&gt;&lt;/foreign-keys&gt;&lt;ref-type name="Journal Article"&gt;17&lt;/ref-type&gt;&lt;contributors&gt;&lt;authors&gt;&lt;author&gt;Deng, Zengfa&lt;/author&gt;&lt;author&gt;Long, Dianbo&lt;/author&gt;&lt;author&gt;Li, Changzhao&lt;/author&gt;&lt;author&gt;Liu, Hailong&lt;/author&gt;&lt;author&gt;Li, Wei&lt;/author&gt;&lt;author&gt;Zhong, Yanlin&lt;/author&gt;&lt;author&gt;Mo, Xiaolin&lt;/author&gt;&lt;author&gt;Li, Ruiyun&lt;/author&gt;&lt;author&gt;Yang, Zibo&lt;/author&gt;&lt;author&gt;Kang, Yan&lt;/author&gt;&lt;author&gt;Mao, Guping&lt;/author&gt;&lt;/authors&gt;&lt;/contributors&gt;&lt;titles&gt;&lt;title&gt;IRF1-mediated upregulation of PARP12 promotes cartilage degradation by inhibiting PINK1/Parkin dependent mitophagy through ISG15 attenuating ubiquitylation and SUMOylation of MFN1/2&lt;/title&gt;&lt;secondary-title&gt;Bone Research&lt;/secondary-title&gt;&lt;/titles&gt;&lt;periodical&gt;&lt;full-title&gt;Bone Research&lt;/full-title&gt;&lt;/periodical&gt;&lt;volume&gt;12&lt;/volume&gt;&lt;number&gt;1&lt;/number&gt;&lt;dates&gt;&lt;year&gt;2024&lt;/year&gt;&lt;/dates&gt;&lt;isbn&gt;2095-6231&lt;/isbn&gt;&lt;urls&gt;&lt;/urls&gt;&lt;electronic-resource-num&gt;10.1038/s41413-024-00363-3&lt;/electronic-resource-num&gt;&lt;/record&gt;&lt;/Cite&gt;&lt;/EndNote&gt;</w:instrText>
      </w:r>
      <w:r w:rsidR="005D690D">
        <w:rPr>
          <w:rFonts w:eastAsia="Arial"/>
          <w:sz w:val="24"/>
          <w:szCs w:val="24"/>
        </w:rPr>
        <w:fldChar w:fldCharType="separate"/>
      </w:r>
      <w:r w:rsidR="005D690D" w:rsidRPr="005D690D">
        <w:rPr>
          <w:rFonts w:eastAsia="Arial"/>
          <w:noProof/>
          <w:sz w:val="24"/>
          <w:szCs w:val="24"/>
          <w:vertAlign w:val="superscript"/>
        </w:rPr>
        <w:t>[27]</w:t>
      </w:r>
      <w:r w:rsidR="005D690D">
        <w:rPr>
          <w:rFonts w:eastAsia="Arial"/>
          <w:sz w:val="24"/>
          <w:szCs w:val="24"/>
        </w:rPr>
        <w:fldChar w:fldCharType="end"/>
      </w:r>
      <w:r>
        <w:rPr>
          <w:rFonts w:eastAsia="Arial"/>
          <w:sz w:val="24"/>
          <w:szCs w:val="24"/>
        </w:rPr>
        <w:t>. In hypercholesterolemia-induced OA, mitochondrial dysfunction of chondrocytes accelerates the progression of OA, and mitochondrial dysfunction and increased ROS release in mouse fibroblasts lacking KLF4 suggest the protection of mitochondrial function by KLF4</w:t>
      </w:r>
      <w:r w:rsidR="005D690D">
        <w:rPr>
          <w:rFonts w:eastAsia="Arial"/>
          <w:sz w:val="24"/>
          <w:szCs w:val="24"/>
        </w:rPr>
        <w:fldChar w:fldCharType="begin"/>
      </w:r>
      <w:r w:rsidR="005D690D">
        <w:rPr>
          <w:rFonts w:eastAsia="Arial"/>
          <w:sz w:val="24"/>
          <w:szCs w:val="24"/>
        </w:rPr>
        <w:instrText xml:space="preserve"> ADDIN EN.CITE &lt;EndNote&gt;&lt;Cite&gt;&lt;Author&gt;Rosencrans&lt;/Author&gt;&lt;Year&gt;2020&lt;/Year&gt;&lt;RecNum&gt;96&lt;/RecNum&gt;&lt;DisplayText&gt;&lt;style face="superscript"&gt;[28]&lt;/style&gt;&lt;/DisplayText&gt;&lt;record&gt;&lt;rec-number&gt;96&lt;/rec-number&gt;&lt;foreign-keys&gt;&lt;key app="EN" db-id="avfaaezvnr20v0e2zfkxaee9fwrzz5sx02a2" timestamp="1732716955"&gt;96&lt;/key&gt;&lt;/foreign-keys&gt;&lt;ref-type name="Journal Article"&gt;17&lt;/ref-type&gt;&lt;contributors&gt;&lt;authors&gt;&lt;author&gt;Rosencrans, William M.&lt;/author&gt;&lt;author&gt;Walsh, Zachary H.&lt;/author&gt;&lt;author&gt;Houerbi, Nadia&lt;/author&gt;&lt;author&gt;Blum, Andrew&lt;/author&gt;&lt;author&gt;Belew, Mezmur&lt;/author&gt;&lt;author&gt;Liu, Changchang&lt;/author&gt;&lt;author&gt;Chernak, Brian&lt;/author&gt;&lt;author&gt;Brauer, Philip R.&lt;/author&gt;&lt;author&gt;Trazo, Angel&lt;/author&gt;&lt;author&gt;Olson, Anna&lt;/author&gt;&lt;author&gt;Hagos, Engda&lt;/author&gt;&lt;/authors&gt;&lt;/contributors&gt;&lt;titles&gt;&lt;title&gt;Cells deficient for Krüppel-like factor 4 exhibit mitochondrial dysfunction and impaired mitophagy&lt;/title&gt;&lt;secondary-title&gt;European Journal of Cell Biology&lt;/secondary-title&gt;&lt;/titles&gt;&lt;periodical&gt;&lt;full-title&gt;European Journal of Cell Biology&lt;/full-title&gt;&lt;/periodical&gt;&lt;volume&gt;99&lt;/volume&gt;&lt;number&gt;1&lt;/number&gt;&lt;section&gt;151061&lt;/section&gt;&lt;dates&gt;&lt;year&gt;2020&lt;/year&gt;&lt;/dates&gt;&lt;isbn&gt;01719335&lt;/isbn&gt;&lt;urls&gt;&lt;/urls&gt;&lt;electronic-resource-num&gt;10.1016/j.ejcb.2019.151061&lt;/electronic-resource-num&gt;&lt;/record&gt;&lt;/Cite&gt;&lt;/EndNote&gt;</w:instrText>
      </w:r>
      <w:r w:rsidR="005D690D">
        <w:rPr>
          <w:rFonts w:eastAsia="Arial"/>
          <w:sz w:val="24"/>
          <w:szCs w:val="24"/>
        </w:rPr>
        <w:fldChar w:fldCharType="separate"/>
      </w:r>
      <w:r w:rsidR="005D690D" w:rsidRPr="005D690D">
        <w:rPr>
          <w:rFonts w:eastAsia="Arial"/>
          <w:noProof/>
          <w:sz w:val="24"/>
          <w:szCs w:val="24"/>
          <w:vertAlign w:val="superscript"/>
        </w:rPr>
        <w:t>[28]</w:t>
      </w:r>
      <w:r w:rsidR="005D690D">
        <w:rPr>
          <w:rFonts w:eastAsia="Arial"/>
          <w:sz w:val="24"/>
          <w:szCs w:val="24"/>
        </w:rPr>
        <w:fldChar w:fldCharType="end"/>
      </w:r>
      <w:r>
        <w:rPr>
          <w:rFonts w:eastAsia="Arial"/>
          <w:sz w:val="24"/>
          <w:szCs w:val="24"/>
        </w:rPr>
        <w:t>. Coincidentally, the protective effect of KLF4 on mitochondria has also been reported in cardiomyocytes</w:t>
      </w:r>
      <w:r w:rsidR="005D690D">
        <w:rPr>
          <w:rFonts w:eastAsia="Arial"/>
          <w:sz w:val="24"/>
          <w:szCs w:val="24"/>
        </w:rPr>
        <w:fldChar w:fldCharType="begin"/>
      </w:r>
      <w:r w:rsidR="005D690D">
        <w:rPr>
          <w:rFonts w:eastAsia="Arial"/>
          <w:sz w:val="24"/>
          <w:szCs w:val="24"/>
        </w:rPr>
        <w:instrText xml:space="preserve"> ADDIN EN.CITE &lt;EndNote&gt;&lt;Cite&gt;&lt;Author&gt;Liao&lt;/Author&gt;&lt;Year&gt;2015&lt;/Year&gt;&lt;RecNum&gt;98&lt;/RecNum&gt;&lt;DisplayText&gt;&lt;style face="superscript"&gt;[29]&lt;/style&gt;&lt;/DisplayText&gt;&lt;record&gt;&lt;rec-number&gt;98&lt;/rec-number&gt;&lt;foreign-keys&gt;&lt;key app="EN" db-id="avfaaezvnr20v0e2zfkxaee9fwrzz5sx02a2" timestamp="1732716983"&gt;98&lt;/key&gt;&lt;/foreign-keys&gt;&lt;ref-type name="Journal Article"&gt;17&lt;/ref-type&gt;&lt;contributors&gt;&lt;authors&gt;&lt;author&gt;Liao, Xudong&lt;/author&gt;&lt;author&gt;Zhang, Rongli&lt;/author&gt;&lt;author&gt;Lu, Yuan&lt;/author&gt;&lt;author&gt;Prosdocimo, Domenick A.&lt;/author&gt;&lt;author&gt;Sangwung, Panjamaporn&lt;/author&gt;&lt;author&gt;Zhang, Lilei&lt;/author&gt;&lt;author&gt;Zhou, Guangjin&lt;/author&gt;&lt;author&gt;Anand, Puneet&lt;/author&gt;&lt;author&gt;Lai, Ling&lt;/author&gt;&lt;author&gt;Leone, Teresa C.&lt;/author&gt;&lt;author&gt;Fujioka, Hisashi&lt;/author&gt;&lt;author&gt;Ye, Fang&lt;/author&gt;&lt;author&gt;Rosca, Mariana G.&lt;/author&gt;&lt;author&gt;Hoppel, Charles L.&lt;/author&gt;&lt;author&gt;Schulze, P. Christian&lt;/author&gt;&lt;author&gt;Abel, E. Dale&lt;/author&gt;&lt;author&gt;Stamler, Jonathan S.&lt;/author&gt;&lt;author&gt;Kelly, Daniel P.&lt;/author&gt;&lt;author&gt;Jain, Mukesh K.&lt;/author&gt;&lt;/authors&gt;&lt;/contributors&gt;&lt;titles&gt;&lt;title&gt;Kruppel-like factor 4 is critical for transcriptional control of cardiac mitochondrial homeostasis&lt;/title&gt;&lt;secondary-title&gt;Journal of Clinical Investigation&lt;/secondary-title&gt;&lt;/titles&gt;&lt;periodical&gt;&lt;full-title&gt;Journal of Clinical Investigation&lt;/full-title&gt;&lt;/periodical&gt;&lt;pages&gt;3461-3476&lt;/pages&gt;&lt;volume&gt;125&lt;/volume&gt;&lt;number&gt;9&lt;/number&gt;&lt;section&gt;3461&lt;/section&gt;&lt;dates&gt;&lt;year&gt;2015&lt;/year&gt;&lt;/dates&gt;&lt;isbn&gt;0021-9738&lt;/isbn&gt;&lt;urls&gt;&lt;/urls&gt;&lt;electronic-resource-num&gt;10.1172/jci79964&lt;/electronic-resource-num&gt;&lt;/record&gt;&lt;/Cite&gt;&lt;/EndNote&gt;</w:instrText>
      </w:r>
      <w:r w:rsidR="005D690D">
        <w:rPr>
          <w:rFonts w:eastAsia="Arial"/>
          <w:sz w:val="24"/>
          <w:szCs w:val="24"/>
        </w:rPr>
        <w:fldChar w:fldCharType="separate"/>
      </w:r>
      <w:r w:rsidR="005D690D" w:rsidRPr="005D690D">
        <w:rPr>
          <w:rFonts w:eastAsia="Arial"/>
          <w:noProof/>
          <w:sz w:val="24"/>
          <w:szCs w:val="24"/>
          <w:vertAlign w:val="superscript"/>
        </w:rPr>
        <w:t>[29]</w:t>
      </w:r>
      <w:r w:rsidR="005D690D">
        <w:rPr>
          <w:rFonts w:eastAsia="Arial"/>
          <w:sz w:val="24"/>
          <w:szCs w:val="24"/>
        </w:rPr>
        <w:fldChar w:fldCharType="end"/>
      </w:r>
      <w:r>
        <w:rPr>
          <w:rFonts w:eastAsia="Arial"/>
          <w:sz w:val="24"/>
          <w:szCs w:val="24"/>
        </w:rPr>
        <w:t>.</w:t>
      </w:r>
    </w:p>
    <w:p w14:paraId="1B6D8BEC" w14:textId="7A83C287" w:rsidR="007A1C93" w:rsidRDefault="00000000">
      <w:pPr>
        <w:spacing w:line="360" w:lineRule="auto"/>
        <w:ind w:firstLine="480"/>
        <w:rPr>
          <w:sz w:val="24"/>
          <w:szCs w:val="24"/>
        </w:rPr>
      </w:pPr>
      <w:r>
        <w:rPr>
          <w:rFonts w:eastAsia="Arial"/>
          <w:sz w:val="24"/>
          <w:szCs w:val="24"/>
        </w:rPr>
        <w:t>By combing the regulatory relationship between related genes in the literature, it is found that KLF4 participates in chondrocyte differentiation, up-regulates the expression of autophagy-related genes, and maintains intracellular mitochondrial homeostasis. In early OA, it is also found that autophagy has a protective effect on chondrocytes</w:t>
      </w:r>
      <w:r w:rsidR="005D690D">
        <w:rPr>
          <w:rFonts w:eastAsia="Arial"/>
          <w:sz w:val="24"/>
          <w:szCs w:val="24"/>
        </w:rPr>
        <w:fldChar w:fldCharType="begin"/>
      </w:r>
      <w:r w:rsidR="005D690D">
        <w:rPr>
          <w:rFonts w:eastAsia="Arial"/>
          <w:sz w:val="24"/>
          <w:szCs w:val="24"/>
        </w:rPr>
        <w:instrText xml:space="preserve"> ADDIN EN.CITE &lt;EndNote&gt;&lt;Cite&gt;&lt;Author&gt;Liang&lt;/Author&gt;&lt;Year&gt;2024&lt;/Year&gt;&lt;RecNum&gt;100&lt;/RecNum&gt;&lt;DisplayText&gt;&lt;style face="superscript"&gt;[30]&lt;/style&gt;&lt;/DisplayText&gt;&lt;record&gt;&lt;rec-number&gt;100&lt;/rec-number&gt;&lt;foreign-keys&gt;&lt;key app="EN" db-id="avfaaezvnr20v0e2zfkxaee9fwrzz5sx02a2" timestamp="1732717036"&gt;100&lt;/key&gt;&lt;/foreign-keys&gt;&lt;ref-type name="Journal Article"&gt;17&lt;/ref-type&gt;&lt;contributors&gt;&lt;authors&gt;&lt;author&gt;Liang, Yidan&lt;/author&gt;&lt;author&gt;Zhao, Jiamin&lt;/author&gt;&lt;author&gt;Dai, Tengkun&lt;/author&gt;&lt;author&gt;Li, Xin&lt;/author&gt;&lt;author&gt;Chen, Longqin&lt;/author&gt;&lt;author&gt;He, Zhixu&lt;/author&gt;&lt;author&gt;Guo, Mengmeng&lt;/author&gt;&lt;author&gt;Zhao, Juanjuan&lt;/author&gt;&lt;author&gt;Xu, Lin&lt;/author&gt;&lt;/authors&gt;&lt;/contributors&gt;&lt;titles&gt;&lt;title&gt;A review of KLF4 and inflammatory disease: Current status and future perspective&lt;/title&gt;&lt;secondary-title&gt;Pharmacological Research&lt;/secondary-title&gt;&lt;/titles&gt;&lt;periodical&gt;&lt;full-title&gt;Pharmacological Research&lt;/full-title&gt;&lt;/periodical&gt;&lt;volume&gt;207&lt;/volume&gt;&lt;section&gt;107345&lt;/section&gt;&lt;dates&gt;&lt;year&gt;2024&lt;/year&gt;&lt;/dates&gt;&lt;isbn&gt;10436618&lt;/isbn&gt;&lt;urls&gt;&lt;/urls&gt;&lt;electronic-resource-num&gt;10.1016/j.phrs.2024.107345&lt;/electronic-resource-num&gt;&lt;/record&gt;&lt;/Cite&gt;&lt;/EndNote&gt;</w:instrText>
      </w:r>
      <w:r w:rsidR="005D690D">
        <w:rPr>
          <w:rFonts w:eastAsia="Arial"/>
          <w:sz w:val="24"/>
          <w:szCs w:val="24"/>
        </w:rPr>
        <w:fldChar w:fldCharType="separate"/>
      </w:r>
      <w:r w:rsidR="005D690D" w:rsidRPr="005D690D">
        <w:rPr>
          <w:rFonts w:eastAsia="Arial"/>
          <w:noProof/>
          <w:sz w:val="24"/>
          <w:szCs w:val="24"/>
          <w:vertAlign w:val="superscript"/>
        </w:rPr>
        <w:t>[30]</w:t>
      </w:r>
      <w:r w:rsidR="005D690D">
        <w:rPr>
          <w:rFonts w:eastAsia="Arial"/>
          <w:sz w:val="24"/>
          <w:szCs w:val="24"/>
        </w:rPr>
        <w:fldChar w:fldCharType="end"/>
      </w:r>
      <w:r>
        <w:rPr>
          <w:rFonts w:eastAsia="Arial"/>
          <w:sz w:val="24"/>
          <w:szCs w:val="24"/>
        </w:rPr>
        <w:t>. Then in human chondrocytes, KLF4 is likely to regulate chondrocyte metabolism by affecting chondrocyte autophagy and mitochondrial function, which will also be a topic we will continue to explore.</w:t>
      </w:r>
    </w:p>
    <w:p w14:paraId="549DAC15" w14:textId="77777777" w:rsidR="007A1C93" w:rsidRDefault="007A1C93">
      <w:pPr>
        <w:spacing w:line="360" w:lineRule="auto"/>
        <w:ind w:firstLine="480"/>
        <w:rPr>
          <w:rFonts w:eastAsia="Arial"/>
          <w:sz w:val="24"/>
          <w:szCs w:val="24"/>
        </w:rPr>
      </w:pPr>
    </w:p>
    <w:p w14:paraId="3FDF892E" w14:textId="77777777" w:rsidR="007A1C93" w:rsidRDefault="007A1C93">
      <w:pPr>
        <w:spacing w:line="360" w:lineRule="auto"/>
        <w:ind w:firstLine="480"/>
        <w:rPr>
          <w:rFonts w:eastAsia="Arial"/>
          <w:sz w:val="24"/>
          <w:szCs w:val="24"/>
        </w:rPr>
      </w:pPr>
    </w:p>
    <w:p w14:paraId="7D9E8498" w14:textId="77777777" w:rsidR="007A1C93" w:rsidRDefault="007A1C93">
      <w:pPr>
        <w:spacing w:line="360" w:lineRule="auto"/>
        <w:ind w:firstLineChars="200" w:firstLine="420"/>
        <w:jc w:val="center"/>
        <w:rPr>
          <w:rFonts w:eastAsia="Arial"/>
          <w:color w:val="000000"/>
        </w:rPr>
      </w:pPr>
    </w:p>
    <w:p w14:paraId="4551C815" w14:textId="77777777" w:rsidR="007A1C93" w:rsidRDefault="007A1C93">
      <w:pPr>
        <w:spacing w:line="360" w:lineRule="auto"/>
        <w:ind w:firstLineChars="200" w:firstLine="420"/>
        <w:rPr>
          <w:rFonts w:eastAsia="Arial"/>
          <w:color w:val="000000"/>
        </w:rPr>
      </w:pPr>
    </w:p>
    <w:p w14:paraId="6D75BA0C" w14:textId="77777777" w:rsidR="007A1C93" w:rsidRDefault="007A1C93">
      <w:pPr>
        <w:spacing w:line="360" w:lineRule="auto"/>
        <w:rPr>
          <w:bCs/>
          <w:sz w:val="24"/>
          <w:szCs w:val="24"/>
        </w:rPr>
      </w:pPr>
    </w:p>
    <w:p w14:paraId="586F5831" w14:textId="77777777" w:rsidR="007A1C93" w:rsidRDefault="007A1C93">
      <w:pPr>
        <w:spacing w:line="360" w:lineRule="auto"/>
        <w:ind w:firstLineChars="200" w:firstLine="480"/>
        <w:rPr>
          <w:rFonts w:eastAsia="Arial"/>
          <w:sz w:val="24"/>
          <w:szCs w:val="24"/>
        </w:rPr>
      </w:pPr>
    </w:p>
    <w:p w14:paraId="42973721" w14:textId="77777777" w:rsidR="007A1C93" w:rsidRDefault="007A1C93">
      <w:pPr>
        <w:spacing w:line="360" w:lineRule="auto"/>
        <w:rPr>
          <w:color w:val="000000"/>
          <w:sz w:val="24"/>
          <w:szCs w:val="24"/>
        </w:rPr>
      </w:pPr>
    </w:p>
    <w:p w14:paraId="50A409D0" w14:textId="77777777" w:rsidR="00AB714E" w:rsidRDefault="00AB714E">
      <w:pPr>
        <w:spacing w:line="360" w:lineRule="auto"/>
        <w:rPr>
          <w:rFonts w:eastAsia="Arial"/>
          <w:color w:val="000000"/>
          <w:sz w:val="24"/>
          <w:szCs w:val="24"/>
        </w:rPr>
      </w:pPr>
    </w:p>
    <w:p w14:paraId="253CA39C" w14:textId="77777777" w:rsidR="00AB714E" w:rsidRDefault="00AB714E">
      <w:pPr>
        <w:spacing w:line="360" w:lineRule="auto"/>
        <w:rPr>
          <w:rFonts w:eastAsia="Arial"/>
          <w:color w:val="000000"/>
          <w:sz w:val="24"/>
          <w:szCs w:val="24"/>
        </w:rPr>
      </w:pPr>
    </w:p>
    <w:p w14:paraId="6C9BD7D4" w14:textId="77777777" w:rsidR="005D690D" w:rsidRPr="005D690D" w:rsidRDefault="00AB714E" w:rsidP="005D690D">
      <w:pPr>
        <w:pStyle w:val="EndNoteBibliography"/>
      </w:pPr>
      <w:r>
        <w:fldChar w:fldCharType="begin"/>
      </w:r>
      <w:r>
        <w:instrText xml:space="preserve"> ADDIN EN.REFLIST </w:instrText>
      </w:r>
      <w:r>
        <w:fldChar w:fldCharType="separate"/>
      </w:r>
      <w:r w:rsidR="005D690D" w:rsidRPr="005D690D">
        <w:t xml:space="preserve">1. Watt FE. </w:t>
      </w:r>
      <w:r w:rsidR="005D690D" w:rsidRPr="005D690D">
        <w:rPr>
          <w:b/>
        </w:rPr>
        <w:t>Osteoarthritis biomarkers: year in review</w:t>
      </w:r>
      <w:r w:rsidR="005D690D" w:rsidRPr="005D690D">
        <w:t xml:space="preserve">. </w:t>
      </w:r>
      <w:r w:rsidR="005D690D" w:rsidRPr="005D690D">
        <w:rPr>
          <w:i/>
        </w:rPr>
        <w:t xml:space="preserve">Osteoarthritis and Cartilage </w:t>
      </w:r>
      <w:r w:rsidR="005D690D" w:rsidRPr="005D690D">
        <w:t>2018; 26(3):312-318.</w:t>
      </w:r>
    </w:p>
    <w:p w14:paraId="5B20E7F0" w14:textId="77777777" w:rsidR="005D690D" w:rsidRPr="005D690D" w:rsidRDefault="005D690D" w:rsidP="005D690D">
      <w:pPr>
        <w:pStyle w:val="EndNoteBibliography"/>
      </w:pPr>
      <w:r w:rsidRPr="005D690D">
        <w:t xml:space="preserve">2. Hunter DJ, Bierma-Zeinstra S. </w:t>
      </w:r>
      <w:r w:rsidRPr="005D690D">
        <w:rPr>
          <w:b/>
        </w:rPr>
        <w:t>Osteoarthritis</w:t>
      </w:r>
      <w:r w:rsidRPr="005D690D">
        <w:t xml:space="preserve">. </w:t>
      </w:r>
      <w:r w:rsidRPr="005D690D">
        <w:rPr>
          <w:i/>
        </w:rPr>
        <w:t xml:space="preserve">The Lancet </w:t>
      </w:r>
      <w:r w:rsidRPr="005D690D">
        <w:t>2019; 393(10182):1745-1759.</w:t>
      </w:r>
    </w:p>
    <w:p w14:paraId="66FD1BB2" w14:textId="77777777" w:rsidR="005D690D" w:rsidRPr="005D690D" w:rsidRDefault="005D690D" w:rsidP="005D690D">
      <w:pPr>
        <w:pStyle w:val="EndNoteBibliography"/>
      </w:pPr>
      <w:r w:rsidRPr="005D690D">
        <w:t xml:space="preserve">3. Loeser RF, Goldring SR, Scanzello CR, Goldring MB. </w:t>
      </w:r>
      <w:r w:rsidRPr="005D690D">
        <w:rPr>
          <w:b/>
        </w:rPr>
        <w:t>Osteoarthritis: A disease of the joint as an organ</w:t>
      </w:r>
      <w:r w:rsidRPr="005D690D">
        <w:t xml:space="preserve">. </w:t>
      </w:r>
      <w:r w:rsidRPr="005D690D">
        <w:rPr>
          <w:i/>
        </w:rPr>
        <w:t xml:space="preserve">Arthritis &amp; Rheumatism </w:t>
      </w:r>
      <w:r w:rsidRPr="005D690D">
        <w:t>2012; 64(6):1697-1707.</w:t>
      </w:r>
    </w:p>
    <w:p w14:paraId="38E5DB0C" w14:textId="77777777" w:rsidR="005D690D" w:rsidRPr="005D690D" w:rsidRDefault="005D690D" w:rsidP="005D690D">
      <w:pPr>
        <w:pStyle w:val="EndNoteBibliography"/>
      </w:pPr>
      <w:r w:rsidRPr="005D690D">
        <w:t xml:space="preserve">4. Duan R, Xie H, Liu Z-Z. </w:t>
      </w:r>
      <w:r w:rsidRPr="005D690D">
        <w:rPr>
          <w:b/>
        </w:rPr>
        <w:t>The Role of Autophagy in Osteoarthritis</w:t>
      </w:r>
      <w:r w:rsidRPr="005D690D">
        <w:t xml:space="preserve">. </w:t>
      </w:r>
      <w:r w:rsidRPr="005D690D">
        <w:rPr>
          <w:i/>
        </w:rPr>
        <w:t xml:space="preserve">Frontiers in Cell and Developmental Biology </w:t>
      </w:r>
      <w:r w:rsidRPr="005D690D">
        <w:t>2020; 8.</w:t>
      </w:r>
    </w:p>
    <w:p w14:paraId="559E6AF3" w14:textId="77777777" w:rsidR="005D690D" w:rsidRPr="005D690D" w:rsidRDefault="005D690D" w:rsidP="005D690D">
      <w:pPr>
        <w:pStyle w:val="EndNoteBibliography"/>
      </w:pPr>
      <w:r w:rsidRPr="005D690D">
        <w:t xml:space="preserve">5. Li L, Li J, Li J-J, Zhou H, Zhu X-W, Zhang P-H, et al. </w:t>
      </w:r>
      <w:r w:rsidRPr="005D690D">
        <w:rPr>
          <w:b/>
        </w:rPr>
        <w:t>Chondrocyte autophagy mechanism and therapeutic prospects in osteoarthritis</w:t>
      </w:r>
      <w:r w:rsidRPr="005D690D">
        <w:t xml:space="preserve">. </w:t>
      </w:r>
      <w:r w:rsidRPr="005D690D">
        <w:rPr>
          <w:i/>
        </w:rPr>
        <w:t xml:space="preserve">Frontiers in Cell and Developmental Biology </w:t>
      </w:r>
      <w:r w:rsidRPr="005D690D">
        <w:t>2024; 12.</w:t>
      </w:r>
    </w:p>
    <w:p w14:paraId="44365D89" w14:textId="77777777" w:rsidR="005D690D" w:rsidRPr="005D690D" w:rsidRDefault="005D690D" w:rsidP="005D690D">
      <w:pPr>
        <w:pStyle w:val="EndNoteBibliography"/>
      </w:pPr>
      <w:r w:rsidRPr="005D690D">
        <w:t xml:space="preserve">6. López de Figueroa P, Lotz MK, Blanco FJ, Caramés B. </w:t>
      </w:r>
      <w:r w:rsidRPr="005D690D">
        <w:rPr>
          <w:b/>
        </w:rPr>
        <w:t>Autophagy Activation and Protection From Mitochondrial Dysfunction in Human Chondrocytes</w:t>
      </w:r>
      <w:r w:rsidRPr="005D690D">
        <w:t xml:space="preserve">. </w:t>
      </w:r>
      <w:r w:rsidRPr="005D690D">
        <w:rPr>
          <w:i/>
        </w:rPr>
        <w:t xml:space="preserve">Arthritis &amp; Rheumatology </w:t>
      </w:r>
      <w:r w:rsidRPr="005D690D">
        <w:t>2015; 67(4):966-976.</w:t>
      </w:r>
    </w:p>
    <w:p w14:paraId="65036A02" w14:textId="77777777" w:rsidR="005D690D" w:rsidRPr="005D690D" w:rsidRDefault="005D690D" w:rsidP="005D690D">
      <w:pPr>
        <w:pStyle w:val="EndNoteBibliography"/>
      </w:pPr>
      <w:r w:rsidRPr="005D690D">
        <w:t xml:space="preserve">7. Katz JP, Perreault N, Goldstein BG, Lee CS, Labosky PA, Yang VW, et al. </w:t>
      </w:r>
      <w:r w:rsidRPr="005D690D">
        <w:rPr>
          <w:b/>
        </w:rPr>
        <w:t>The zinc-finger transcription factor Klf4 is required for terminal differentiation of goblet cells in the colon</w:t>
      </w:r>
      <w:r w:rsidRPr="005D690D">
        <w:t xml:space="preserve">. </w:t>
      </w:r>
      <w:r w:rsidRPr="005D690D">
        <w:rPr>
          <w:i/>
        </w:rPr>
        <w:t xml:space="preserve">Development (Cambridge, England) </w:t>
      </w:r>
      <w:r w:rsidRPr="005D690D">
        <w:t>2002; 129(11):2619-2628.</w:t>
      </w:r>
    </w:p>
    <w:p w14:paraId="1A805EBB" w14:textId="77777777" w:rsidR="005D690D" w:rsidRPr="005D690D" w:rsidRDefault="005D690D" w:rsidP="005D690D">
      <w:pPr>
        <w:pStyle w:val="EndNoteBibliography"/>
      </w:pPr>
      <w:r w:rsidRPr="005D690D">
        <w:t xml:space="preserve">8. Kawata M, Teramura T, Ordoukhanian P, Head SR, Natarajan P, Sundaresan A, et al. </w:t>
      </w:r>
      <w:r w:rsidRPr="005D690D">
        <w:rPr>
          <w:b/>
        </w:rPr>
        <w:t>Krüppel-like factor-4 and Krüppel-like factor-2 are important regulators of joint tissue cells and protect against tissue destruction and inflammation in osteoarthritis</w:t>
      </w:r>
      <w:r w:rsidRPr="005D690D">
        <w:t xml:space="preserve">. </w:t>
      </w:r>
      <w:r w:rsidRPr="005D690D">
        <w:rPr>
          <w:i/>
        </w:rPr>
        <w:t xml:space="preserve">Annals of the Rheumatic Diseases </w:t>
      </w:r>
      <w:r w:rsidRPr="005D690D">
        <w:t>2022; 81(8):1179-1188.</w:t>
      </w:r>
    </w:p>
    <w:p w14:paraId="1A90AD48" w14:textId="77777777" w:rsidR="005D690D" w:rsidRPr="005D690D" w:rsidRDefault="005D690D" w:rsidP="005D690D">
      <w:pPr>
        <w:pStyle w:val="EndNoteBibliography"/>
      </w:pPr>
      <w:r w:rsidRPr="005D690D">
        <w:t xml:space="preserve">9. Cao F, Xu Z, Li X-X, Fu Z-Y, Han R-Y, Zhang J-L, et al. </w:t>
      </w:r>
      <w:r w:rsidRPr="005D690D">
        <w:rPr>
          <w:b/>
        </w:rPr>
        <w:t>Trends and cross-country inequalities in the global burden of osteoarthritis, 1990–2019: A population-based study</w:t>
      </w:r>
      <w:r w:rsidRPr="005D690D">
        <w:t xml:space="preserve">. </w:t>
      </w:r>
      <w:r w:rsidRPr="005D690D">
        <w:rPr>
          <w:i/>
        </w:rPr>
        <w:t xml:space="preserve">Ageing Research Reviews </w:t>
      </w:r>
      <w:r w:rsidRPr="005D690D">
        <w:t>2024; 99.</w:t>
      </w:r>
    </w:p>
    <w:p w14:paraId="2E8A78CD" w14:textId="77777777" w:rsidR="005D690D" w:rsidRPr="005D690D" w:rsidRDefault="005D690D" w:rsidP="005D690D">
      <w:pPr>
        <w:pStyle w:val="EndNoteBibliography"/>
      </w:pPr>
      <w:r w:rsidRPr="005D690D">
        <w:t xml:space="preserve">10. Cui A, Li H, Wang D, Zhong J, Chen Y, Lu H. </w:t>
      </w:r>
      <w:r w:rsidRPr="005D690D">
        <w:rPr>
          <w:b/>
        </w:rPr>
        <w:t>Global, regional prevalence, incidence and risk factors of knee osteoarthritis in population-based studies</w:t>
      </w:r>
      <w:r w:rsidRPr="005D690D">
        <w:t xml:space="preserve">. </w:t>
      </w:r>
      <w:r w:rsidRPr="005D690D">
        <w:rPr>
          <w:i/>
        </w:rPr>
        <w:t xml:space="preserve">EClinicalMedicine </w:t>
      </w:r>
      <w:r w:rsidRPr="005D690D">
        <w:t>2020; 29-30.</w:t>
      </w:r>
    </w:p>
    <w:p w14:paraId="3BFAD27D" w14:textId="77777777" w:rsidR="005D690D" w:rsidRPr="005D690D" w:rsidRDefault="005D690D" w:rsidP="005D690D">
      <w:pPr>
        <w:pStyle w:val="EndNoteBibliography"/>
      </w:pPr>
      <w:r w:rsidRPr="005D690D">
        <w:t xml:space="preserve">11. Tang X, Wang S, Zhang Y, Niu J, Tao K, Lin J. </w:t>
      </w:r>
      <w:r w:rsidRPr="005D690D">
        <w:rPr>
          <w:b/>
        </w:rPr>
        <w:t>THE PREVALENCE OF SYMPTOMATIC KNEE OSTEOARTHRITIS IN CHINA: RESULTS FROM CHINA HEALTH AND RETIREMENT LONGITUDINAL STUDY</w:t>
      </w:r>
      <w:r w:rsidRPr="005D690D">
        <w:t xml:space="preserve">. </w:t>
      </w:r>
      <w:r w:rsidRPr="005D690D">
        <w:rPr>
          <w:i/>
        </w:rPr>
        <w:t xml:space="preserve">Osteoarthritis and Cartilage </w:t>
      </w:r>
      <w:r w:rsidRPr="005D690D">
        <w:t>2015; 23:A176-A177.</w:t>
      </w:r>
    </w:p>
    <w:p w14:paraId="5D1A76B3" w14:textId="77777777" w:rsidR="005D690D" w:rsidRPr="005D690D" w:rsidRDefault="005D690D" w:rsidP="005D690D">
      <w:pPr>
        <w:pStyle w:val="EndNoteBibliography"/>
      </w:pPr>
      <w:r w:rsidRPr="005D690D">
        <w:t xml:space="preserve">12. Michelacci YM, Baccarin RYA, Rodrigues NNP. </w:t>
      </w:r>
      <w:r w:rsidRPr="005D690D">
        <w:rPr>
          <w:b/>
        </w:rPr>
        <w:t>Chondrocyte Homeostasis and Differentiation: Transcriptional Control and Signaling in Healthy and Osteoarthritic Conditions</w:t>
      </w:r>
      <w:r w:rsidRPr="005D690D">
        <w:t xml:space="preserve">. </w:t>
      </w:r>
      <w:r w:rsidRPr="005D690D">
        <w:rPr>
          <w:i/>
        </w:rPr>
        <w:t xml:space="preserve">Life </w:t>
      </w:r>
      <w:r w:rsidRPr="005D690D">
        <w:t>2023; 13(7).</w:t>
      </w:r>
    </w:p>
    <w:p w14:paraId="4A04090A" w14:textId="77777777" w:rsidR="005D690D" w:rsidRPr="005D690D" w:rsidRDefault="005D690D" w:rsidP="005D690D">
      <w:pPr>
        <w:pStyle w:val="EndNoteBibliography"/>
      </w:pPr>
      <w:r w:rsidRPr="005D690D">
        <w:t xml:space="preserve">13. Xiao D, Bi R, Liu X, Mei J, Jiang N, Zhu S. </w:t>
      </w:r>
      <w:r w:rsidRPr="005D690D">
        <w:rPr>
          <w:b/>
        </w:rPr>
        <w:t>Notch Signaling Regulates MMP-13 Expression via Runx2 in Chondrocytes</w:t>
      </w:r>
      <w:r w:rsidRPr="005D690D">
        <w:t xml:space="preserve">. </w:t>
      </w:r>
      <w:r w:rsidRPr="005D690D">
        <w:rPr>
          <w:i/>
        </w:rPr>
        <w:t xml:space="preserve">Scientific Reports </w:t>
      </w:r>
      <w:r w:rsidRPr="005D690D">
        <w:t>2019; 9(1).</w:t>
      </w:r>
    </w:p>
    <w:p w14:paraId="5E5005A8" w14:textId="77777777" w:rsidR="005D690D" w:rsidRPr="005D690D" w:rsidRDefault="005D690D" w:rsidP="005D690D">
      <w:pPr>
        <w:pStyle w:val="EndNoteBibliography"/>
      </w:pPr>
      <w:r w:rsidRPr="005D690D">
        <w:t xml:space="preserve">14. Tardif G, Pelletier JP, Fahmi H, Hum D, Zhang Y, Kapoor M, et al. </w:t>
      </w:r>
      <w:r w:rsidRPr="005D690D">
        <w:rPr>
          <w:b/>
        </w:rPr>
        <w:t>NFAT3 and TGF-β/SMAD3 regulate the expression of miR-140 in osteoarthritis</w:t>
      </w:r>
      <w:r w:rsidRPr="005D690D">
        <w:t xml:space="preserve">. </w:t>
      </w:r>
      <w:r w:rsidRPr="005D690D">
        <w:rPr>
          <w:i/>
        </w:rPr>
        <w:t xml:space="preserve">Arthritis Res Ther </w:t>
      </w:r>
      <w:r w:rsidRPr="005D690D">
        <w:t>2013; 15(6):14.</w:t>
      </w:r>
    </w:p>
    <w:p w14:paraId="7295212A" w14:textId="77777777" w:rsidR="005D690D" w:rsidRPr="005D690D" w:rsidRDefault="005D690D" w:rsidP="005D690D">
      <w:pPr>
        <w:pStyle w:val="EndNoteBibliography"/>
      </w:pPr>
      <w:r w:rsidRPr="005D690D">
        <w:t xml:space="preserve">15. Zhang X-X, He S-H, Liang X, Li W, Li T-F, Li D-F. </w:t>
      </w:r>
      <w:r w:rsidRPr="005D690D">
        <w:rPr>
          <w:b/>
        </w:rPr>
        <w:t>Aging, Cell Senescence, the Pathogenesis and Targeted Therapies of Osteoarthritis</w:t>
      </w:r>
      <w:r w:rsidRPr="005D690D">
        <w:t xml:space="preserve">. </w:t>
      </w:r>
      <w:r w:rsidRPr="005D690D">
        <w:rPr>
          <w:i/>
        </w:rPr>
        <w:t xml:space="preserve">Frontiers in Pharmacology </w:t>
      </w:r>
      <w:r w:rsidRPr="005D690D">
        <w:t>2021; 12.</w:t>
      </w:r>
    </w:p>
    <w:p w14:paraId="4A396622" w14:textId="77777777" w:rsidR="005D690D" w:rsidRPr="005D690D" w:rsidRDefault="005D690D" w:rsidP="005D690D">
      <w:pPr>
        <w:pStyle w:val="EndNoteBibliography"/>
      </w:pPr>
      <w:r w:rsidRPr="005D690D">
        <w:t xml:space="preserve">16. Hosaka Y, Saito T, Sugita S, Fukai A, Hikata T, Akiyama H, et al. </w:t>
      </w:r>
      <w:r w:rsidRPr="005D690D">
        <w:rPr>
          <w:b/>
        </w:rPr>
        <w:t>NOTCH/RBPJ/HES1 SIGNAL IN CHONDROCYTES MODULATES TERMINAL STAGE OF ENDOCHONDRAL OSSIFICATION DURING SKELETAL GROWTH AND OSTEOARTHRITIS DEVELOPMENT</w:t>
      </w:r>
      <w:r w:rsidRPr="005D690D">
        <w:t xml:space="preserve">. </w:t>
      </w:r>
      <w:r w:rsidRPr="005D690D">
        <w:rPr>
          <w:i/>
        </w:rPr>
        <w:t xml:space="preserve">Osteoarthritis and Cartilage </w:t>
      </w:r>
      <w:r w:rsidRPr="005D690D">
        <w:t>2011; 19:S38-S38.</w:t>
      </w:r>
    </w:p>
    <w:p w14:paraId="6A4F00DB" w14:textId="77777777" w:rsidR="005D690D" w:rsidRPr="005D690D" w:rsidRDefault="005D690D" w:rsidP="005D690D">
      <w:pPr>
        <w:pStyle w:val="EndNoteBibliography"/>
      </w:pPr>
      <w:r w:rsidRPr="005D690D">
        <w:t xml:space="preserve">17. Tian C, Yao S, Liu L, Ding Y, Ye Q, Dong X, et al. </w:t>
      </w:r>
      <w:r w:rsidRPr="005D690D">
        <w:rPr>
          <w:b/>
        </w:rPr>
        <w:t>Klf4 inhibits tumor growth and metastasis by targeting microRNA-31 in human hepatocellular carcinoma</w:t>
      </w:r>
      <w:r w:rsidRPr="005D690D">
        <w:t xml:space="preserve">. </w:t>
      </w:r>
      <w:r w:rsidRPr="005D690D">
        <w:rPr>
          <w:i/>
        </w:rPr>
        <w:t xml:space="preserve">International Journal of Molecular Medicine </w:t>
      </w:r>
      <w:r w:rsidRPr="005D690D">
        <w:t>2017; 39(1):47-56.</w:t>
      </w:r>
    </w:p>
    <w:p w14:paraId="7CA9637F" w14:textId="77777777" w:rsidR="005D690D" w:rsidRPr="005D690D" w:rsidRDefault="005D690D" w:rsidP="005D690D">
      <w:pPr>
        <w:pStyle w:val="EndNoteBibliography"/>
      </w:pPr>
      <w:r w:rsidRPr="005D690D">
        <w:t xml:space="preserve">18. Zhang X, Zheng B, Zhao L, Shen J, Yang Z, Zhang Y, et al. </w:t>
      </w:r>
      <w:r w:rsidRPr="005D690D">
        <w:rPr>
          <w:b/>
        </w:rPr>
        <w:t xml:space="preserve">KLF4-PFKFB3-driven glycolysis is </w:t>
      </w:r>
      <w:r w:rsidRPr="005D690D">
        <w:rPr>
          <w:b/>
        </w:rPr>
        <w:lastRenderedPageBreak/>
        <w:t>essential for phenotypic switching of vascular smooth muscle cells</w:t>
      </w:r>
      <w:r w:rsidRPr="005D690D">
        <w:t xml:space="preserve">. </w:t>
      </w:r>
      <w:r w:rsidRPr="005D690D">
        <w:rPr>
          <w:i/>
        </w:rPr>
        <w:t xml:space="preserve">Communications Biology </w:t>
      </w:r>
      <w:r w:rsidRPr="005D690D">
        <w:t>2022; 5(1).</w:t>
      </w:r>
    </w:p>
    <w:p w14:paraId="5B21D0F5" w14:textId="77777777" w:rsidR="005D690D" w:rsidRPr="005D690D" w:rsidRDefault="005D690D" w:rsidP="005D690D">
      <w:pPr>
        <w:pStyle w:val="EndNoteBibliography"/>
      </w:pPr>
      <w:r w:rsidRPr="005D690D">
        <w:t xml:space="preserve">19. Cai S, Wang X, Xu R, Liang Z, Zhu Q, Chen M, et al. </w:t>
      </w:r>
      <w:r w:rsidRPr="005D690D">
        <w:rPr>
          <w:b/>
        </w:rPr>
        <w:t>KLF4 regulates skeletal muscle development and regeneration by directly targeting P57 and Myomixer</w:t>
      </w:r>
      <w:r w:rsidRPr="005D690D">
        <w:t xml:space="preserve">. </w:t>
      </w:r>
      <w:r w:rsidRPr="005D690D">
        <w:rPr>
          <w:i/>
        </w:rPr>
        <w:t xml:space="preserve">Cell Death &amp; Disease </w:t>
      </w:r>
      <w:r w:rsidRPr="005D690D">
        <w:t>2023; 14(9).</w:t>
      </w:r>
    </w:p>
    <w:p w14:paraId="0F42A6C2" w14:textId="77777777" w:rsidR="005D690D" w:rsidRPr="005D690D" w:rsidRDefault="005D690D" w:rsidP="005D690D">
      <w:pPr>
        <w:pStyle w:val="EndNoteBibliography"/>
      </w:pPr>
      <w:r w:rsidRPr="005D690D">
        <w:t xml:space="preserve">20. Takeuchi Y, Tatsuta S, Kito A, Fujikawa J, Itoh S, Itoh Y, et al. </w:t>
      </w:r>
      <w:r w:rsidRPr="005D690D">
        <w:rPr>
          <w:b/>
        </w:rPr>
        <w:t>Kruppel-like factor 4 upregulates matrix metalloproteinase 13 expression in chondrocytes via mRNA stabilization</w:t>
      </w:r>
      <w:r w:rsidRPr="005D690D">
        <w:t xml:space="preserve">. </w:t>
      </w:r>
      <w:r w:rsidRPr="005D690D">
        <w:rPr>
          <w:i/>
        </w:rPr>
        <w:t xml:space="preserve">Cell and Tissue Research </w:t>
      </w:r>
      <w:r w:rsidRPr="005D690D">
        <w:t>2020; 382(2):307-319.</w:t>
      </w:r>
    </w:p>
    <w:p w14:paraId="682D3D1E" w14:textId="77777777" w:rsidR="005D690D" w:rsidRPr="005D690D" w:rsidRDefault="005D690D" w:rsidP="005D690D">
      <w:pPr>
        <w:pStyle w:val="EndNoteBibliography"/>
      </w:pPr>
      <w:r w:rsidRPr="005D690D">
        <w:t xml:space="preserve">21. Gurusinghe S, Bandara N, Hilbert B, Trope G, Wang L, Strappe P. </w:t>
      </w:r>
      <w:r w:rsidRPr="005D690D">
        <w:rPr>
          <w:b/>
        </w:rPr>
        <w:t>Lentiviral vector expression of Klf4 enhances chondrogenesis and reduces hypertrophy in equine chondrocytes</w:t>
      </w:r>
      <w:r w:rsidRPr="005D690D">
        <w:t xml:space="preserve">. </w:t>
      </w:r>
      <w:r w:rsidRPr="005D690D">
        <w:rPr>
          <w:i/>
        </w:rPr>
        <w:t xml:space="preserve">Gene </w:t>
      </w:r>
      <w:r w:rsidRPr="005D690D">
        <w:t>2019; 680:9-19.</w:t>
      </w:r>
    </w:p>
    <w:p w14:paraId="600FAE84" w14:textId="77777777" w:rsidR="005D690D" w:rsidRPr="005D690D" w:rsidRDefault="005D690D" w:rsidP="005D690D">
      <w:pPr>
        <w:pStyle w:val="EndNoteBibliography"/>
      </w:pPr>
      <w:r w:rsidRPr="005D690D">
        <w:t xml:space="preserve">22. Huang Y, Chen D, Yan Z, Zhan J, Xue X, Pan X, et al. </w:t>
      </w:r>
      <w:r w:rsidRPr="005D690D">
        <w:rPr>
          <w:b/>
        </w:rPr>
        <w:t>LncRNA MEG3 Protects Chondrocytes From IL-1β-Induced Inflammation via Regulating miR-9-5p/KLF4 Axis</w:t>
      </w:r>
      <w:r w:rsidRPr="005D690D">
        <w:t xml:space="preserve">. </w:t>
      </w:r>
      <w:r w:rsidRPr="005D690D">
        <w:rPr>
          <w:i/>
        </w:rPr>
        <w:t xml:space="preserve">Frontiers in Physiology </w:t>
      </w:r>
      <w:r w:rsidRPr="005D690D">
        <w:t>2021; 12.</w:t>
      </w:r>
    </w:p>
    <w:p w14:paraId="2A370D66" w14:textId="77777777" w:rsidR="005D690D" w:rsidRPr="005D690D" w:rsidRDefault="005D690D" w:rsidP="005D690D">
      <w:pPr>
        <w:pStyle w:val="EndNoteBibliography"/>
      </w:pPr>
      <w:r w:rsidRPr="005D690D">
        <w:t xml:space="preserve">23. Yu S-M, Kim SJ. </w:t>
      </w:r>
      <w:r w:rsidRPr="005D690D">
        <w:rPr>
          <w:b/>
        </w:rPr>
        <w:t>Kruppel-like factor 4 (KLF-4) plays a crucial role in simvastatin (SVT)-induced differentiation of rabbit articular chondrocytes</w:t>
      </w:r>
      <w:r w:rsidRPr="005D690D">
        <w:t xml:space="preserve">. </w:t>
      </w:r>
      <w:r w:rsidRPr="005D690D">
        <w:rPr>
          <w:i/>
        </w:rPr>
        <w:t xml:space="preserve">Biochemical and Biophysical Research Communications </w:t>
      </w:r>
      <w:r w:rsidRPr="005D690D">
        <w:t>2018; 501(3):814-819.</w:t>
      </w:r>
    </w:p>
    <w:p w14:paraId="22B9CF3E" w14:textId="77777777" w:rsidR="005D690D" w:rsidRPr="005D690D" w:rsidRDefault="005D690D" w:rsidP="005D690D">
      <w:pPr>
        <w:pStyle w:val="EndNoteBibliography"/>
      </w:pPr>
      <w:r w:rsidRPr="005D690D">
        <w:t xml:space="preserve">24. Ye Z, Liu Y, Song J, Gao Y, Fang H, Hu Z, et al. </w:t>
      </w:r>
      <w:r w:rsidRPr="005D690D">
        <w:rPr>
          <w:b/>
        </w:rPr>
        <w:t>Expanding the therapeutic potential of Salvia miltiorrhiza: a review of its pharmacological applications in musculoskeletal diseases</w:t>
      </w:r>
      <w:r w:rsidRPr="005D690D">
        <w:t xml:space="preserve">. </w:t>
      </w:r>
      <w:r w:rsidRPr="005D690D">
        <w:rPr>
          <w:i/>
        </w:rPr>
        <w:t xml:space="preserve">Frontiers in Pharmacology </w:t>
      </w:r>
      <w:r w:rsidRPr="005D690D">
        <w:t>2023; 14.</w:t>
      </w:r>
    </w:p>
    <w:p w14:paraId="18E1D9C3" w14:textId="77777777" w:rsidR="005D690D" w:rsidRPr="005D690D" w:rsidRDefault="005D690D" w:rsidP="005D690D">
      <w:pPr>
        <w:pStyle w:val="EndNoteBibliography"/>
      </w:pPr>
      <w:r w:rsidRPr="005D690D">
        <w:t xml:space="preserve">25. Pedrosa P, Zhang Z, Nuñez-Quintela V, Macias D, Ge J, Denholm M, et al. </w:t>
      </w:r>
      <w:r w:rsidRPr="005D690D">
        <w:rPr>
          <w:b/>
        </w:rPr>
        <w:t>Inhibition of lung tumorigenesis by transient reprogramming in cancer cells</w:t>
      </w:r>
      <w:r w:rsidRPr="005D690D">
        <w:t xml:space="preserve">. </w:t>
      </w:r>
      <w:r w:rsidRPr="005D690D">
        <w:rPr>
          <w:i/>
        </w:rPr>
        <w:t xml:space="preserve">Cell Death &amp; Disease </w:t>
      </w:r>
      <w:r w:rsidRPr="005D690D">
        <w:t>2024; 15(11).</w:t>
      </w:r>
    </w:p>
    <w:p w14:paraId="1E6347B9" w14:textId="77777777" w:rsidR="005D690D" w:rsidRPr="005D690D" w:rsidRDefault="005D690D" w:rsidP="005D690D">
      <w:pPr>
        <w:pStyle w:val="EndNoteBibliography"/>
      </w:pPr>
      <w:r w:rsidRPr="005D690D">
        <w:t xml:space="preserve">26. Takayama K, Kawakami Y, Kobayashi M, Greco N, Cummins JH, Matsushita T, et al. </w:t>
      </w:r>
      <w:r w:rsidRPr="005D690D">
        <w:rPr>
          <w:b/>
        </w:rPr>
        <w:t>Local intra-articular injection of rapamycin delays articular cartilage degeneration in a murine model of osteoarthritis</w:t>
      </w:r>
      <w:r w:rsidRPr="005D690D">
        <w:t xml:space="preserve">. </w:t>
      </w:r>
      <w:r w:rsidRPr="005D690D">
        <w:rPr>
          <w:i/>
        </w:rPr>
        <w:t xml:space="preserve">Arthritis Res Ther </w:t>
      </w:r>
      <w:r w:rsidRPr="005D690D">
        <w:t>2014; 16(6):10.</w:t>
      </w:r>
    </w:p>
    <w:p w14:paraId="14F6DD7D" w14:textId="77777777" w:rsidR="005D690D" w:rsidRPr="005D690D" w:rsidRDefault="005D690D" w:rsidP="005D690D">
      <w:pPr>
        <w:pStyle w:val="EndNoteBibliography"/>
      </w:pPr>
      <w:r w:rsidRPr="005D690D">
        <w:t xml:space="preserve">27. Deng Z, Long D, Li C, Liu H, Li W, Zhong Y, et al. </w:t>
      </w:r>
      <w:r w:rsidRPr="005D690D">
        <w:rPr>
          <w:b/>
        </w:rPr>
        <w:t>IRF1-mediated upregulation of PARP12 promotes cartilage degradation by inhibiting PINK1/Parkin dependent mitophagy through ISG15 attenuating ubiquitylation and SUMOylation of MFN1/2</w:t>
      </w:r>
      <w:r w:rsidRPr="005D690D">
        <w:t xml:space="preserve">. </w:t>
      </w:r>
      <w:r w:rsidRPr="005D690D">
        <w:rPr>
          <w:i/>
        </w:rPr>
        <w:t xml:space="preserve">Bone Research </w:t>
      </w:r>
      <w:r w:rsidRPr="005D690D">
        <w:t>2024; 12(1).</w:t>
      </w:r>
    </w:p>
    <w:p w14:paraId="1AA99A13" w14:textId="77777777" w:rsidR="005D690D" w:rsidRPr="005D690D" w:rsidRDefault="005D690D" w:rsidP="005D690D">
      <w:pPr>
        <w:pStyle w:val="EndNoteBibliography"/>
      </w:pPr>
      <w:r w:rsidRPr="005D690D">
        <w:t xml:space="preserve">28. Rosencrans WM, Walsh ZH, Houerbi N, Blum A, Belew M, Liu C, et al. </w:t>
      </w:r>
      <w:r w:rsidRPr="005D690D">
        <w:rPr>
          <w:b/>
        </w:rPr>
        <w:t>Cells deficient for Krüppel-like factor 4 exhibit mitochondrial dysfunction and impaired mitophagy</w:t>
      </w:r>
      <w:r w:rsidRPr="005D690D">
        <w:t xml:space="preserve">. </w:t>
      </w:r>
      <w:r w:rsidRPr="005D690D">
        <w:rPr>
          <w:i/>
        </w:rPr>
        <w:t xml:space="preserve">European Journal of Cell Biology </w:t>
      </w:r>
      <w:r w:rsidRPr="005D690D">
        <w:t>2020; 99(1).</w:t>
      </w:r>
    </w:p>
    <w:p w14:paraId="501877E7" w14:textId="77777777" w:rsidR="005D690D" w:rsidRPr="005D690D" w:rsidRDefault="005D690D" w:rsidP="005D690D">
      <w:pPr>
        <w:pStyle w:val="EndNoteBibliography"/>
      </w:pPr>
      <w:r w:rsidRPr="005D690D">
        <w:t xml:space="preserve">29. Liao X, Zhang R, Lu Y, Prosdocimo DA, Sangwung P, Zhang L, et al. </w:t>
      </w:r>
      <w:r w:rsidRPr="005D690D">
        <w:rPr>
          <w:b/>
        </w:rPr>
        <w:t>Kruppel-like factor 4 is critical for transcriptional control of cardiac mitochondrial homeostasis</w:t>
      </w:r>
      <w:r w:rsidRPr="005D690D">
        <w:t xml:space="preserve">. </w:t>
      </w:r>
      <w:r w:rsidRPr="005D690D">
        <w:rPr>
          <w:i/>
        </w:rPr>
        <w:t xml:space="preserve">Journal of Clinical Investigation </w:t>
      </w:r>
      <w:r w:rsidRPr="005D690D">
        <w:t>2015; 125(9):3461-3476.</w:t>
      </w:r>
    </w:p>
    <w:p w14:paraId="5096A6F7" w14:textId="77777777" w:rsidR="005D690D" w:rsidRPr="005D690D" w:rsidRDefault="005D690D" w:rsidP="005D690D">
      <w:pPr>
        <w:pStyle w:val="EndNoteBibliography"/>
      </w:pPr>
      <w:r w:rsidRPr="005D690D">
        <w:t xml:space="preserve">30. Liang Y, Zhao J, Dai T, Li X, Chen L, He Z, et al. </w:t>
      </w:r>
      <w:r w:rsidRPr="005D690D">
        <w:rPr>
          <w:b/>
        </w:rPr>
        <w:t>A review of KLF4 and inflammatory disease: Current status and future perspective</w:t>
      </w:r>
      <w:r w:rsidRPr="005D690D">
        <w:t xml:space="preserve">. </w:t>
      </w:r>
      <w:r w:rsidRPr="005D690D">
        <w:rPr>
          <w:i/>
        </w:rPr>
        <w:t xml:space="preserve">Pharmacological Research </w:t>
      </w:r>
      <w:r w:rsidRPr="005D690D">
        <w:t>2024; 207.</w:t>
      </w:r>
    </w:p>
    <w:p w14:paraId="3E2AB2F9" w14:textId="45365639" w:rsidR="007A1C93" w:rsidRDefault="00AB714E">
      <w:pPr>
        <w:spacing w:line="360" w:lineRule="auto"/>
        <w:rPr>
          <w:rFonts w:eastAsia="Arial"/>
          <w:color w:val="000000"/>
          <w:sz w:val="24"/>
          <w:szCs w:val="24"/>
        </w:rPr>
      </w:pPr>
      <w:r>
        <w:rPr>
          <w:rFonts w:eastAsia="Arial"/>
          <w:color w:val="000000"/>
          <w:sz w:val="24"/>
          <w:szCs w:val="24"/>
        </w:rPr>
        <w:fldChar w:fldCharType="end"/>
      </w:r>
    </w:p>
    <w:sectPr w:rsidR="007A1C93">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bordersDoNotSurroundHeader/>
  <w:bordersDoNotSurroundFooter/>
  <w:proofState w:spelling="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GQxN2E4ZTQ3ZDkzZTVjOWFhOWI5ZTc2Y2FiYjIzMGMifQ=="/>
    <w:docVar w:name="EN.InstantFormat" w:val="&lt;ENInstantFormat&gt;&lt;Enabled&gt;1&lt;/Enabled&gt;&lt;ScanUnformatted&gt;1&lt;/ScanUnformatted&gt;&lt;ScanChanges&gt;1&lt;/ScanChanges&gt;&lt;Suspended&gt;0&lt;/Suspended&gt;&lt;/ENInstantFormat&gt;"/>
    <w:docVar w:name="EN.Layout" w:val="&lt;ENLayout&gt;&lt;Style&gt;AIDS&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avfaaezvnr20v0e2zfkxaee9fwrzz5sx02a2&quot;&gt;My EndNote Library&lt;record-ids&gt;&lt;item&gt;20&lt;/item&gt;&lt;item&gt;22&lt;/item&gt;&lt;item&gt;24&lt;/item&gt;&lt;item&gt;26&lt;/item&gt;&lt;item&gt;30&lt;/item&gt;&lt;item&gt;33&lt;/item&gt;&lt;item&gt;37&lt;/item&gt;&lt;item&gt;40&lt;/item&gt;&lt;item&gt;41&lt;/item&gt;&lt;item&gt;43&lt;/item&gt;&lt;item&gt;45&lt;/item&gt;&lt;item&gt;47&lt;/item&gt;&lt;item&gt;50&lt;/item&gt;&lt;item&gt;52&lt;/item&gt;&lt;item&gt;54&lt;/item&gt;&lt;item&gt;56&lt;/item&gt;&lt;item&gt;69&lt;/item&gt;&lt;item&gt;72&lt;/item&gt;&lt;item&gt;74&lt;/item&gt;&lt;item&gt;77&lt;/item&gt;&lt;item&gt;79&lt;/item&gt;&lt;item&gt;81&lt;/item&gt;&lt;item&gt;83&lt;/item&gt;&lt;item&gt;85&lt;/item&gt;&lt;item&gt;87&lt;/item&gt;&lt;item&gt;89&lt;/item&gt;&lt;item&gt;92&lt;/item&gt;&lt;item&gt;94&lt;/item&gt;&lt;item&gt;96&lt;/item&gt;&lt;item&gt;98&lt;/item&gt;&lt;item&gt;100&lt;/item&gt;&lt;/record-ids&gt;&lt;/item&gt;&lt;/Libraries&gt;"/>
  </w:docVars>
  <w:rsids>
    <w:rsidRoot w:val="3D4C3500"/>
    <w:rsid w:val="00104BE4"/>
    <w:rsid w:val="0014037C"/>
    <w:rsid w:val="003929F5"/>
    <w:rsid w:val="003B37FC"/>
    <w:rsid w:val="003C3322"/>
    <w:rsid w:val="005A7E5C"/>
    <w:rsid w:val="005D690D"/>
    <w:rsid w:val="007A1C93"/>
    <w:rsid w:val="009A3D70"/>
    <w:rsid w:val="00AB714E"/>
    <w:rsid w:val="00D26CCA"/>
    <w:rsid w:val="00D31D85"/>
    <w:rsid w:val="00D365DC"/>
    <w:rsid w:val="00F06858"/>
    <w:rsid w:val="00F43F39"/>
    <w:rsid w:val="00FC6469"/>
    <w:rsid w:val="36076104"/>
    <w:rsid w:val="393F1F7B"/>
    <w:rsid w:val="3D4C35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41730EF"/>
  <w15:docId w15:val="{D9B4F58E-208C-48F2-ACA9-C2CB85E30E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imes New Roman" w:eastAsia="宋体" w:hAnsi="Times New Roman" w:cs="Times New Roman"/>
      <w:kern w:val="2"/>
      <w:sz w:val="21"/>
      <w:szCs w:val="2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unhideWhenUsed/>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a"/>
    <w:link w:val="EndNoteBibliographyTitle0"/>
    <w:rsid w:val="00AB714E"/>
    <w:pPr>
      <w:jc w:val="center"/>
    </w:pPr>
    <w:rPr>
      <w:noProof/>
      <w:sz w:val="20"/>
    </w:rPr>
  </w:style>
  <w:style w:type="character" w:customStyle="1" w:styleId="EndNoteBibliographyTitle0">
    <w:name w:val="EndNote Bibliography Title 字符"/>
    <w:basedOn w:val="a0"/>
    <w:link w:val="EndNoteBibliographyTitle"/>
    <w:rsid w:val="00AB714E"/>
    <w:rPr>
      <w:rFonts w:ascii="Times New Roman" w:eastAsia="宋体" w:hAnsi="Times New Roman" w:cs="Times New Roman"/>
      <w:noProof/>
      <w:kern w:val="2"/>
      <w:szCs w:val="21"/>
    </w:rPr>
  </w:style>
  <w:style w:type="paragraph" w:customStyle="1" w:styleId="EndNoteBibliography">
    <w:name w:val="EndNote Bibliography"/>
    <w:basedOn w:val="a"/>
    <w:link w:val="EndNoteBibliography0"/>
    <w:rsid w:val="00AB714E"/>
    <w:rPr>
      <w:noProof/>
      <w:sz w:val="20"/>
    </w:rPr>
  </w:style>
  <w:style w:type="character" w:customStyle="1" w:styleId="EndNoteBibliography0">
    <w:name w:val="EndNote Bibliography 字符"/>
    <w:basedOn w:val="a0"/>
    <w:link w:val="EndNoteBibliography"/>
    <w:rsid w:val="00AB714E"/>
    <w:rPr>
      <w:rFonts w:ascii="Times New Roman" w:eastAsia="宋体" w:hAnsi="Times New Roman" w:cs="Times New Roman"/>
      <w:noProof/>
      <w:kern w:val="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jpe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jpe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102</TotalTime>
  <Pages>24</Pages>
  <Words>11071</Words>
  <Characters>63109</Characters>
  <Application>Microsoft Office Word</Application>
  <DocSecurity>0</DocSecurity>
  <Lines>525</Lines>
  <Paragraphs>148</Paragraphs>
  <ScaleCrop>false</ScaleCrop>
  <Company/>
  <LinksUpToDate>false</LinksUpToDate>
  <CharactersWithSpaces>74032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冯文广</dc:creator>
  <cp:lastModifiedBy>8613133194355</cp:lastModifiedBy>
  <cp:revision>9</cp:revision>
  <dcterms:created xsi:type="dcterms:W3CDTF">2024-11-20T10:04:00Z</dcterms:created>
  <dcterms:modified xsi:type="dcterms:W3CDTF">2024-11-27T14:17:00Z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1DFCD011FE0F4E86B88A3A0A7B430D14_11</vt:lpwstr>
  </property>
</Properties>
</file>