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00" w:after="60"/>
        <w:jc w:val="center"/>
        <w:rPr>
          <w:rFonts w:ascii="Times New Roman" w:hAnsi="Times New Roman" w:cs="Times New Roman"/>
          <w:b/>
          <w:bCs/>
        </w:rPr>
      </w:pPr>
      <w:bookmarkStart w:id="0" w:name="OLE_LINK12"/>
      <w:bookmarkStart w:id="1" w:name="OLE_LINK55"/>
      <w:bookmarkStart w:id="2" w:name="OLE_LINK11"/>
      <w:r>
        <w:rPr>
          <w:rFonts w:ascii="Times New Roman" w:hAnsi="Times New Roman" w:cs="Times New Roman"/>
          <w:b/>
          <w:bCs/>
        </w:rPr>
        <w:t>Supplementary Materials for</w:t>
      </w:r>
    </w:p>
    <w:bookmarkEnd w:id="0"/>
    <w:bookmarkEnd w:id="1"/>
    <w:bookmarkEnd w:id="2"/>
    <w:p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Lattice oxygen oxidation in Oxygen Vacancy-rich Co</w:t>
      </w:r>
      <w:r>
        <w:rPr>
          <w:rFonts w:ascii="Arial" w:hAnsi="Arial" w:cs="Arial"/>
          <w:b/>
          <w:bCs/>
          <w:sz w:val="28"/>
          <w:szCs w:val="28"/>
          <w:vertAlign w:val="subscript"/>
        </w:rPr>
        <w:t>3</w:t>
      </w:r>
      <w:r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  <w:vertAlign w:val="subscript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 for the Electrooxidation of 5-Hydroxymethyfurfural </w:t>
      </w:r>
    </w:p>
    <w:p>
      <w:pPr>
        <w:spacing w:before="312" w:beforeLines="100" w:after="156" w:afterLines="50" w:line="276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Yuxuan Lu,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[a],+</w:t>
      </w:r>
      <w:r>
        <w:rPr>
          <w:rFonts w:ascii="Times New Roman" w:hAnsi="Times New Roman" w:cs="Times New Roman"/>
          <w:sz w:val="21"/>
          <w:szCs w:val="21"/>
        </w:rPr>
        <w:t xml:space="preserve"> Tianyang Liu,</w:t>
      </w:r>
      <w:r>
        <w:rPr>
          <w:rFonts w:ascii="Times New Roman" w:hAnsi="Times New Roman" w:cs="Times New Roman"/>
          <w:sz w:val="21"/>
          <w:szCs w:val="21"/>
          <w:vertAlign w:val="superscript"/>
        </w:rPr>
        <w:t xml:space="preserve">[b],+ </w:t>
      </w:r>
      <w:r>
        <w:rPr>
          <w:rFonts w:ascii="Times New Roman" w:hAnsi="Times New Roman" w:cs="Times New Roman"/>
          <w:sz w:val="21"/>
          <w:szCs w:val="21"/>
        </w:rPr>
        <w:t>Chunming Yang,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[a,c],+</w:t>
      </w:r>
      <w:r>
        <w:rPr>
          <w:rFonts w:ascii="Times New Roman" w:hAnsi="Times New Roman" w:cs="Times New Roman"/>
          <w:sz w:val="21"/>
          <w:szCs w:val="21"/>
        </w:rPr>
        <w:t xml:space="preserve"> Chung-Li Dong,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[d],+</w:t>
      </w:r>
      <w:r>
        <w:rPr>
          <w:rFonts w:ascii="Times New Roman" w:hAnsi="Times New Roman" w:cs="Times New Roman"/>
          <w:sz w:val="21"/>
          <w:szCs w:val="21"/>
        </w:rPr>
        <w:t xml:space="preserve"> Yucheng Huang,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[d],+</w:t>
      </w:r>
      <w:r>
        <w:rPr>
          <w:rFonts w:ascii="Times New Roman" w:hAnsi="Times New Roman" w:cs="Times New Roman"/>
          <w:sz w:val="21"/>
          <w:szCs w:val="21"/>
        </w:rPr>
        <w:t xml:space="preserve"> Yafei Li,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[b],+</w:t>
      </w:r>
      <w:r>
        <w:rPr>
          <w:rFonts w:ascii="Times New Roman" w:hAnsi="Times New Roman" w:cs="Times New Roman"/>
          <w:sz w:val="21"/>
          <w:szCs w:val="21"/>
        </w:rPr>
        <w:t xml:space="preserve"> Bo Zhou,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[a]</w:t>
      </w:r>
      <w:r>
        <w:rPr>
          <w:rFonts w:ascii="Times New Roman" w:hAnsi="Times New Roman" w:cs="Times New Roman"/>
          <w:sz w:val="21"/>
          <w:szCs w:val="21"/>
        </w:rPr>
        <w:t xml:space="preserve"> Ling Zhou,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[a]</w:t>
      </w:r>
      <w:r>
        <w:rPr>
          <w:rFonts w:ascii="Times New Roman" w:hAnsi="Times New Roman" w:cs="Times New Roman"/>
          <w:sz w:val="21"/>
          <w:szCs w:val="21"/>
        </w:rPr>
        <w:t xml:space="preserve"> Yujie Wu,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[a]</w:t>
      </w:r>
      <w:r>
        <w:rPr>
          <w:rFonts w:ascii="Times New Roman" w:hAnsi="Times New Roman" w:cs="Times New Roman"/>
          <w:sz w:val="21"/>
          <w:szCs w:val="21"/>
        </w:rPr>
        <w:t xml:space="preserve"> Zhijie Kong,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[a]</w:t>
      </w:r>
      <w:r>
        <w:rPr>
          <w:rFonts w:ascii="Times New Roman" w:hAnsi="Times New Roman" w:cs="Times New Roman"/>
          <w:sz w:val="21"/>
          <w:szCs w:val="21"/>
        </w:rPr>
        <w:t xml:space="preserve"> Ming Yang,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[a]</w:t>
      </w:r>
      <w:r>
        <w:rPr>
          <w:rFonts w:ascii="Times New Roman" w:hAnsi="Times New Roman" w:cs="Times New Roman"/>
          <w:sz w:val="21"/>
          <w:szCs w:val="21"/>
        </w:rPr>
        <w:t xml:space="preserve"> Yandong Wu,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[a]</w:t>
      </w:r>
      <w:r>
        <w:rPr>
          <w:rFonts w:ascii="Times New Roman" w:hAnsi="Times New Roman" w:cs="Times New Roman"/>
          <w:sz w:val="21"/>
          <w:szCs w:val="21"/>
        </w:rPr>
        <w:t xml:space="preserve"> Weixing Zhao,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[a]</w:t>
      </w:r>
      <w:r>
        <w:rPr>
          <w:rFonts w:ascii="Times New Roman" w:hAnsi="Times New Roman" w:cs="Times New Roman"/>
          <w:sz w:val="21"/>
          <w:szCs w:val="21"/>
        </w:rPr>
        <w:t xml:space="preserve"> Yuqin Zou,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*[a]</w:t>
      </w:r>
      <w:r>
        <w:rPr>
          <w:rFonts w:ascii="Times New Roman" w:hAnsi="Times New Roman" w:cs="Times New Roman"/>
          <w:sz w:val="21"/>
          <w:szCs w:val="21"/>
        </w:rPr>
        <w:t xml:space="preserve"> Shuangyin Wang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*[a]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>
        <w:rPr>
          <w:rFonts w:ascii="Times New Roman" w:hAnsi="Times New Roman" w:cs="Times New Roman"/>
          <w:sz w:val="21"/>
          <w:szCs w:val="21"/>
        </w:rPr>
        <w:t>Y.H.L., T.Y.L, C.M.Y, C.L.D, Y.C.H and Y.F.L equally contributed to this work.</w:t>
      </w:r>
    </w:p>
    <w:p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*Correspondence to: yuqin_zou@hnu.edu.cn</w:t>
      </w:r>
      <w:bookmarkStart w:id="3" w:name="_GoBack"/>
      <w:bookmarkEnd w:id="3"/>
    </w:p>
    <w:p>
      <w:pPr>
        <w:rPr>
          <w:rFonts w:ascii="Arial" w:hAnsi="Arial" w:cs="Arial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Supporting Figures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0500" cy="3525520"/>
            <wp:effectExtent l="0" t="0" r="0" b="508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Fig. 1 SEM image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ascii="Times New Roman" w:hAnsi="Times New Roman" w:cs="Times New Roman"/>
        </w:rPr>
        <w:t xml:space="preserve"> of (a-c)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; (d-f) 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0500" cy="261747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Fig. 2 (a-b)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TEM image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ascii="Times New Roman" w:hAnsi="Times New Roman" w:cs="Times New Roman"/>
        </w:rPr>
        <w:t xml:space="preserve"> of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0500" cy="2624455"/>
            <wp:effectExtent l="0" t="0" r="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Fig. 3 (a-b)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HR-TEM image of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3619500" cy="3080385"/>
            <wp:effectExtent l="0" t="0" r="0" b="571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46461" cy="31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Fig. 4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XANES spectra of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and 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; 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0500" cy="4185285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8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Fig. 5 </w:t>
      </w:r>
      <w:r>
        <w:rPr>
          <w:rFonts w:hint="eastAsia" w:ascii="Times New Roman" w:hAnsi="Times New Roman" w:cs="Times New Roman"/>
          <w:lang w:val="en-US" w:eastAsia="zh-CN"/>
        </w:rPr>
        <w:t>(</w:t>
      </w:r>
      <w:r>
        <w:rPr>
          <w:rFonts w:ascii="Times New Roman" w:hAnsi="Times New Roman" w:cs="Times New Roman"/>
        </w:rPr>
        <w:t>a) The C</w:t>
      </w:r>
      <w:r>
        <w:rPr>
          <w:rFonts w:ascii="Times New Roman" w:hAnsi="Times New Roman" w:cs="Times New Roman"/>
          <w:vertAlign w:val="subscript"/>
        </w:rPr>
        <w:t>dl</w:t>
      </w:r>
      <w:r>
        <w:rPr>
          <w:rFonts w:ascii="Times New Roman" w:hAnsi="Times New Roman" w:cs="Times New Roman"/>
        </w:rPr>
        <w:t xml:space="preserve"> of 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and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; </w:t>
      </w:r>
      <w:r>
        <w:rPr>
          <w:rFonts w:hint="eastAsia" w:ascii="Times New Roman" w:hAnsi="Times New Roman" w:cs="Times New Roman"/>
          <w:lang w:val="en-US" w:eastAsia="zh-CN"/>
        </w:rPr>
        <w:t>(</w:t>
      </w:r>
      <w:r>
        <w:rPr>
          <w:rFonts w:ascii="Times New Roman" w:hAnsi="Times New Roman" w:cs="Times New Roman"/>
        </w:rPr>
        <w:t>b) The LSV curves of the 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and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after normalized by ECSA area; </w:t>
      </w:r>
      <w:r>
        <w:rPr>
          <w:rFonts w:hint="eastAsia" w:ascii="Times New Roman" w:hAnsi="Times New Roman" w:cs="Times New Roman"/>
          <w:lang w:val="en-US" w:eastAsia="zh-CN"/>
        </w:rPr>
        <w:t>(</w:t>
      </w:r>
      <w:r>
        <w:rPr>
          <w:rFonts w:ascii="Times New Roman" w:hAnsi="Times New Roman" w:cs="Times New Roman"/>
        </w:rPr>
        <w:t>c) N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adsorption-desorption isotherms of 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and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. </w:t>
      </w:r>
      <w:r>
        <w:rPr>
          <w:rFonts w:hint="eastAsia" w:ascii="Times New Roman" w:hAnsi="Times New Roman" w:cs="Times New Roman"/>
          <w:lang w:val="en-US" w:eastAsia="zh-CN"/>
        </w:rPr>
        <w:t>(</w:t>
      </w:r>
      <w:r>
        <w:rPr>
          <w:rFonts w:ascii="Times New Roman" w:hAnsi="Times New Roman" w:cs="Times New Roman"/>
        </w:rPr>
        <w:t>d) The LSV curves of the 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and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after normalized by BET area.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3838575" cy="2879725"/>
            <wp:effectExtent l="0" t="0" r="0" b="3175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38767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Fig. 6 Tafel slope of 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and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0500" cy="413194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3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Fig. 7 The reaction intermediate state models for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during HMFOR process.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0500" cy="226187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Fig. 8 The XRD pattern of </w:t>
      </w:r>
      <w:r>
        <w:rPr>
          <w:rFonts w:hint="eastAsia" w:ascii="Times New Roman" w:hAnsi="Times New Roman" w:cs="Times New Roman"/>
          <w:lang w:val="en-US" w:eastAsia="zh-CN"/>
        </w:rPr>
        <w:t xml:space="preserve">(a)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and </w:t>
      </w:r>
      <w:r>
        <w:rPr>
          <w:rFonts w:hint="eastAsia" w:ascii="Times New Roman" w:hAnsi="Times New Roman" w:cs="Times New Roman"/>
          <w:lang w:val="en-US" w:eastAsia="zh-CN"/>
        </w:rPr>
        <w:t xml:space="preserve">(b) </w:t>
      </w:r>
      <w:r>
        <w:rPr>
          <w:rFonts w:ascii="Times New Roman" w:hAnsi="Times New Roman" w:cs="Times New Roman"/>
        </w:rPr>
        <w:t>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. The peak which marked by orange is attributed to Ti mesh.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drawing>
          <wp:inline distT="0" distB="0" distL="0" distR="0">
            <wp:extent cx="5270500" cy="2626995"/>
            <wp:effectExtent l="0" t="0" r="0" b="190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Fig. 9 (a-b) The TEM image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ascii="Times New Roman" w:hAnsi="Times New Roman" w:cs="Times New Roman"/>
        </w:rPr>
        <w:t xml:space="preserve"> of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after HMFOR; (c-d) The HRTEM image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ascii="Times New Roman" w:hAnsi="Times New Roman" w:cs="Times New Roman"/>
        </w:rPr>
        <w:t xml:space="preserve"> of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after HMFOR; (e-f) The TEM image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ascii="Times New Roman" w:hAnsi="Times New Roman" w:cs="Times New Roman"/>
        </w:rPr>
        <w:t xml:space="preserve"> of 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after HMFOR; (g-h) The HRTEM image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ascii="Times New Roman" w:hAnsi="Times New Roman" w:cs="Times New Roman"/>
        </w:rPr>
        <w:t xml:space="preserve"> of 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after HMFOR;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0500" cy="21062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Fig. 10 </w:t>
      </w:r>
      <w:r>
        <w:rPr>
          <w:rFonts w:hint="eastAsia" w:ascii="Times New Roman" w:hAnsi="Times New Roman" w:cs="Times New Roman"/>
          <w:lang w:val="en-US" w:eastAsia="zh-CN"/>
        </w:rPr>
        <w:t xml:space="preserve">The </w:t>
      </w:r>
      <w:r>
        <w:rPr>
          <w:rFonts w:ascii="Times New Roman" w:hAnsi="Times New Roman" w:cs="Times New Roman"/>
        </w:rPr>
        <w:t xml:space="preserve">XPS </w:t>
      </w:r>
      <w:r>
        <w:rPr>
          <w:rFonts w:hint="eastAsia" w:ascii="Times New Roman" w:hAnsi="Times New Roman" w:cs="Times New Roman"/>
          <w:lang w:val="en-US" w:eastAsia="zh-CN"/>
        </w:rPr>
        <w:t xml:space="preserve">spectra </w:t>
      </w:r>
      <w:r>
        <w:rPr>
          <w:rFonts w:ascii="Times New Roman" w:hAnsi="Times New Roman" w:cs="Times New Roman"/>
        </w:rPr>
        <w:t>for</w:t>
      </w:r>
      <w:r>
        <w:rPr>
          <w:rFonts w:hint="eastAsia" w:ascii="Times New Roman" w:hAnsi="Times New Roman" w:cs="Times New Roman"/>
          <w:lang w:val="en-US" w:eastAsia="zh-CN"/>
        </w:rPr>
        <w:t xml:space="preserve"> (a)</w:t>
      </w:r>
      <w:r>
        <w:rPr>
          <w:rFonts w:ascii="Times New Roman" w:hAnsi="Times New Roman" w:cs="Times New Roman"/>
        </w:rPr>
        <w:t xml:space="preserve">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and </w:t>
      </w:r>
      <w:r>
        <w:rPr>
          <w:rFonts w:hint="eastAsia" w:ascii="Times New Roman" w:hAnsi="Times New Roman" w:cs="Times New Roman"/>
          <w:lang w:val="en-US" w:eastAsia="zh-CN"/>
        </w:rPr>
        <w:t xml:space="preserve">(b) </w:t>
      </w:r>
      <w:r>
        <w:rPr>
          <w:rFonts w:ascii="Times New Roman" w:hAnsi="Times New Roman" w:cs="Times New Roman"/>
        </w:rPr>
        <w:t>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at various applied potential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054600" cy="69723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Fig. 11 XPS spectr</w:t>
      </w:r>
      <w:r>
        <w:rPr>
          <w:rFonts w:hint="eastAsia" w:ascii="Times New Roman" w:hAnsi="Times New Roman" w:cs="Times New Roman"/>
          <w:lang w:val="en-US" w:eastAsia="zh-CN"/>
        </w:rPr>
        <w:t xml:space="preserve">a of </w:t>
      </w:r>
      <w:r>
        <w:rPr>
          <w:rFonts w:ascii="Times New Roman" w:hAnsi="Times New Roman" w:cs="Times New Roman"/>
        </w:rPr>
        <w:t>Co 2p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>
        <w:rPr>
          <w:rFonts w:hint="eastAsia" w:ascii="Times New Roman" w:hAnsi="Times New Roman" w:cs="Times New Roman"/>
          <w:lang w:val="en-US" w:eastAsia="zh-CN"/>
        </w:rPr>
        <w:t xml:space="preserve">(a)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and </w:t>
      </w:r>
      <w:r>
        <w:rPr>
          <w:rFonts w:hint="eastAsia" w:ascii="Times New Roman" w:hAnsi="Times New Roman" w:cs="Times New Roman"/>
          <w:lang w:val="en-US" w:eastAsia="zh-CN"/>
        </w:rPr>
        <w:t xml:space="preserve">(b) </w:t>
      </w:r>
      <w:r>
        <w:rPr>
          <w:rFonts w:ascii="Times New Roman" w:hAnsi="Times New Roman" w:cs="Times New Roman"/>
        </w:rPr>
        <w:t>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at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various</w:t>
      </w:r>
      <w:r>
        <w:rPr>
          <w:rFonts w:ascii="Times New Roman" w:hAnsi="Times New Roman" w:cs="Times New Roman"/>
        </w:rPr>
        <w:t xml:space="preserve"> applied potential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102735" cy="3251835"/>
            <wp:effectExtent l="0" t="0" r="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15251" cy="326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Fig. 12 Operando EXAFS spectra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and the corresponding fitting for 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and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at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critical potential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0500" cy="3803650"/>
            <wp:effectExtent l="0" t="0" r="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Fig. 13 O 1s XPS spectr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ascii="Times New Roman" w:hAnsi="Times New Roman" w:cs="Times New Roman"/>
        </w:rPr>
        <w:t xml:space="preserve"> fitting for </w:t>
      </w:r>
      <w:r>
        <w:rPr>
          <w:rFonts w:hint="eastAsia" w:ascii="Times New Roman" w:hAnsi="Times New Roman" w:cs="Times New Roman"/>
          <w:lang w:val="en-US" w:eastAsia="zh-CN"/>
        </w:rPr>
        <w:t xml:space="preserve">(a)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and </w:t>
      </w:r>
      <w:r>
        <w:rPr>
          <w:rFonts w:hint="eastAsia" w:ascii="Times New Roman" w:hAnsi="Times New Roman" w:cs="Times New Roman"/>
          <w:lang w:val="en-US" w:eastAsia="zh-CN"/>
        </w:rPr>
        <w:t xml:space="preserve">(b) </w:t>
      </w:r>
      <w:r>
        <w:rPr>
          <w:rFonts w:ascii="Times New Roman" w:hAnsi="Times New Roman" w:cs="Times New Roman"/>
        </w:rPr>
        <w:t>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at various</w:t>
      </w:r>
      <w:r>
        <w:rPr>
          <w:rFonts w:ascii="Times New Roman" w:hAnsi="Times New Roman" w:cs="Times New Roman"/>
        </w:rPr>
        <w:t xml:space="preserve"> applied potential.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0500" cy="277368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Fig. 14 Bode phase plots of the </w:t>
      </w:r>
      <w:r>
        <w:rPr>
          <w:rFonts w:ascii="Times New Roman" w:hAnsi="Times New Roman" w:cs="Times New Roman"/>
          <w:i/>
          <w:iCs/>
        </w:rPr>
        <w:t>in-situ</w:t>
      </w:r>
      <w:r>
        <w:rPr>
          <w:rFonts w:ascii="Times New Roman" w:hAnsi="Times New Roman" w:cs="Times New Roman"/>
        </w:rPr>
        <w:t xml:space="preserve"> EIS on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in 1 M KOH (a)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with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r>
        <w:rPr>
          <w:rFonts w:hint="eastAsia" w:ascii="Times New Roman" w:hAnsi="Times New Roman" w:cs="Times New Roman"/>
          <w:lang w:val="en-US" w:eastAsia="zh-CN"/>
        </w:rPr>
        <w:t>without</w:t>
      </w:r>
      <w:r>
        <w:rPr>
          <w:rFonts w:ascii="Times New Roman" w:hAnsi="Times New Roman" w:cs="Times New Roman"/>
        </w:rPr>
        <w:t xml:space="preserve"> (b) 50 mM HMF. 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0500" cy="19843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Fig. 15 The equivalent circuit used for modeling the measured electrochemical response. The equivalent circuit image. R</w:t>
      </w:r>
      <w:r>
        <w:rPr>
          <w:rFonts w:ascii="Times New Roman" w:hAnsi="Times New Roman" w:cs="Times New Roman"/>
          <w:vertAlign w:val="subscript"/>
        </w:rPr>
        <w:t>s</w:t>
      </w:r>
      <w:r>
        <w:rPr>
          <w:rFonts w:ascii="Times New Roman" w:hAnsi="Times New Roman" w:cs="Times New Roman"/>
        </w:rPr>
        <w:t xml:space="preserve"> stands for the solution resistance, CPE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represents double layer capacitance, R</w:t>
      </w:r>
      <w:r>
        <w:rPr>
          <w:rFonts w:ascii="Times New Roman" w:hAnsi="Times New Roman" w:cs="Times New Roman"/>
          <w:vertAlign w:val="subscript"/>
        </w:rPr>
        <w:t>ct</w:t>
      </w:r>
      <w:r>
        <w:rPr>
          <w:rFonts w:ascii="Times New Roman" w:hAnsi="Times New Roman" w:cs="Times New Roman"/>
        </w:rPr>
        <w:t xml:space="preserve"> has contact with the interfacial charge transfer reaction, CPE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and R</w:t>
      </w:r>
      <w:r>
        <w:rPr>
          <w:rFonts w:ascii="Times New Roman" w:hAnsi="Times New Roman" w:cs="Times New Roman"/>
          <w:vertAlign w:val="subscript"/>
        </w:rPr>
        <w:t>p</w:t>
      </w:r>
      <w:r>
        <w:rPr>
          <w:rFonts w:ascii="Times New Roman" w:hAnsi="Times New Roman" w:cs="Times New Roman"/>
        </w:rPr>
        <w:t xml:space="preserve"> are related to the dielectric properties and the resistance of the electrode inner film.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0500" cy="2120265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Fig. 16 (a-b) HPLC standard curve measurements of pure HMF, HMFCA, FFCA,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DFF and FDCA.</w:t>
      </w:r>
    </w:p>
    <w:p>
      <w:pPr>
        <w:jc w:val="both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0500" cy="4316730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1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Fig. 17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The HPLC chromatogram traces of the various products for  (a)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o</w:t>
      </w:r>
      <w:r>
        <w:rPr>
          <w:rFonts w:ascii="Times New Roman" w:hAnsi="Times New Roman" w:cs="Times New Roman"/>
        </w:rPr>
        <w:t>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and (b)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at different reaction times following an HMF electrochemical oxidation reaction in 1 M KOH; (c) The concentration of substrates, intermediates and products during the HMFOR for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052570" cy="2879725"/>
            <wp:effectExtent l="0" t="0" r="0" b="317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5316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Fig. 18 The yield (%) of FDCA and faradaic efficiency on 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under six successive electrolysis cycles.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0500" cy="2244725"/>
            <wp:effectExtent l="0" t="0" r="0" b="317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Fig. 19 The HPLC chromatogram traces of the various products for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(a)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and (b) 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at different reaction times following an HMF electrochemical oxidation reaction in 1 M PBS.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Supporting Table.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Supplementary Table 1. Structural parameters of 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and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extracted from the EXAFS fitting. (S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=0.738)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988"/>
        <w:gridCol w:w="1480"/>
        <w:gridCol w:w="696"/>
        <w:gridCol w:w="827"/>
        <w:gridCol w:w="1360"/>
        <w:gridCol w:w="1113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  <w:t xml:space="preserve">Potential 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  <w:t>Sample</w:t>
            </w:r>
          </w:p>
        </w:tc>
        <w:tc>
          <w:tcPr>
            <w:tcW w:w="87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  <w:t>Path</w:t>
            </w:r>
          </w:p>
        </w:tc>
        <w:tc>
          <w:tcPr>
            <w:tcW w:w="41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  <w:t>CN</w:t>
            </w:r>
          </w:p>
        </w:tc>
        <w:tc>
          <w:tcPr>
            <w:tcW w:w="49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  <w:t>R(Å)</w:t>
            </w:r>
          </w:p>
        </w:tc>
        <w:tc>
          <w:tcPr>
            <w:tcW w:w="8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  <w:t>σ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  <w:t>(×10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-3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  <w:t>Å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63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△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  <w:t>E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  <w:vertAlign w:val="subscript"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  <w:t xml:space="preserve"> (eV) </w:t>
            </w:r>
          </w:p>
        </w:tc>
        <w:tc>
          <w:tcPr>
            <w:tcW w:w="57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</w:rPr>
              <w:t xml:space="preserve">R factor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OCP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  <w:vertAlign w:val="subscript"/>
              </w:rPr>
              <w:t>4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Co-O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4.32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1.92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0.00242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-4.744</w:t>
            </w:r>
          </w:p>
        </w:tc>
        <w:tc>
          <w:tcPr>
            <w:tcW w:w="577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Co-Co（Oh）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4.06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2.85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0.00491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-8.532</w:t>
            </w:r>
          </w:p>
        </w:tc>
        <w:tc>
          <w:tcPr>
            <w:tcW w:w="577" w:type="pct"/>
            <w:vMerge w:val="continue"/>
            <w:tcBorders>
              <w:top w:val="single" w:color="000000" w:sz="4" w:space="0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Co-Co（Td）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9.72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3.35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0.00948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-9.201</w:t>
            </w:r>
          </w:p>
        </w:tc>
        <w:tc>
          <w:tcPr>
            <w:tcW w:w="577" w:type="pct"/>
            <w:vMerge w:val="continue"/>
            <w:tcBorders>
              <w:top w:val="single" w:color="000000" w:sz="4" w:space="0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OCP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-Co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  <w:vertAlign w:val="subscript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Co-O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4.08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1.91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0.00205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-7.335</w:t>
            </w:r>
          </w:p>
        </w:tc>
        <w:tc>
          <w:tcPr>
            <w:tcW w:w="577" w:type="pct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Co-Co（Oh）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3.83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2.84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0.00447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-9.703</w:t>
            </w:r>
          </w:p>
        </w:tc>
        <w:tc>
          <w:tcPr>
            <w:tcW w:w="57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Co-Co（Td）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8.22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3.35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0.00822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-9.509</w:t>
            </w:r>
          </w:p>
        </w:tc>
        <w:tc>
          <w:tcPr>
            <w:tcW w:w="57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1.3V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-Co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  <w:vertAlign w:val="subscript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Co-O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1.91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0.00281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-6.046</w:t>
            </w:r>
          </w:p>
        </w:tc>
        <w:tc>
          <w:tcPr>
            <w:tcW w:w="57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Co-Co（Oh）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2.86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0.00448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-6.797</w:t>
            </w:r>
          </w:p>
        </w:tc>
        <w:tc>
          <w:tcPr>
            <w:tcW w:w="57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Co-Co（Td）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3.35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0.0044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-8.727</w:t>
            </w:r>
          </w:p>
        </w:tc>
        <w:tc>
          <w:tcPr>
            <w:tcW w:w="57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1.4 V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-Co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  <w:vertAlign w:val="subscript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Co-O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1.91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0.00265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-6.386</w:t>
            </w:r>
          </w:p>
        </w:tc>
        <w:tc>
          <w:tcPr>
            <w:tcW w:w="57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Co-Co（Oh）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3.79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2.84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0.00365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-9.037</w:t>
            </w:r>
          </w:p>
        </w:tc>
        <w:tc>
          <w:tcPr>
            <w:tcW w:w="57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Co-Co（Td）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8.56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3.34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0.00808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-9.921</w:t>
            </w:r>
          </w:p>
        </w:tc>
        <w:tc>
          <w:tcPr>
            <w:tcW w:w="57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1.45 V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-Co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  <w:vertAlign w:val="subscript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Co-O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4.82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1.91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0.00308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-7.013</w:t>
            </w:r>
          </w:p>
        </w:tc>
        <w:tc>
          <w:tcPr>
            <w:tcW w:w="57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Co-Co（Oh）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2.83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0.00329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-11.684</w:t>
            </w:r>
          </w:p>
        </w:tc>
        <w:tc>
          <w:tcPr>
            <w:tcW w:w="57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Co-Co（Td）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11.43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3.35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0.01119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-8.936</w:t>
            </w:r>
          </w:p>
        </w:tc>
        <w:tc>
          <w:tcPr>
            <w:tcW w:w="57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1.6 V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-Co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  <w:vertAlign w:val="subscript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Co-O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4.799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1.91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0.00261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-8.065</w:t>
            </w:r>
          </w:p>
        </w:tc>
        <w:tc>
          <w:tcPr>
            <w:tcW w:w="577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Co-Co（Oh）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3.768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2.83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0.00336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-12.435</w:t>
            </w:r>
          </w:p>
        </w:tc>
        <w:tc>
          <w:tcPr>
            <w:tcW w:w="577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Co-Co（Td）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12.92</w:t>
            </w:r>
          </w:p>
        </w:tc>
        <w:tc>
          <w:tcPr>
            <w:tcW w:w="49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3.36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0.01227</w:t>
            </w:r>
          </w:p>
        </w:tc>
        <w:tc>
          <w:tcPr>
            <w:tcW w:w="63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-9.099</w:t>
            </w:r>
          </w:p>
        </w:tc>
        <w:tc>
          <w:tcPr>
            <w:tcW w:w="577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</w:tr>
    </w:tbl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is the amolitude reduction factor (obtained by the fitting of Co foil). CN is the coordination number; R is interatomic distance (the bond length between Co central atoms and surrounding coordination atoms); σ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is Debye-Waller factor (a measure of thermal and static disorder in absorber-scatterer distances); ∆E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 xml:space="preserve"> is potential correction.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2. The comparison of adsorption energies between two adsorption model.</w:t>
      </w:r>
    </w:p>
    <w:tbl>
      <w:tblPr>
        <w:tblStyle w:val="6"/>
        <w:tblW w:w="488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300"/>
        <w:gridCol w:w="13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2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V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</w:rPr>
              <w:t xml:space="preserve"> Adsorption site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HMF*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OH</w:t>
            </w:r>
            <w:r>
              <w:rPr>
                <w:rFonts w:ascii="Times New Roman" w:hAnsi="Times New Roman" w:eastAsia="等线" w:cs="Times New Roman"/>
                <w:color w:val="000000"/>
                <w:vertAlign w:val="superscript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-CHO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-3.00 eV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-0.24 eV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OH</w:t>
            </w: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-3.21 eV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-1.33 eV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3. The resistance of each component for 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in 1 M KOH.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001"/>
        <w:gridCol w:w="1001"/>
        <w:gridCol w:w="1437"/>
        <w:gridCol w:w="1001"/>
        <w:gridCol w:w="1002"/>
        <w:gridCol w:w="1002"/>
        <w:gridCol w:w="10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Potential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s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ct</w:t>
            </w:r>
          </w:p>
        </w:tc>
        <w:tc>
          <w:tcPr>
            <w:tcW w:w="84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Y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0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0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p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Y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1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4.5531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4319.2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4.2541E-05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0.77029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1.05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4.8511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383.01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2.6153E-05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0.86639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4.5531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316.41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0.0001092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0.69822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1.15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4.5128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212.62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0.00024728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0.60872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4.7279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85.752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0.00040032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0.5733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1.25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4.4627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51.38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0.00104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0.4856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4.5531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19.045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0.00096195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0.51581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1.35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4.484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17.951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0.0043287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0.37496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3.4529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45.294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0.032046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0.18818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1.45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4.5531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20.67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0.06545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0.17678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4.5531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9462.8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0.036668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0.66331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1.6809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0.00058461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0.55235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1.55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4.5531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490.4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0.022644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0.79625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1.6582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0.011368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0.34548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5.6065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191.57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0.016195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0.83409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1.7944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0.011869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0.44616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1.65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6.1552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27.935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0.010071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0.92731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2.121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0.073323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0.38994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4. The resistance of each component for 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in 1 M KOH with 50 mM HMF.</w:t>
      </w:r>
    </w:p>
    <w:p>
      <w:pPr>
        <w:rPr>
          <w:rFonts w:ascii="Times New Roman" w:hAnsi="Times New Roman" w:cs="Times New Roman"/>
        </w:rPr>
      </w:pP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952"/>
        <w:gridCol w:w="964"/>
        <w:gridCol w:w="1402"/>
        <w:gridCol w:w="964"/>
        <w:gridCol w:w="965"/>
        <w:gridCol w:w="1234"/>
        <w:gridCol w:w="9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Potential</w:t>
            </w:r>
          </w:p>
        </w:tc>
        <w:tc>
          <w:tcPr>
            <w:tcW w:w="56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s</w:t>
            </w:r>
          </w:p>
        </w:tc>
        <w:tc>
          <w:tcPr>
            <w:tcW w:w="57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ct</w:t>
            </w:r>
          </w:p>
        </w:tc>
        <w:tc>
          <w:tcPr>
            <w:tcW w:w="83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Y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0</w:t>
            </w:r>
          </w:p>
        </w:tc>
        <w:tc>
          <w:tcPr>
            <w:tcW w:w="57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0</w:t>
            </w:r>
          </w:p>
        </w:tc>
        <w:tc>
          <w:tcPr>
            <w:tcW w:w="57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p</w:t>
            </w:r>
          </w:p>
        </w:tc>
        <w:tc>
          <w:tcPr>
            <w:tcW w:w="73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Y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1</w:t>
            </w:r>
          </w:p>
        </w:tc>
        <w:tc>
          <w:tcPr>
            <w:tcW w:w="57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6.3982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7866.9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0.000062961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0.79652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579.51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1.5377E-05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0.90874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1.05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6.1457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4643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0.00013259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0.72791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512.93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2.0343E-05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0.87291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5.6953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4564.2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0.00052393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0.65114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457.98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4.4222E-05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0.77114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1.15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5.5957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4590.3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0.001313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0.60068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211.53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0.00014403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0.66835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5.876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4542.44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0.0029965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0.59547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63.212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0.0003626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0.59624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1.25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6.0369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4564.9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0.0021135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0.59796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36.415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0.00062666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0.5528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5.496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2395.6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0.0027978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0.87155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28.928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0.0026245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0.41665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1.35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5.2759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323.49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0.0033116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0.90213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21.067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0.0067033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0.33806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6.3065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126.37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0.0062422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0.84321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9.6614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0.0063179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0.39173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1.45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6.7097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180.35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0.018319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0.72891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3.851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0.0072371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0.43217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6.4371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132.16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0.028949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0.70019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1.3361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0.02811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0.33507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1.55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6.5755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65.495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0.014339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0.86624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2.1294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0.085371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0.32432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1.6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6.6457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69.181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0.014408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0.853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1.5041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0.045657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0.40565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1.65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8.2706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21.213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0.010227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0.86726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2.0908</w:t>
            </w:r>
          </w:p>
        </w:tc>
        <w:tc>
          <w:tcPr>
            <w:tcW w:w="73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0.0091548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0.52672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5. The resistance of each component for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in 1 M KOH.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991"/>
        <w:gridCol w:w="991"/>
        <w:gridCol w:w="1427"/>
        <w:gridCol w:w="992"/>
        <w:gridCol w:w="992"/>
        <w:gridCol w:w="1062"/>
        <w:gridCol w:w="9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Potential</w:t>
            </w:r>
          </w:p>
        </w:tc>
        <w:tc>
          <w:tcPr>
            <w:tcW w:w="58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s</w:t>
            </w:r>
          </w:p>
        </w:tc>
        <w:tc>
          <w:tcPr>
            <w:tcW w:w="58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p</w:t>
            </w:r>
          </w:p>
        </w:tc>
        <w:tc>
          <w:tcPr>
            <w:tcW w:w="8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Y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1</w:t>
            </w:r>
          </w:p>
        </w:tc>
        <w:tc>
          <w:tcPr>
            <w:tcW w:w="58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1</w:t>
            </w:r>
          </w:p>
        </w:tc>
        <w:tc>
          <w:tcPr>
            <w:tcW w:w="58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ct</w:t>
            </w:r>
          </w:p>
        </w:tc>
        <w:tc>
          <w:tcPr>
            <w:tcW w:w="6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Y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0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5.3258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3845.5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0.000027345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0.83109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5.2351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2418.9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0.000032173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0.81692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5.2203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1285.3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0.00012932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0.70239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5.2805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532.26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0.00020556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0.67624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5.261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224.61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0.00023756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0.66254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5.2893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93.214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0.00020384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0.67299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5.2419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51.247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0.00027685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0.63857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5.5834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26.659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0.00022247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0.67436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5.5913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0.00037106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0.63367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4.7031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13.49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0.0033527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0.40421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4.5889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0.000044367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0.60023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11000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0.024836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0.59101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4.76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4.88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0.000077332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0.4798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934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0.017851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0.66484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4.93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3.83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0.00024286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0.44242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0.014252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0.75035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6.3009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5.7863</w:t>
            </w:r>
          </w:p>
        </w:tc>
        <w:tc>
          <w:tcPr>
            <w:tcW w:w="84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0.060348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0.43874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23.223</w:t>
            </w:r>
          </w:p>
        </w:tc>
        <w:tc>
          <w:tcPr>
            <w:tcW w:w="6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0.010851</w:t>
            </w:r>
          </w:p>
        </w:tc>
        <w:tc>
          <w:tcPr>
            <w:tcW w:w="5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0.94078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6. The resistance of each component for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in 1 M KOH with 50 mM HMF.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952"/>
        <w:gridCol w:w="954"/>
        <w:gridCol w:w="1401"/>
        <w:gridCol w:w="949"/>
        <w:gridCol w:w="949"/>
        <w:gridCol w:w="1288"/>
        <w:gridCol w:w="9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Potential</w:t>
            </w:r>
          </w:p>
        </w:tc>
        <w:tc>
          <w:tcPr>
            <w:tcW w:w="56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s</w:t>
            </w:r>
          </w:p>
        </w:tc>
        <w:tc>
          <w:tcPr>
            <w:tcW w:w="56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p</w:t>
            </w:r>
          </w:p>
        </w:tc>
        <w:tc>
          <w:tcPr>
            <w:tcW w:w="82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Y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1</w:t>
            </w:r>
          </w:p>
        </w:tc>
        <w:tc>
          <w:tcPr>
            <w:tcW w:w="5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1</w:t>
            </w:r>
          </w:p>
        </w:tc>
        <w:tc>
          <w:tcPr>
            <w:tcW w:w="5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ct</w:t>
            </w:r>
          </w:p>
        </w:tc>
        <w:tc>
          <w:tcPr>
            <w:tcW w:w="76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Y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0</w:t>
            </w:r>
          </w:p>
        </w:tc>
        <w:tc>
          <w:tcPr>
            <w:tcW w:w="56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vertAlign w:val="subscript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5.5497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3872.7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0.000040807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0.76928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1.05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5.9134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1571.7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0.000035319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0.84144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5.7462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755.53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0.000098613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0.75438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22369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0.0001386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0.73558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1.15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5.7915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638.19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0.00016017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0.70528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28141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0.00024087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0.7125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5.7994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494.3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0.00017841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0.69803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35002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0.00033942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1.25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5.823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269.55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0.00016545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0.71008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119910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0.00044387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0.66603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5.8632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143.84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0.00017104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0.71011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118760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0.00054098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0.65965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1.35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5.8805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96.268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0.00023158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0.66647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4864.7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0.00059479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0.70039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5.8148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71.384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0.00034795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0.62204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1329.3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0.00072704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0.73765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1.45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5.7923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39.878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0.00051219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0.5955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1095.2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0.0014978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0.6496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6.0525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9.8872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0.00023711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0.67773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1471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0.0042636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0.56021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1.55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5.9461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7.6788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0.0004433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0.61212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1334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0.0041954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0.59762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5.9263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8.0541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0.0004349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0.61242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913.83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0.0034057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0.61593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1.65</w:t>
            </w:r>
          </w:p>
        </w:tc>
        <w:tc>
          <w:tcPr>
            <w:tcW w:w="56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5.9096</w:t>
            </w:r>
          </w:p>
        </w:tc>
        <w:tc>
          <w:tcPr>
            <w:tcW w:w="56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8.9649</w:t>
            </w:r>
          </w:p>
        </w:tc>
        <w:tc>
          <w:tcPr>
            <w:tcW w:w="8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0.00048884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0.60014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213.73</w:t>
            </w:r>
          </w:p>
        </w:tc>
        <w:tc>
          <w:tcPr>
            <w:tcW w:w="76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0.002574</w:t>
            </w:r>
          </w:p>
        </w:tc>
        <w:tc>
          <w:tcPr>
            <w:tcW w:w="56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5"/>
                <w:szCs w:val="15"/>
              </w:rPr>
              <w:t>0.66109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7. The comparison of activity for Vo-Co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and 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and other reported catalysts.</w:t>
      </w:r>
    </w:p>
    <w:tbl>
      <w:tblPr>
        <w:tblStyle w:val="6"/>
        <w:tblW w:w="87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2585"/>
        <w:gridCol w:w="1240"/>
        <w:gridCol w:w="2190"/>
        <w:gridCol w:w="16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Electrode Materials</w:t>
            </w:r>
          </w:p>
        </w:tc>
        <w:tc>
          <w:tcPr>
            <w:tcW w:w="25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Potential and current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FDCA yield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Faradaic efficiency</w:t>
            </w:r>
          </w:p>
        </w:tc>
        <w:tc>
          <w:tcPr>
            <w:tcW w:w="16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Ref.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  <w:t>Vo-Co</w:t>
            </w: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  <w:vertAlign w:val="subscript"/>
              </w:rPr>
              <w:t>3</w:t>
            </w: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  <w:t>O</w:t>
            </w: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  <w:t>1.37 V (10 mA cm</w:t>
            </w: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  <w:vertAlign w:val="superscript"/>
              </w:rPr>
              <w:t>-2</w:t>
            </w: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  <w:t>91.90%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  <w:t>95%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  <w:t>This work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  <w:t>Co</w:t>
            </w: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  <w:vertAlign w:val="subscript"/>
              </w:rPr>
              <w:t>3</w:t>
            </w: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  <w:t>O</w:t>
            </w: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  <w:t>1.44 V (10 mA cm</w:t>
            </w: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  <w:vertAlign w:val="superscript"/>
              </w:rPr>
              <w:t>-2</w:t>
            </w: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  <w:t>86.7%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  <w:t>94.8%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70C0"/>
                <w:sz w:val="22"/>
                <w:szCs w:val="22"/>
              </w:rPr>
              <w:t>This work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NiCo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1.43 V (14.83 mA cm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vertAlign w:val="superscript"/>
              </w:rPr>
              <w:t>-2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90.80%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87.50%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(1)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NiB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1.45 V (100 mA cm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vertAlign w:val="superscript"/>
              </w:rPr>
              <w:t>-2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98.50%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i/>
                <w:iCs/>
                <w:color w:val="1C1D1E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(2)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NiFe LDH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1.43 V (100 mA cm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vertAlign w:val="superscript"/>
              </w:rPr>
              <w:t>-2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98%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97%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(3)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Ni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1.423 V (&gt;200 mA cm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vertAlign w:val="superscript"/>
              </w:rPr>
              <w:t>-2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~100%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i/>
                <w:iCs/>
                <w:color w:val="1C1D1E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(4)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Ni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S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1.423 V (&gt;200 mA cm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vertAlign w:val="superscript"/>
              </w:rPr>
              <w:t>-2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98%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(5)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CoNiFe LDH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1.55 V (30 mA cm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vertAlign w:val="superscript"/>
              </w:rPr>
              <w:t>-2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84.90%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~90%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(6)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hp-Ni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1.423 V (&gt;200 mA cm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vertAlign w:val="superscript"/>
              </w:rPr>
              <w:t>-2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~100%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~95%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(7)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Ni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vertAlign w:val="subscript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N@C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1.38 V (50 mA cm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vertAlign w:val="superscript"/>
              </w:rPr>
              <w:t>-2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98%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99%</w:t>
            </w:r>
          </w:p>
        </w:tc>
        <w:tc>
          <w:tcPr>
            <w:tcW w:w="16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i/>
                <w:iCs/>
                <w:color w:val="1C1D1E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</w:rPr>
              <w:t>(8)</w:t>
            </w:r>
          </w:p>
        </w:tc>
      </w:tr>
    </w:tbl>
    <w:p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bCs/>
        </w:rPr>
      </w:pPr>
    </w:p>
    <w:p>
      <w:pPr>
        <w:pStyle w:val="9"/>
        <w:rPr>
          <w:b/>
          <w:bCs/>
          <w:szCs w:val="24"/>
        </w:rPr>
      </w:pPr>
      <w:r>
        <w:rPr>
          <w:b/>
          <w:bCs/>
          <w:szCs w:val="24"/>
        </w:rPr>
        <w:t>Reference</w:t>
      </w:r>
    </w:p>
    <w:p>
      <w:pPr>
        <w:pStyle w:val="9"/>
        <w:rPr>
          <w:rFonts w:eastAsia="等线"/>
          <w:color w:val="000000"/>
          <w:szCs w:val="24"/>
        </w:rPr>
      </w:pPr>
      <w:r>
        <w:rPr>
          <w:rFonts w:hint="eastAsia"/>
          <w:szCs w:val="24"/>
        </w:rPr>
        <w:t>(</w:t>
      </w:r>
      <w:r>
        <w:rPr>
          <w:szCs w:val="24"/>
        </w:rPr>
        <w:t xml:space="preserve">1) </w:t>
      </w:r>
      <w:r>
        <w:rPr>
          <w:rFonts w:eastAsia="等线"/>
          <w:i/>
          <w:iCs/>
          <w:color w:val="000000"/>
          <w:szCs w:val="24"/>
        </w:rPr>
        <w:t>Appl. Catal. B- Environ</w:t>
      </w:r>
      <w:r>
        <w:rPr>
          <w:rFonts w:eastAsia="等线"/>
          <w:color w:val="000000"/>
          <w:szCs w:val="24"/>
        </w:rPr>
        <w:t xml:space="preserve">. </w:t>
      </w:r>
      <w:r>
        <w:rPr>
          <w:rFonts w:eastAsia="等线"/>
          <w:b/>
          <w:bCs/>
          <w:color w:val="000000"/>
          <w:szCs w:val="24"/>
        </w:rPr>
        <w:t>2019</w:t>
      </w:r>
      <w:r>
        <w:rPr>
          <w:rFonts w:eastAsia="等线"/>
          <w:color w:val="000000"/>
          <w:szCs w:val="24"/>
        </w:rPr>
        <w:t>,</w:t>
      </w:r>
      <w:r>
        <w:rPr>
          <w:rFonts w:eastAsia="等线"/>
          <w:i/>
          <w:iCs/>
          <w:color w:val="000000"/>
          <w:szCs w:val="24"/>
        </w:rPr>
        <w:t xml:space="preserve"> 242</w:t>
      </w:r>
      <w:r>
        <w:rPr>
          <w:rFonts w:eastAsia="等线"/>
          <w:color w:val="000000"/>
          <w:szCs w:val="24"/>
        </w:rPr>
        <w:t>,85.</w:t>
      </w:r>
    </w:p>
    <w:p>
      <w:pPr>
        <w:pStyle w:val="9"/>
        <w:rPr>
          <w:rFonts w:eastAsia="等线"/>
          <w:color w:val="1C1D1E"/>
          <w:szCs w:val="24"/>
        </w:rPr>
      </w:pPr>
      <w:r>
        <w:rPr>
          <w:rFonts w:hint="eastAsia" w:eastAsia="等线"/>
          <w:color w:val="000000"/>
          <w:szCs w:val="24"/>
        </w:rPr>
        <w:t>(</w:t>
      </w:r>
      <w:r>
        <w:rPr>
          <w:rFonts w:eastAsia="等线"/>
          <w:color w:val="000000"/>
          <w:szCs w:val="24"/>
        </w:rPr>
        <w:t xml:space="preserve">2) </w:t>
      </w:r>
      <w:r>
        <w:rPr>
          <w:rFonts w:eastAsia="等线"/>
          <w:i/>
          <w:iCs/>
          <w:color w:val="1C1D1E"/>
          <w:szCs w:val="24"/>
        </w:rPr>
        <w:t>Angew. Chem. Int. Ed.</w:t>
      </w:r>
      <w:r>
        <w:rPr>
          <w:rFonts w:eastAsia="等线"/>
          <w:color w:val="1C1D1E"/>
          <w:szCs w:val="24"/>
        </w:rPr>
        <w:t> </w:t>
      </w:r>
      <w:r>
        <w:rPr>
          <w:rFonts w:eastAsia="等线"/>
          <w:b/>
          <w:bCs/>
          <w:color w:val="1C1D1E"/>
          <w:szCs w:val="24"/>
        </w:rPr>
        <w:t>2018</w:t>
      </w:r>
      <w:r>
        <w:rPr>
          <w:rFonts w:eastAsia="等线"/>
          <w:color w:val="1C1D1E"/>
          <w:szCs w:val="24"/>
        </w:rPr>
        <w:t>, </w:t>
      </w:r>
      <w:r>
        <w:rPr>
          <w:rFonts w:eastAsia="等线"/>
          <w:i/>
          <w:iCs/>
          <w:color w:val="1C1D1E"/>
          <w:szCs w:val="24"/>
        </w:rPr>
        <w:t>57</w:t>
      </w:r>
      <w:r>
        <w:rPr>
          <w:rFonts w:eastAsia="等线"/>
          <w:color w:val="1C1D1E"/>
          <w:szCs w:val="24"/>
        </w:rPr>
        <w:t>, 11460.</w:t>
      </w:r>
    </w:p>
    <w:p>
      <w:pPr>
        <w:pStyle w:val="9"/>
        <w:rPr>
          <w:rFonts w:eastAsia="等线"/>
          <w:color w:val="000000"/>
          <w:szCs w:val="24"/>
        </w:rPr>
      </w:pPr>
      <w:r>
        <w:rPr>
          <w:rFonts w:hint="eastAsia" w:eastAsia="等线"/>
          <w:color w:val="1C1D1E"/>
          <w:szCs w:val="24"/>
        </w:rPr>
        <w:t>(</w:t>
      </w:r>
      <w:r>
        <w:rPr>
          <w:rFonts w:eastAsia="等线"/>
          <w:color w:val="1C1D1E"/>
          <w:szCs w:val="24"/>
        </w:rPr>
        <w:t xml:space="preserve">3) </w:t>
      </w:r>
      <w:r>
        <w:rPr>
          <w:rFonts w:eastAsia="等线"/>
          <w:i/>
          <w:iCs/>
          <w:color w:val="000000"/>
          <w:szCs w:val="24"/>
        </w:rPr>
        <w:t>ACS Catal.</w:t>
      </w:r>
      <w:r>
        <w:rPr>
          <w:rFonts w:eastAsia="等线"/>
          <w:color w:val="000000"/>
          <w:szCs w:val="24"/>
        </w:rPr>
        <w:t> </w:t>
      </w:r>
      <w:r>
        <w:rPr>
          <w:rFonts w:eastAsia="等线"/>
          <w:b/>
          <w:bCs/>
          <w:color w:val="000000"/>
          <w:szCs w:val="24"/>
        </w:rPr>
        <w:t>2018</w:t>
      </w:r>
      <w:r>
        <w:rPr>
          <w:rFonts w:eastAsia="等线"/>
          <w:color w:val="000000"/>
          <w:szCs w:val="24"/>
        </w:rPr>
        <w:t>, </w:t>
      </w:r>
      <w:r>
        <w:rPr>
          <w:rFonts w:eastAsia="等线"/>
          <w:i/>
          <w:iCs/>
          <w:color w:val="000000"/>
          <w:szCs w:val="24"/>
        </w:rPr>
        <w:t>8</w:t>
      </w:r>
      <w:r>
        <w:rPr>
          <w:rFonts w:eastAsia="等线"/>
          <w:color w:val="000000"/>
          <w:szCs w:val="24"/>
        </w:rPr>
        <w:t>, 5533.</w:t>
      </w:r>
    </w:p>
    <w:p>
      <w:pPr>
        <w:pStyle w:val="9"/>
        <w:rPr>
          <w:rFonts w:eastAsia="等线"/>
          <w:color w:val="1C1D1E"/>
          <w:szCs w:val="24"/>
        </w:rPr>
      </w:pPr>
      <w:r>
        <w:rPr>
          <w:rFonts w:hint="eastAsia" w:eastAsia="等线"/>
          <w:color w:val="000000"/>
          <w:szCs w:val="24"/>
        </w:rPr>
        <w:t>(</w:t>
      </w:r>
      <w:r>
        <w:rPr>
          <w:rFonts w:eastAsia="等线"/>
          <w:color w:val="000000"/>
          <w:szCs w:val="24"/>
        </w:rPr>
        <w:t>4)</w:t>
      </w:r>
      <w:r>
        <w:rPr>
          <w:rFonts w:eastAsia="等线"/>
          <w:i/>
          <w:iCs/>
          <w:color w:val="1C1D1E"/>
          <w:szCs w:val="24"/>
        </w:rPr>
        <w:t xml:space="preserve"> Angew. Chem. Int. Ed.</w:t>
      </w:r>
      <w:r>
        <w:rPr>
          <w:rFonts w:eastAsia="等线"/>
          <w:color w:val="1C1D1E"/>
          <w:szCs w:val="24"/>
        </w:rPr>
        <w:t> </w:t>
      </w:r>
      <w:r>
        <w:rPr>
          <w:rFonts w:eastAsia="等线"/>
          <w:b/>
          <w:bCs/>
          <w:color w:val="1C1D1E"/>
          <w:szCs w:val="24"/>
        </w:rPr>
        <w:t>2016</w:t>
      </w:r>
      <w:r>
        <w:rPr>
          <w:rFonts w:eastAsia="等线"/>
          <w:color w:val="1C1D1E"/>
          <w:szCs w:val="24"/>
        </w:rPr>
        <w:t>, </w:t>
      </w:r>
      <w:r>
        <w:rPr>
          <w:rFonts w:eastAsia="等线"/>
          <w:i/>
          <w:iCs/>
          <w:color w:val="1C1D1E"/>
          <w:szCs w:val="24"/>
        </w:rPr>
        <w:t>55</w:t>
      </w:r>
      <w:r>
        <w:rPr>
          <w:rFonts w:eastAsia="等线"/>
          <w:color w:val="1C1D1E"/>
          <w:szCs w:val="24"/>
        </w:rPr>
        <w:t>, 9913.</w:t>
      </w:r>
    </w:p>
    <w:p>
      <w:pPr>
        <w:pStyle w:val="9"/>
        <w:rPr>
          <w:rFonts w:eastAsia="等线"/>
          <w:color w:val="000000"/>
          <w:szCs w:val="24"/>
        </w:rPr>
      </w:pPr>
      <w:r>
        <w:rPr>
          <w:rFonts w:hint="eastAsia" w:eastAsia="等线"/>
          <w:color w:val="1C1D1E"/>
          <w:szCs w:val="24"/>
        </w:rPr>
        <w:t>(</w:t>
      </w:r>
      <w:r>
        <w:rPr>
          <w:rFonts w:eastAsia="等线"/>
          <w:color w:val="1C1D1E"/>
          <w:szCs w:val="24"/>
        </w:rPr>
        <w:t xml:space="preserve">5) </w:t>
      </w:r>
      <w:r>
        <w:rPr>
          <w:rFonts w:eastAsia="等线"/>
          <w:i/>
          <w:iCs/>
          <w:color w:val="000000"/>
          <w:szCs w:val="24"/>
        </w:rPr>
        <w:t>J. Am. Chem. Soc.</w:t>
      </w:r>
      <w:r>
        <w:rPr>
          <w:rFonts w:eastAsia="等线"/>
          <w:color w:val="000000"/>
          <w:szCs w:val="24"/>
        </w:rPr>
        <w:t> </w:t>
      </w:r>
      <w:r>
        <w:rPr>
          <w:rFonts w:eastAsia="等线"/>
          <w:b/>
          <w:bCs/>
          <w:color w:val="000000"/>
          <w:szCs w:val="24"/>
        </w:rPr>
        <w:t>2016</w:t>
      </w:r>
      <w:r>
        <w:rPr>
          <w:rFonts w:eastAsia="等线"/>
          <w:color w:val="000000"/>
          <w:szCs w:val="24"/>
        </w:rPr>
        <w:t>, </w:t>
      </w:r>
      <w:r>
        <w:rPr>
          <w:rFonts w:eastAsia="等线"/>
          <w:i/>
          <w:iCs/>
          <w:color w:val="000000"/>
          <w:szCs w:val="24"/>
        </w:rPr>
        <w:t>138</w:t>
      </w:r>
      <w:r>
        <w:rPr>
          <w:rFonts w:eastAsia="等线"/>
          <w:color w:val="000000"/>
          <w:szCs w:val="24"/>
        </w:rPr>
        <w:t>, 13639.</w:t>
      </w:r>
    </w:p>
    <w:p>
      <w:pPr>
        <w:pStyle w:val="9"/>
        <w:rPr>
          <w:rFonts w:hint="eastAsia" w:eastAsia="等线"/>
          <w:color w:val="000000"/>
          <w:szCs w:val="24"/>
          <w:lang w:eastAsia="zh-CN"/>
        </w:rPr>
      </w:pPr>
      <w:r>
        <w:rPr>
          <w:rFonts w:hint="eastAsia" w:eastAsia="等线"/>
          <w:color w:val="000000"/>
          <w:szCs w:val="24"/>
        </w:rPr>
        <w:t>(</w:t>
      </w:r>
      <w:r>
        <w:rPr>
          <w:rFonts w:eastAsia="等线"/>
          <w:color w:val="000000"/>
          <w:szCs w:val="24"/>
        </w:rPr>
        <w:t xml:space="preserve">6) </w:t>
      </w:r>
      <w:r>
        <w:rPr>
          <w:rFonts w:eastAsia="等线"/>
          <w:i/>
          <w:iCs/>
          <w:color w:val="000000"/>
          <w:szCs w:val="24"/>
        </w:rPr>
        <w:t>ACS Catal.</w:t>
      </w:r>
      <w:r>
        <w:rPr>
          <w:rFonts w:eastAsia="等线"/>
          <w:color w:val="000000"/>
          <w:szCs w:val="24"/>
        </w:rPr>
        <w:t xml:space="preserve"> </w:t>
      </w:r>
      <w:r>
        <w:rPr>
          <w:rFonts w:eastAsia="等线"/>
          <w:b/>
          <w:bCs/>
          <w:color w:val="000000"/>
          <w:szCs w:val="24"/>
        </w:rPr>
        <w:t>2020</w:t>
      </w:r>
      <w:r>
        <w:rPr>
          <w:rFonts w:eastAsia="等线"/>
          <w:color w:val="000000"/>
          <w:szCs w:val="24"/>
        </w:rPr>
        <w:t>, 10, 5179</w:t>
      </w:r>
      <w:r>
        <w:rPr>
          <w:rFonts w:hint="eastAsia" w:eastAsia="等线"/>
          <w:color w:val="000000"/>
          <w:szCs w:val="24"/>
          <w:lang w:val="en-US" w:eastAsia="zh-CN"/>
        </w:rPr>
        <w:t>.</w:t>
      </w:r>
    </w:p>
    <w:p>
      <w:pPr>
        <w:pStyle w:val="9"/>
        <w:rPr>
          <w:szCs w:val="24"/>
        </w:rPr>
      </w:pPr>
      <w:r>
        <w:rPr>
          <w:rFonts w:hint="eastAsia"/>
          <w:szCs w:val="24"/>
        </w:rPr>
        <w:t>(</w:t>
      </w:r>
      <w:r>
        <w:rPr>
          <w:szCs w:val="24"/>
        </w:rPr>
        <w:t>7)</w:t>
      </w:r>
      <w:r>
        <w:rPr>
          <w:rFonts w:eastAsia="等线"/>
          <w:i/>
          <w:iCs/>
          <w:color w:val="000000"/>
          <w:szCs w:val="24"/>
        </w:rPr>
        <w:t xml:space="preserve"> ACS Catal.</w:t>
      </w:r>
      <w:r>
        <w:rPr>
          <w:rFonts w:eastAsia="等线"/>
          <w:color w:val="000000"/>
          <w:szCs w:val="24"/>
        </w:rPr>
        <w:t> </w:t>
      </w:r>
      <w:r>
        <w:rPr>
          <w:rFonts w:eastAsia="等线"/>
          <w:b/>
          <w:bCs/>
          <w:color w:val="000000"/>
          <w:szCs w:val="24"/>
        </w:rPr>
        <w:t>2017</w:t>
      </w:r>
      <w:r>
        <w:rPr>
          <w:rFonts w:eastAsia="等线"/>
          <w:color w:val="000000"/>
          <w:szCs w:val="24"/>
        </w:rPr>
        <w:t>, </w:t>
      </w:r>
      <w:r>
        <w:rPr>
          <w:rFonts w:eastAsia="等线"/>
          <w:i/>
          <w:iCs/>
          <w:color w:val="000000"/>
          <w:szCs w:val="24"/>
        </w:rPr>
        <w:t>7</w:t>
      </w:r>
      <w:r>
        <w:rPr>
          <w:rFonts w:eastAsia="等线"/>
          <w:color w:val="000000"/>
          <w:szCs w:val="24"/>
        </w:rPr>
        <w:t>, 4564.</w:t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8)</w:t>
      </w:r>
      <w:r>
        <w:rPr>
          <w:rFonts w:ascii="Times New Roman" w:hAnsi="Times New Roman" w:eastAsia="等线" w:cs="Times New Roman"/>
          <w:i/>
          <w:iCs/>
          <w:color w:val="1C1D1E"/>
        </w:rPr>
        <w:t xml:space="preserve"> Angew. Chem. Int. Ed. </w:t>
      </w:r>
      <w:r>
        <w:rPr>
          <w:rFonts w:ascii="Times New Roman" w:hAnsi="Times New Roman" w:eastAsia="等线" w:cs="Times New Roman"/>
          <w:b/>
          <w:bCs/>
          <w:color w:val="1C1D1E"/>
        </w:rPr>
        <w:t>2019</w:t>
      </w:r>
      <w:r>
        <w:rPr>
          <w:rFonts w:ascii="Times New Roman" w:hAnsi="Times New Roman" w:eastAsia="等线" w:cs="Times New Roman"/>
          <w:color w:val="1C1D1E"/>
        </w:rPr>
        <w:t>,</w:t>
      </w:r>
      <w:r>
        <w:rPr>
          <w:rFonts w:hint="eastAsia" w:ascii="Times New Roman" w:hAnsi="Times New Roman" w:eastAsia="等线" w:cs="Times New Roman"/>
          <w:color w:val="1C1D1E"/>
          <w:lang w:val="en-US" w:eastAsia="zh-CN"/>
        </w:rPr>
        <w:t xml:space="preserve"> </w:t>
      </w:r>
      <w:r>
        <w:rPr>
          <w:rFonts w:ascii="Times New Roman" w:hAnsi="Times New Roman" w:eastAsia="等线" w:cs="Times New Roman"/>
          <w:i/>
          <w:iCs/>
          <w:color w:val="1C1D1E"/>
        </w:rPr>
        <w:t>58,</w:t>
      </w:r>
      <w:r>
        <w:rPr>
          <w:rFonts w:ascii="Times New Roman" w:hAnsi="Times New Roman" w:eastAsia="等线" w:cs="Times New Roman"/>
          <w:color w:val="1C1D1E"/>
        </w:rPr>
        <w:t xml:space="preserve"> 15895.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hideSpellingErrors/>
  <w:hideGrammaticalError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FE2"/>
    <w:rsid w:val="000020BD"/>
    <w:rsid w:val="000205F9"/>
    <w:rsid w:val="00023D30"/>
    <w:rsid w:val="000268D0"/>
    <w:rsid w:val="00050A7D"/>
    <w:rsid w:val="000608BB"/>
    <w:rsid w:val="000735EA"/>
    <w:rsid w:val="00075AC5"/>
    <w:rsid w:val="00097B4E"/>
    <w:rsid w:val="000A4ABB"/>
    <w:rsid w:val="000B159A"/>
    <w:rsid w:val="000C0497"/>
    <w:rsid w:val="000C2F7B"/>
    <w:rsid w:val="000C60B1"/>
    <w:rsid w:val="000D0862"/>
    <w:rsid w:val="001055A4"/>
    <w:rsid w:val="00105A7E"/>
    <w:rsid w:val="001115A6"/>
    <w:rsid w:val="001167D9"/>
    <w:rsid w:val="001223C8"/>
    <w:rsid w:val="0013298F"/>
    <w:rsid w:val="001346CC"/>
    <w:rsid w:val="00135536"/>
    <w:rsid w:val="0014784D"/>
    <w:rsid w:val="00150E34"/>
    <w:rsid w:val="00161D12"/>
    <w:rsid w:val="001626E6"/>
    <w:rsid w:val="00166210"/>
    <w:rsid w:val="0016699C"/>
    <w:rsid w:val="00172AD3"/>
    <w:rsid w:val="00192B56"/>
    <w:rsid w:val="00193DAD"/>
    <w:rsid w:val="001A09E1"/>
    <w:rsid w:val="001A475D"/>
    <w:rsid w:val="001B53A4"/>
    <w:rsid w:val="001E15AE"/>
    <w:rsid w:val="001F1075"/>
    <w:rsid w:val="001F48B4"/>
    <w:rsid w:val="002106EB"/>
    <w:rsid w:val="002120BB"/>
    <w:rsid w:val="00212840"/>
    <w:rsid w:val="00214419"/>
    <w:rsid w:val="002144DE"/>
    <w:rsid w:val="00220F85"/>
    <w:rsid w:val="00241610"/>
    <w:rsid w:val="00245A20"/>
    <w:rsid w:val="00267188"/>
    <w:rsid w:val="002720CD"/>
    <w:rsid w:val="00275880"/>
    <w:rsid w:val="00281A5A"/>
    <w:rsid w:val="0029579A"/>
    <w:rsid w:val="002A5805"/>
    <w:rsid w:val="002B516E"/>
    <w:rsid w:val="002D175D"/>
    <w:rsid w:val="002D54B0"/>
    <w:rsid w:val="002D5F59"/>
    <w:rsid w:val="002E139D"/>
    <w:rsid w:val="002E75E3"/>
    <w:rsid w:val="002F0084"/>
    <w:rsid w:val="00310432"/>
    <w:rsid w:val="00310D83"/>
    <w:rsid w:val="0031697A"/>
    <w:rsid w:val="00323691"/>
    <w:rsid w:val="00334FAB"/>
    <w:rsid w:val="00356487"/>
    <w:rsid w:val="003603AD"/>
    <w:rsid w:val="00360CF2"/>
    <w:rsid w:val="00375D22"/>
    <w:rsid w:val="003835F4"/>
    <w:rsid w:val="00383F05"/>
    <w:rsid w:val="00390D96"/>
    <w:rsid w:val="003935DC"/>
    <w:rsid w:val="00395C17"/>
    <w:rsid w:val="00397E90"/>
    <w:rsid w:val="003A2CF9"/>
    <w:rsid w:val="003D12A3"/>
    <w:rsid w:val="003F0CB0"/>
    <w:rsid w:val="003F73C7"/>
    <w:rsid w:val="003F744A"/>
    <w:rsid w:val="00402043"/>
    <w:rsid w:val="00403E7C"/>
    <w:rsid w:val="00422709"/>
    <w:rsid w:val="004234F5"/>
    <w:rsid w:val="00460C26"/>
    <w:rsid w:val="00480450"/>
    <w:rsid w:val="004818F7"/>
    <w:rsid w:val="004B3A26"/>
    <w:rsid w:val="004D5674"/>
    <w:rsid w:val="004E2984"/>
    <w:rsid w:val="004F39A5"/>
    <w:rsid w:val="004F53C7"/>
    <w:rsid w:val="004F6F75"/>
    <w:rsid w:val="005075E7"/>
    <w:rsid w:val="00514730"/>
    <w:rsid w:val="005171B2"/>
    <w:rsid w:val="00522B50"/>
    <w:rsid w:val="00523334"/>
    <w:rsid w:val="00547901"/>
    <w:rsid w:val="005514CA"/>
    <w:rsid w:val="00562D07"/>
    <w:rsid w:val="0057177D"/>
    <w:rsid w:val="005717F2"/>
    <w:rsid w:val="00574273"/>
    <w:rsid w:val="0058147C"/>
    <w:rsid w:val="00585D8F"/>
    <w:rsid w:val="00593CA6"/>
    <w:rsid w:val="00595373"/>
    <w:rsid w:val="00595B67"/>
    <w:rsid w:val="005B1433"/>
    <w:rsid w:val="005E0D08"/>
    <w:rsid w:val="005F259B"/>
    <w:rsid w:val="005F47F1"/>
    <w:rsid w:val="00606543"/>
    <w:rsid w:val="00607FE2"/>
    <w:rsid w:val="006231DF"/>
    <w:rsid w:val="006371CF"/>
    <w:rsid w:val="00646EE5"/>
    <w:rsid w:val="0068788A"/>
    <w:rsid w:val="006A3AA4"/>
    <w:rsid w:val="006B24A5"/>
    <w:rsid w:val="006C39DE"/>
    <w:rsid w:val="006C69D7"/>
    <w:rsid w:val="006D1591"/>
    <w:rsid w:val="006E3AB6"/>
    <w:rsid w:val="007135C6"/>
    <w:rsid w:val="0071692D"/>
    <w:rsid w:val="00724071"/>
    <w:rsid w:val="00742885"/>
    <w:rsid w:val="007577C8"/>
    <w:rsid w:val="0076322A"/>
    <w:rsid w:val="0078333B"/>
    <w:rsid w:val="00792521"/>
    <w:rsid w:val="007C5834"/>
    <w:rsid w:val="007D45A2"/>
    <w:rsid w:val="007E7BE4"/>
    <w:rsid w:val="007F2FD3"/>
    <w:rsid w:val="007F66EB"/>
    <w:rsid w:val="00801799"/>
    <w:rsid w:val="00803526"/>
    <w:rsid w:val="008052BD"/>
    <w:rsid w:val="00814558"/>
    <w:rsid w:val="00820FD5"/>
    <w:rsid w:val="008220E9"/>
    <w:rsid w:val="008222C6"/>
    <w:rsid w:val="00822C23"/>
    <w:rsid w:val="00825839"/>
    <w:rsid w:val="00826DE8"/>
    <w:rsid w:val="008321D5"/>
    <w:rsid w:val="008328EC"/>
    <w:rsid w:val="0084031B"/>
    <w:rsid w:val="0084188E"/>
    <w:rsid w:val="008478F3"/>
    <w:rsid w:val="00872096"/>
    <w:rsid w:val="00872675"/>
    <w:rsid w:val="00885DEB"/>
    <w:rsid w:val="00887BEB"/>
    <w:rsid w:val="008A12F4"/>
    <w:rsid w:val="008C277C"/>
    <w:rsid w:val="008D4B8A"/>
    <w:rsid w:val="008E4741"/>
    <w:rsid w:val="008E73DC"/>
    <w:rsid w:val="009046DF"/>
    <w:rsid w:val="009160FE"/>
    <w:rsid w:val="00920EE9"/>
    <w:rsid w:val="00927DEE"/>
    <w:rsid w:val="00944FA5"/>
    <w:rsid w:val="00957391"/>
    <w:rsid w:val="00965ADC"/>
    <w:rsid w:val="00966E86"/>
    <w:rsid w:val="009764CF"/>
    <w:rsid w:val="00981DB2"/>
    <w:rsid w:val="009851ED"/>
    <w:rsid w:val="009A0950"/>
    <w:rsid w:val="009A63D7"/>
    <w:rsid w:val="009B39BE"/>
    <w:rsid w:val="009C11C6"/>
    <w:rsid w:val="009F3934"/>
    <w:rsid w:val="00A10165"/>
    <w:rsid w:val="00A257C3"/>
    <w:rsid w:val="00A34D15"/>
    <w:rsid w:val="00A518BA"/>
    <w:rsid w:val="00A53698"/>
    <w:rsid w:val="00A57404"/>
    <w:rsid w:val="00A578EA"/>
    <w:rsid w:val="00A625BD"/>
    <w:rsid w:val="00A7377D"/>
    <w:rsid w:val="00A74625"/>
    <w:rsid w:val="00A76A96"/>
    <w:rsid w:val="00A902EB"/>
    <w:rsid w:val="00AB5971"/>
    <w:rsid w:val="00AD7A9A"/>
    <w:rsid w:val="00AE0F03"/>
    <w:rsid w:val="00AE1023"/>
    <w:rsid w:val="00AF18BE"/>
    <w:rsid w:val="00AF749E"/>
    <w:rsid w:val="00B03A74"/>
    <w:rsid w:val="00B21A9A"/>
    <w:rsid w:val="00B3350B"/>
    <w:rsid w:val="00B460A3"/>
    <w:rsid w:val="00B6384C"/>
    <w:rsid w:val="00B71EDD"/>
    <w:rsid w:val="00B82D3F"/>
    <w:rsid w:val="00B873C7"/>
    <w:rsid w:val="00BC585C"/>
    <w:rsid w:val="00BD53D5"/>
    <w:rsid w:val="00BE1A32"/>
    <w:rsid w:val="00BF5E9C"/>
    <w:rsid w:val="00C0135D"/>
    <w:rsid w:val="00C03DE2"/>
    <w:rsid w:val="00C05004"/>
    <w:rsid w:val="00C11FEC"/>
    <w:rsid w:val="00C164E6"/>
    <w:rsid w:val="00C33AED"/>
    <w:rsid w:val="00C517DB"/>
    <w:rsid w:val="00C526A6"/>
    <w:rsid w:val="00C527E8"/>
    <w:rsid w:val="00C5339B"/>
    <w:rsid w:val="00C62D43"/>
    <w:rsid w:val="00C63EC2"/>
    <w:rsid w:val="00C71541"/>
    <w:rsid w:val="00C856EA"/>
    <w:rsid w:val="00C90435"/>
    <w:rsid w:val="00C9590E"/>
    <w:rsid w:val="00CB22D5"/>
    <w:rsid w:val="00CB3E70"/>
    <w:rsid w:val="00CC6056"/>
    <w:rsid w:val="00CD144A"/>
    <w:rsid w:val="00CD6F6B"/>
    <w:rsid w:val="00D02C7C"/>
    <w:rsid w:val="00D3177B"/>
    <w:rsid w:val="00D352F0"/>
    <w:rsid w:val="00D5096A"/>
    <w:rsid w:val="00D509B2"/>
    <w:rsid w:val="00D643B7"/>
    <w:rsid w:val="00D64C3E"/>
    <w:rsid w:val="00D72522"/>
    <w:rsid w:val="00D754C7"/>
    <w:rsid w:val="00D75E17"/>
    <w:rsid w:val="00D8260E"/>
    <w:rsid w:val="00D94162"/>
    <w:rsid w:val="00DC33D3"/>
    <w:rsid w:val="00DC3C81"/>
    <w:rsid w:val="00DD13EF"/>
    <w:rsid w:val="00DD6B00"/>
    <w:rsid w:val="00DE308D"/>
    <w:rsid w:val="00DF398E"/>
    <w:rsid w:val="00E1357D"/>
    <w:rsid w:val="00E21724"/>
    <w:rsid w:val="00E222BC"/>
    <w:rsid w:val="00E223EF"/>
    <w:rsid w:val="00E33FC4"/>
    <w:rsid w:val="00E348D0"/>
    <w:rsid w:val="00E35BD6"/>
    <w:rsid w:val="00E3773D"/>
    <w:rsid w:val="00E419C3"/>
    <w:rsid w:val="00E53BF4"/>
    <w:rsid w:val="00E55A24"/>
    <w:rsid w:val="00E652DD"/>
    <w:rsid w:val="00E76EEC"/>
    <w:rsid w:val="00E8786F"/>
    <w:rsid w:val="00EA2885"/>
    <w:rsid w:val="00EA3C29"/>
    <w:rsid w:val="00EA4498"/>
    <w:rsid w:val="00EB06A9"/>
    <w:rsid w:val="00EB4B6C"/>
    <w:rsid w:val="00ED450B"/>
    <w:rsid w:val="00EF04FA"/>
    <w:rsid w:val="00EF4596"/>
    <w:rsid w:val="00F02941"/>
    <w:rsid w:val="00F150CD"/>
    <w:rsid w:val="00F23A54"/>
    <w:rsid w:val="00F57501"/>
    <w:rsid w:val="00F649E5"/>
    <w:rsid w:val="00F8564E"/>
    <w:rsid w:val="00FA6493"/>
    <w:rsid w:val="00FB0B79"/>
    <w:rsid w:val="00FB6E62"/>
    <w:rsid w:val="00FE3BF5"/>
    <w:rsid w:val="00FE5766"/>
    <w:rsid w:val="00FE72DB"/>
    <w:rsid w:val="00FF1068"/>
    <w:rsid w:val="00FF7965"/>
    <w:rsid w:val="046A0338"/>
    <w:rsid w:val="0A4A5D73"/>
    <w:rsid w:val="22CA3295"/>
    <w:rsid w:val="32A73A03"/>
    <w:rsid w:val="34C42990"/>
    <w:rsid w:val="37151F2D"/>
    <w:rsid w:val="42BC2D6E"/>
    <w:rsid w:val="50CC5464"/>
    <w:rsid w:val="6225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1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unhideWhenUsed/>
    <w:qFormat/>
    <w:uiPriority w:val="99"/>
    <w:rPr>
      <w:sz w:val="21"/>
      <w:szCs w:val="21"/>
    </w:rPr>
  </w:style>
  <w:style w:type="paragraph" w:customStyle="1" w:styleId="9">
    <w:name w:val="EndNote Bibliography"/>
    <w:qFormat/>
    <w:uiPriority w:val="0"/>
    <w:pPr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customStyle="1" w:styleId="10">
    <w:name w:val="批注文字 字符"/>
    <w:basedOn w:val="7"/>
    <w:link w:val="2"/>
    <w:semiHidden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11">
    <w:name w:val="批注主题 字符"/>
    <w:basedOn w:val="10"/>
    <w:link w:val="5"/>
    <w:semiHidden/>
    <w:qFormat/>
    <w:uiPriority w:val="99"/>
    <w:rPr>
      <w:rFonts w:ascii="宋体" w:hAnsi="宋体" w:eastAsia="宋体" w:cs="宋体"/>
      <w:b/>
      <w:bCs/>
      <w:sz w:val="24"/>
      <w:szCs w:val="24"/>
    </w:rPr>
  </w:style>
  <w:style w:type="paragraph" w:customStyle="1" w:styleId="12">
    <w:name w:val="Dedication"/>
    <w:basedOn w:val="1"/>
    <w:qFormat/>
    <w:uiPriority w:val="0"/>
    <w:pPr>
      <w:spacing w:before="230" w:after="360" w:line="230" w:lineRule="exact"/>
    </w:pPr>
    <w:rPr>
      <w:rFonts w:ascii="Arial" w:hAnsi="Arial"/>
      <w:sz w:val="17"/>
    </w:rPr>
  </w:style>
  <w:style w:type="character" w:customStyle="1" w:styleId="13">
    <w:name w:val="页眉 字符"/>
    <w:basedOn w:val="7"/>
    <w:link w:val="4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4">
    <w:name w:val="页脚 字符"/>
    <w:basedOn w:val="7"/>
    <w:link w:val="3"/>
    <w:uiPriority w:val="99"/>
    <w:rPr>
      <w:rFonts w:ascii="宋体" w:hAnsi="宋体" w:eastAsia="宋体" w:cs="宋体"/>
      <w:sz w:val="18"/>
      <w:szCs w:val="18"/>
    </w:rPr>
  </w:style>
  <w:style w:type="paragraph" w:customStyle="1" w:styleId="15">
    <w:name w:val="Authors"/>
    <w:basedOn w:val="1"/>
    <w:qFormat/>
    <w:uiPriority w:val="0"/>
    <w:pPr>
      <w:spacing w:before="120" w:after="120" w:line="320" w:lineRule="exact"/>
    </w:pPr>
    <w:rPr>
      <w:rFonts w:ascii="Arial" w:hAnsi="Arial" w:eastAsia="MS Mincho" w:cs="Times New Roman"/>
      <w:sz w:val="22"/>
      <w:lang w:val="en-GB" w:eastAsia="ja-JP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1372</Words>
  <Characters>7821</Characters>
  <Lines>65</Lines>
  <Paragraphs>18</Paragraphs>
  <TotalTime>4</TotalTime>
  <ScaleCrop>false</ScaleCrop>
  <LinksUpToDate>false</LinksUpToDate>
  <CharactersWithSpaces>9175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2021-06-08T06:32:00Z</dcterms:created>
  <dc:creator>Happy</dc:creator>
  <cp:lastModifiedBy>邹雨芹</cp:lastModifiedBy>
  <dcterms:modified xsi:type="dcterms:W3CDTF">2021-07-04T02:56:11Z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43B40F76E26E4603B1161B56D1CEC600</vt:lpwstr>
  </property>
</Properties>
</file>