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F2" w:rsidRDefault="00FE47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 Material 1</w:t>
      </w:r>
      <w:r w:rsidR="00543EF0" w:rsidRPr="00543EF0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r w:rsidR="00543EF0" w:rsidRPr="00FE4727">
        <w:rPr>
          <w:rFonts w:ascii="Times New Roman" w:hAnsi="Times New Roman" w:cs="Times New Roman"/>
          <w:sz w:val="24"/>
        </w:rPr>
        <w:t>Mathematical formulation of the SEIVR model</w:t>
      </w:r>
      <w:bookmarkEnd w:id="0"/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dS</m:t>
              </m:r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24"/>
            </w:rPr>
            <m:t>= -</m:t>
          </m:r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1t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ut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+κ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2t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1t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3t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1ν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1t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2ν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2t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3ν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3t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kern w:val="0"/>
              <w:sz w:val="18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ω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="Times New Roman"/>
                  <w:kern w:val="0"/>
                  <w:sz w:val="18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ut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2t</m:t>
                  </m:r>
                </m:sub>
              </m:sSub>
            </m:e>
          </m:d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dE</m:t>
              </m:r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1t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ut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+κ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18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Ι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18"/>
                          <w:szCs w:val="24"/>
                        </w:rPr>
                        <m:t>2t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24"/>
                    </w:rPr>
                    <m:t>t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24"/>
            </w:rPr>
            <m:t>-θ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24"/>
                </w:rPr>
                <m:t>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u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1-μ</m:t>
              </m:r>
            </m:e>
          </m:d>
          <m:r>
            <w:rPr>
              <w:rFonts w:ascii="Cambria Math" w:hAnsi="Cambria Math" w:cs="Times New Roman"/>
              <w:kern w:val="0"/>
              <w:sz w:val="18"/>
              <w:szCs w:val="18"/>
            </w:rPr>
            <m:t>θ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u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ut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u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u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ut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ut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=μθ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1v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1t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2v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2t</m:t>
              </m:r>
            </m:sub>
          </m:sSub>
        </m:oMath>
      </m:oMathPara>
    </w:p>
    <w:p w:rsidR="00164292" w:rsidRPr="002A185C" w:rsidRDefault="0021525F" w:rsidP="00164292">
      <w:pPr>
        <w:spacing w:line="240" w:lineRule="auto"/>
        <w:jc w:val="left"/>
        <w:rPr>
          <w:rFonts w:ascii="Times New Roman" w:hAnsi="Times New Roman" w:cs="Times New Roman"/>
          <w:kern w:val="0"/>
          <w:sz w:val="22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kern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kern w:val="0"/>
                      <w:sz w:val="18"/>
                      <w:szCs w:val="18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 w:cs="Times New Roman"/>
              <w:kern w:val="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vac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3t</m:t>
              </m:r>
            </m:sub>
          </m:sSub>
          <m:r>
            <w:rPr>
              <w:rFonts w:ascii="Cambria Math" w:hAnsi="Cambria Math" w:cs="Times New Roman"/>
              <w:kern w:val="0"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3v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kern w:val="0"/>
                  <w:sz w:val="18"/>
                  <w:szCs w:val="18"/>
                </w:rPr>
                <m:t>3t</m:t>
              </m:r>
            </m:sub>
          </m:sSub>
        </m:oMath>
      </m:oMathPara>
    </w:p>
    <w:p w:rsidR="009E2BDB" w:rsidRDefault="009E2BDB">
      <w:pPr>
        <w:widowControl/>
        <w:wordWrap/>
        <w:autoSpaceDE/>
        <w:autoSpaceDN/>
      </w:pPr>
      <w:r>
        <w:br w:type="page"/>
      </w:r>
    </w:p>
    <w:p w:rsidR="00164292" w:rsidRPr="00AE7C6C" w:rsidRDefault="00FE4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S1</w:t>
      </w:r>
      <w:r w:rsidR="00543EF0" w:rsidRPr="0054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EF0" w:rsidRPr="00FE4727">
        <w:rPr>
          <w:rFonts w:ascii="Times New Roman" w:hAnsi="Times New Roman" w:cs="Times New Roman"/>
          <w:sz w:val="24"/>
          <w:szCs w:val="24"/>
        </w:rPr>
        <w:t>Estimated population immunity by age group at each policy adjustment point (%)</w:t>
      </w:r>
    </w:p>
    <w:tbl>
      <w:tblPr>
        <w:tblW w:w="8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1842"/>
        <w:gridCol w:w="1613"/>
        <w:gridCol w:w="1050"/>
      </w:tblGrid>
      <w:tr w:rsidR="009E2BDB" w:rsidRPr="009E2BDB" w:rsidTr="009E2BDB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Policy Adjustment Point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Children </w:t>
            </w:r>
          </w:p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(0–17 yrs)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Adults </w:t>
            </w:r>
          </w:p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(18–59 yrs)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Older Adults (60+ yrs)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Total</w:t>
            </w:r>
          </w:p>
        </w:tc>
      </w:tr>
      <w:tr w:rsidR="009E2BDB" w:rsidRPr="009E2BDB" w:rsidTr="009E2BDB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PAP1 (2022. 5. 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62.46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63.33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61.01</w:t>
            </w:r>
          </w:p>
        </w:tc>
      </w:tr>
      <w:tr w:rsidR="009E2BDB" w:rsidRPr="009E2BDB" w:rsidTr="009E2BDB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PAP2 (2022. 9. 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64.67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54.91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58.22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57.17</w:t>
            </w:r>
          </w:p>
        </w:tc>
      </w:tr>
      <w:tr w:rsidR="009E2BDB" w:rsidRPr="009E2BDB" w:rsidTr="009E2BDB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PAP3 (2023. 1. 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59.73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50.72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61.32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54.68</w:t>
            </w:r>
          </w:p>
        </w:tc>
      </w:tr>
      <w:tr w:rsidR="009E2BDB" w:rsidRPr="009E2BDB" w:rsidTr="009E2BDB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PAP4 (2023. 3. 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55.84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46.25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52.27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49.16</w:t>
            </w:r>
          </w:p>
        </w:tc>
      </w:tr>
      <w:tr w:rsidR="009E2BDB" w:rsidRPr="009E2BDB" w:rsidTr="009E2BDB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PAP5 (2023. 6. 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50.2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41.18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43.43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2BDB" w:rsidRPr="009E2BDB" w:rsidRDefault="009E2BDB" w:rsidP="009E2B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9E2BDB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43.07</w:t>
            </w:r>
          </w:p>
        </w:tc>
      </w:tr>
    </w:tbl>
    <w:p w:rsidR="00AE7C6C" w:rsidRDefault="00AE7C6C"/>
    <w:p w:rsidR="00AE7C6C" w:rsidRDefault="00AE7C6C">
      <w:pPr>
        <w:widowControl/>
        <w:wordWrap/>
        <w:autoSpaceDE/>
        <w:autoSpaceDN/>
      </w:pPr>
      <w:r>
        <w:br w:type="page"/>
      </w:r>
    </w:p>
    <w:p w:rsidR="00AE1B62" w:rsidRDefault="00543EF0">
      <w:pPr>
        <w:rPr>
          <w:rFonts w:ascii="Times New Roman" w:hAnsi="Times New Roman" w:cs="Times New Roman"/>
          <w:b/>
          <w:sz w:val="24"/>
        </w:rPr>
      </w:pPr>
      <w:r w:rsidRPr="00543EF0">
        <w:rPr>
          <w:rFonts w:ascii="Times New Roman" w:hAnsi="Times New Roman" w:cs="Times New Roman"/>
          <w:b/>
          <w:sz w:val="24"/>
        </w:rPr>
        <w:lastRenderedPageBreak/>
        <w:t>Supplementary Table</w:t>
      </w:r>
      <w:r w:rsidR="00FE4727">
        <w:rPr>
          <w:rFonts w:ascii="Times New Roman" w:hAnsi="Times New Roman" w:cs="Times New Roman"/>
          <w:b/>
          <w:sz w:val="24"/>
        </w:rPr>
        <w:t xml:space="preserve"> S2</w:t>
      </w:r>
      <w:r w:rsidRPr="00543EF0">
        <w:rPr>
          <w:rFonts w:ascii="Times New Roman" w:hAnsi="Times New Roman" w:cs="Times New Roman"/>
          <w:b/>
          <w:sz w:val="24"/>
        </w:rPr>
        <w:t xml:space="preserve"> </w:t>
      </w:r>
      <w:r w:rsidRPr="00FE4727">
        <w:rPr>
          <w:rFonts w:ascii="Times New Roman" w:hAnsi="Times New Roman" w:cs="Times New Roman"/>
          <w:sz w:val="24"/>
        </w:rPr>
        <w:t>Percent change in confirmed cases, severe cases, and deaths under counterfactual scenarios, by age group and policy adjustment point</w:t>
      </w:r>
    </w:p>
    <w:p w:rsidR="00543EF0" w:rsidRPr="00543EF0" w:rsidRDefault="00543EF0">
      <w:pPr>
        <w:rPr>
          <w:rFonts w:ascii="Times New Roman" w:hAnsi="Times New Roman" w:cs="Times New Roman"/>
          <w:b/>
          <w:sz w:val="24"/>
        </w:rPr>
      </w:pPr>
    </w:p>
    <w:p w:rsidR="00543EF0" w:rsidRDefault="00543EF0" w:rsidP="00543EF0">
      <w:pPr>
        <w:wordWrap/>
        <w:spacing w:after="0" w:line="220" w:lineRule="exact"/>
        <w:jc w:val="right"/>
        <w:rPr>
          <w:rFonts w:ascii="Times New Roman" w:hAnsi="Times New Roman" w:cs="Times New Roman"/>
          <w:kern w:val="0"/>
          <w:szCs w:val="20"/>
        </w:rPr>
      </w:pPr>
      <w:r w:rsidRPr="005A4C68">
        <w:rPr>
          <w:rFonts w:ascii="Times New Roman" w:hAnsi="Times New Roman" w:cs="Times New Roman"/>
          <w:kern w:val="0"/>
          <w:szCs w:val="20"/>
        </w:rPr>
        <w:t xml:space="preserve">Unit: Percent change (%) </w:t>
      </w:r>
    </w:p>
    <w:p w:rsidR="00543EF0" w:rsidRPr="005A4C68" w:rsidRDefault="00543EF0" w:rsidP="00543EF0">
      <w:pPr>
        <w:wordWrap/>
        <w:spacing w:after="0" w:line="220" w:lineRule="exact"/>
        <w:jc w:val="right"/>
        <w:rPr>
          <w:rFonts w:ascii="Times New Roman" w:hAnsi="Times New Roman" w:cs="Times New Roman"/>
          <w:kern w:val="0"/>
          <w:szCs w:val="20"/>
        </w:rPr>
      </w:pPr>
    </w:p>
    <w:tbl>
      <w:tblPr>
        <w:tblW w:w="883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3"/>
        <w:gridCol w:w="1705"/>
        <w:gridCol w:w="975"/>
        <w:gridCol w:w="975"/>
        <w:gridCol w:w="872"/>
        <w:gridCol w:w="945"/>
        <w:gridCol w:w="1242"/>
        <w:gridCol w:w="1020"/>
      </w:tblGrid>
      <w:tr w:rsidR="00AE7C6C" w:rsidRPr="00AE7C6C" w:rsidTr="00AE7C6C">
        <w:trPr>
          <w:trHeight w:val="33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5F2F64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Categ</w:t>
            </w:r>
            <w:r w:rsidR="00AE7C6C"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ory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Policy adjustment point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1B62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2 Weeks Earlier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1B62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2 Weeks Later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0-17 yrs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18-59 yrs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60+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0-17 yrs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18-59 yrs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AE7C6C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60+ yrs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confir</w:t>
            </w:r>
            <w:r w:rsidR="005F2F64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m</w:t>
            </w: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ed cases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PAP1 (2022. 5. 2.)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14.07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–26.72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–19.23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PAP2 (2022. 9. 26.)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–22.40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–21.96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–16.32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PAP3 (2023. 1. 30.)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20.33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–13.88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–10.62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PAP4 (2023. 3. 20.)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29.51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16.25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25.22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–23.80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–22.81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–10.69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PAP5 (2023. 6. 1.)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Severe cases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PAP1 (2022. 5. 2.)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–22.22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–19.31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PAP2 (2022. 9. 26.)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–14.63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–15.48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–14.46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PAP3 (2023. 1. 30.)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19.18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–19.10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PAP4 (2023. 3. 20.)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PAP5 (2023. 6. 1.)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16.67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–23.53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Deaths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PAP1 (2022. 5. 2.)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–22.22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–19.31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PAP2 (2022. 9. 26.)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–14.81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PAP3 (2023. 1. 30.)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21.05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–19.10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 xml:space="preserve">PAP4 (2023. 3. 20.)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AE7C6C" w:rsidRPr="00AE7C6C" w:rsidTr="00AE7C6C">
        <w:trPr>
          <w:trHeight w:val="330"/>
        </w:trPr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</w:rPr>
              <w:t>PAP5 (2023. 6. 1.)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16.67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6C" w:rsidRPr="00AE7C6C" w:rsidRDefault="00AE7C6C" w:rsidP="00AE7C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E7C6C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–23.53</w:t>
            </w:r>
          </w:p>
        </w:tc>
      </w:tr>
    </w:tbl>
    <w:p w:rsidR="00AE7C6C" w:rsidRDefault="00AE7C6C"/>
    <w:sectPr w:rsidR="00AE7C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25F" w:rsidRDefault="0021525F" w:rsidP="009E2BDB">
      <w:pPr>
        <w:spacing w:after="0" w:line="240" w:lineRule="auto"/>
      </w:pPr>
      <w:r>
        <w:separator/>
      </w:r>
    </w:p>
  </w:endnote>
  <w:endnote w:type="continuationSeparator" w:id="0">
    <w:p w:rsidR="0021525F" w:rsidRDefault="0021525F" w:rsidP="009E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25F" w:rsidRDefault="0021525F" w:rsidP="009E2BDB">
      <w:pPr>
        <w:spacing w:after="0" w:line="240" w:lineRule="auto"/>
      </w:pPr>
      <w:r>
        <w:separator/>
      </w:r>
    </w:p>
  </w:footnote>
  <w:footnote w:type="continuationSeparator" w:id="0">
    <w:p w:rsidR="0021525F" w:rsidRDefault="0021525F" w:rsidP="009E2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92"/>
    <w:rsid w:val="00164292"/>
    <w:rsid w:val="00173178"/>
    <w:rsid w:val="0021525F"/>
    <w:rsid w:val="00377D6D"/>
    <w:rsid w:val="003D3BC8"/>
    <w:rsid w:val="00460D10"/>
    <w:rsid w:val="00500FB8"/>
    <w:rsid w:val="00543EF0"/>
    <w:rsid w:val="005F2F64"/>
    <w:rsid w:val="00825E28"/>
    <w:rsid w:val="008E26D3"/>
    <w:rsid w:val="009E2BDB"/>
    <w:rsid w:val="00AE1B62"/>
    <w:rsid w:val="00AE7C6C"/>
    <w:rsid w:val="00B71AF2"/>
    <w:rsid w:val="00BC1F97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69A85"/>
  <w15:chartTrackingRefBased/>
  <w15:docId w15:val="{62317851-2078-4BE6-B674-089F9B4B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2B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E2BDB"/>
  </w:style>
  <w:style w:type="paragraph" w:styleId="a4">
    <w:name w:val="footer"/>
    <w:basedOn w:val="a"/>
    <w:link w:val="Char0"/>
    <w:uiPriority w:val="99"/>
    <w:unhideWhenUsed/>
    <w:rsid w:val="009E2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E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2024-03-06T08:43:00Z</dcterms:created>
  <dcterms:modified xsi:type="dcterms:W3CDTF">2025-06-09T06:45:00Z</dcterms:modified>
</cp:coreProperties>
</file>