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6AC14" w14:textId="77777777" w:rsidR="00A03939" w:rsidRPr="00A03939" w:rsidRDefault="00A03939" w:rsidP="007D745D">
      <w:pPr>
        <w:spacing w:after="0" w:line="360" w:lineRule="auto"/>
        <w:ind w:firstLineChars="200" w:firstLine="440"/>
        <w:jc w:val="both"/>
        <w:rPr>
          <w:rFonts w:ascii="Times New Roman" w:hAnsi="Times New Roman" w:cs="Times New Roman"/>
        </w:rPr>
      </w:pPr>
      <w:r w:rsidRPr="00A03939">
        <w:rPr>
          <w:rFonts w:ascii="Times New Roman" w:hAnsi="Times New Roman" w:cs="Times New Roman"/>
        </w:rPr>
        <w:t>Dear Prof. Li and Editors of Journal of Animal Science and Biotechnology,</w:t>
      </w:r>
    </w:p>
    <w:p w14:paraId="00541F76" w14:textId="77777777" w:rsidR="00A03939" w:rsidRPr="00A03939" w:rsidRDefault="00A03939" w:rsidP="007D745D">
      <w:pPr>
        <w:spacing w:after="0" w:line="360" w:lineRule="auto"/>
        <w:ind w:firstLineChars="200" w:firstLine="440"/>
        <w:jc w:val="both"/>
        <w:rPr>
          <w:rFonts w:ascii="Times New Roman" w:hAnsi="Times New Roman" w:cs="Times New Roman"/>
        </w:rPr>
      </w:pPr>
      <w:r w:rsidRPr="00A03939">
        <w:rPr>
          <w:rFonts w:ascii="Times New Roman" w:hAnsi="Times New Roman" w:cs="Times New Roman"/>
        </w:rPr>
        <w:t>We sincerely thank you and the reviewers for your time, constructive feedback, and insightful comments on our manuscript titled “Salvianolic Acid C Inhibits Methane Emissions in Dairy Cows by Targeting MCR and Reshaping the Rumen Microbial Community” (</w:t>
      </w:r>
      <w:r w:rsidRPr="00A03939">
        <w:rPr>
          <w:rFonts w:ascii="Times New Roman" w:hAnsi="Times New Roman" w:cs="Times New Roman"/>
          <w:b/>
          <w:bCs/>
        </w:rPr>
        <w:t>JASB-D-25-00433</w:t>
      </w:r>
      <w:r w:rsidRPr="00A03939">
        <w:rPr>
          <w:rFonts w:ascii="Times New Roman" w:hAnsi="Times New Roman" w:cs="Times New Roman"/>
        </w:rPr>
        <w:t>). Your detailed evaluations have been invaluable in helping us improve the quality, clarity, and scientific rigor of our study.</w:t>
      </w:r>
    </w:p>
    <w:p w14:paraId="36479B14" w14:textId="7940680C" w:rsidR="00A03939" w:rsidRPr="00A03939" w:rsidRDefault="00A03939" w:rsidP="007D745D">
      <w:pPr>
        <w:spacing w:after="0" w:line="360" w:lineRule="auto"/>
        <w:ind w:firstLineChars="200" w:firstLine="440"/>
        <w:jc w:val="both"/>
        <w:rPr>
          <w:rFonts w:ascii="Times New Roman" w:hAnsi="Times New Roman" w:cs="Times New Roman"/>
        </w:rPr>
      </w:pPr>
      <w:r w:rsidRPr="00A03939">
        <w:rPr>
          <w:rFonts w:ascii="Times New Roman" w:hAnsi="Times New Roman" w:cs="Times New Roman"/>
        </w:rPr>
        <w:t>When we originally submitted the manuscript, all essential “Materials and Methods” details (such as cow sourcing, in vitro batch culture procedures, substrate composition, and DNA/RNA sequencing workflows) were provided in the Supplementary Materials. However, based on Reviewer #1’s comments—particularly concerns regarding the "unclear rumen fluid source," "undocumented fermentation model," and "missing substrate details"—it seems that the supplementary files may not have been accessible during peer review.</w:t>
      </w:r>
    </w:p>
    <w:p w14:paraId="7415245B" w14:textId="77777777" w:rsidR="00A03939" w:rsidRPr="00A03939" w:rsidRDefault="00A03939" w:rsidP="007D745D">
      <w:pPr>
        <w:spacing w:after="0" w:line="360" w:lineRule="auto"/>
        <w:ind w:firstLineChars="200" w:firstLine="440"/>
        <w:jc w:val="both"/>
        <w:rPr>
          <w:rFonts w:ascii="Times New Roman" w:hAnsi="Times New Roman" w:cs="Times New Roman"/>
        </w:rPr>
      </w:pPr>
      <w:r w:rsidRPr="00A03939">
        <w:rPr>
          <w:rFonts w:ascii="Times New Roman" w:hAnsi="Times New Roman" w:cs="Times New Roman"/>
        </w:rPr>
        <w:t>To fully resolve this issue and ensure full clarity for reviewers, we have now incorporated all previously supplementary methodological information directly into the main text of the revised manuscript. In addition, we have carefully addressed each of the reviewers’ comments in detail and revised the manuscript accordingly to improve its clarity, structure, and scientific validity. A complete point-by-point response is provided below.</w:t>
      </w:r>
    </w:p>
    <w:p w14:paraId="6A20BA55" w14:textId="77777777" w:rsidR="00A03939" w:rsidRPr="00A03939" w:rsidRDefault="00A03939" w:rsidP="007D745D">
      <w:pPr>
        <w:spacing w:after="0" w:line="360" w:lineRule="auto"/>
        <w:ind w:firstLineChars="200" w:firstLine="440"/>
        <w:jc w:val="both"/>
        <w:rPr>
          <w:rFonts w:ascii="Times New Roman" w:hAnsi="Times New Roman" w:cs="Times New Roman"/>
        </w:rPr>
      </w:pPr>
      <w:r w:rsidRPr="00A03939">
        <w:rPr>
          <w:rFonts w:ascii="Times New Roman" w:hAnsi="Times New Roman" w:cs="Times New Roman"/>
        </w:rPr>
        <w:t>We hope that these substantial revisions will meet the journal’s high standards, and we sincerely appreciate the opportunity to resubmit our work for further consideration.</w:t>
      </w:r>
    </w:p>
    <w:p w14:paraId="049931B7" w14:textId="77777777" w:rsidR="00A03939" w:rsidRPr="00A03939" w:rsidRDefault="00A03939" w:rsidP="007D745D">
      <w:pPr>
        <w:spacing w:after="0" w:line="360" w:lineRule="auto"/>
        <w:ind w:firstLineChars="200" w:firstLine="440"/>
        <w:jc w:val="both"/>
        <w:rPr>
          <w:rFonts w:ascii="Times New Roman" w:hAnsi="Times New Roman" w:cs="Times New Roman"/>
        </w:rPr>
      </w:pPr>
      <w:r w:rsidRPr="00A03939">
        <w:rPr>
          <w:rFonts w:ascii="Times New Roman" w:hAnsi="Times New Roman" w:cs="Times New Roman"/>
        </w:rPr>
        <w:t>Thank you again for your time and support.</w:t>
      </w:r>
    </w:p>
    <w:p w14:paraId="0414DD00" w14:textId="77777777" w:rsidR="00A03939" w:rsidRPr="00A03939" w:rsidRDefault="00A03939" w:rsidP="007D745D">
      <w:pPr>
        <w:spacing w:after="0" w:line="360" w:lineRule="auto"/>
        <w:ind w:firstLineChars="200" w:firstLine="440"/>
        <w:jc w:val="both"/>
        <w:rPr>
          <w:rFonts w:ascii="Times New Roman" w:hAnsi="Times New Roman" w:cs="Times New Roman"/>
        </w:rPr>
      </w:pPr>
      <w:r w:rsidRPr="00A03939">
        <w:rPr>
          <w:rFonts w:ascii="Times New Roman" w:hAnsi="Times New Roman" w:cs="Times New Roman"/>
        </w:rPr>
        <w:t xml:space="preserve">Sincerely, </w:t>
      </w:r>
    </w:p>
    <w:p w14:paraId="2F6F0039" w14:textId="77777777" w:rsidR="00A03939" w:rsidRPr="00A03939" w:rsidRDefault="00A03939" w:rsidP="007D745D">
      <w:pPr>
        <w:spacing w:after="0" w:line="360" w:lineRule="auto"/>
        <w:ind w:firstLineChars="200" w:firstLine="440"/>
        <w:jc w:val="both"/>
        <w:rPr>
          <w:rFonts w:ascii="Times New Roman" w:hAnsi="Times New Roman" w:cs="Times New Roman"/>
        </w:rPr>
      </w:pPr>
      <w:r w:rsidRPr="00A03939">
        <w:rPr>
          <w:rFonts w:ascii="Times New Roman" w:hAnsi="Times New Roman" w:cs="Times New Roman"/>
        </w:rPr>
        <w:t xml:space="preserve">Prof. </w:t>
      </w:r>
      <w:proofErr w:type="spellStart"/>
      <w:r w:rsidRPr="00A03939">
        <w:rPr>
          <w:rFonts w:ascii="Times New Roman" w:hAnsi="Times New Roman" w:cs="Times New Roman"/>
        </w:rPr>
        <w:t>Benhai</w:t>
      </w:r>
      <w:proofErr w:type="spellEnd"/>
      <w:r w:rsidRPr="00A03939">
        <w:rPr>
          <w:rFonts w:ascii="Times New Roman" w:hAnsi="Times New Roman" w:cs="Times New Roman"/>
        </w:rPr>
        <w:t xml:space="preserve"> Xiong (on behalf of all authors)</w:t>
      </w:r>
    </w:p>
    <w:p w14:paraId="16D19670" w14:textId="77777777" w:rsidR="00A03939" w:rsidRDefault="00A03939">
      <w:pPr>
        <w:rPr>
          <w:rFonts w:hint="eastAsia"/>
        </w:rPr>
      </w:pPr>
    </w:p>
    <w:p w14:paraId="65A71128" w14:textId="77777777" w:rsidR="00B64C4A" w:rsidRDefault="00B64C4A" w:rsidP="007D745D">
      <w:pPr>
        <w:spacing w:after="0" w:line="360" w:lineRule="auto"/>
        <w:jc w:val="both"/>
        <w:rPr>
          <w:rFonts w:ascii="Times New Roman" w:hAnsi="Times New Roman" w:cs="Times New Roman"/>
          <w:b/>
          <w:bCs/>
        </w:rPr>
      </w:pPr>
    </w:p>
    <w:p w14:paraId="176BB4C4" w14:textId="77777777" w:rsidR="00B64C4A" w:rsidRDefault="00B64C4A" w:rsidP="007D745D">
      <w:pPr>
        <w:spacing w:after="0" w:line="360" w:lineRule="auto"/>
        <w:jc w:val="both"/>
        <w:rPr>
          <w:rFonts w:ascii="Times New Roman" w:hAnsi="Times New Roman" w:cs="Times New Roman"/>
          <w:b/>
          <w:bCs/>
        </w:rPr>
      </w:pPr>
    </w:p>
    <w:p w14:paraId="6FE550F6" w14:textId="77777777" w:rsidR="00B64C4A" w:rsidRDefault="00B64C4A" w:rsidP="007D745D">
      <w:pPr>
        <w:spacing w:after="0" w:line="360" w:lineRule="auto"/>
        <w:jc w:val="both"/>
        <w:rPr>
          <w:rFonts w:ascii="Times New Roman" w:hAnsi="Times New Roman" w:cs="Times New Roman"/>
          <w:b/>
          <w:bCs/>
        </w:rPr>
      </w:pPr>
    </w:p>
    <w:p w14:paraId="375A17AC" w14:textId="77777777" w:rsidR="0080692C" w:rsidRDefault="0080692C" w:rsidP="007D745D">
      <w:pPr>
        <w:spacing w:after="0" w:line="360" w:lineRule="auto"/>
        <w:jc w:val="both"/>
        <w:rPr>
          <w:rFonts w:ascii="Times New Roman" w:hAnsi="Times New Roman" w:cs="Times New Roman"/>
          <w:b/>
          <w:bCs/>
        </w:rPr>
      </w:pPr>
    </w:p>
    <w:p w14:paraId="57199F7E" w14:textId="77777777" w:rsidR="0080692C" w:rsidRDefault="0080692C" w:rsidP="007D745D">
      <w:pPr>
        <w:spacing w:after="0" w:line="360" w:lineRule="auto"/>
        <w:jc w:val="both"/>
        <w:rPr>
          <w:rFonts w:ascii="Times New Roman" w:hAnsi="Times New Roman" w:cs="Times New Roman" w:hint="eastAsia"/>
          <w:b/>
          <w:bCs/>
        </w:rPr>
      </w:pPr>
    </w:p>
    <w:p w14:paraId="376C6B58" w14:textId="77777777" w:rsidR="00B64C4A" w:rsidRDefault="00B64C4A" w:rsidP="007D745D">
      <w:pPr>
        <w:spacing w:after="0" w:line="360" w:lineRule="auto"/>
        <w:jc w:val="both"/>
        <w:rPr>
          <w:rFonts w:ascii="Times New Roman" w:hAnsi="Times New Roman" w:cs="Times New Roman"/>
          <w:b/>
          <w:bCs/>
        </w:rPr>
      </w:pPr>
    </w:p>
    <w:p w14:paraId="5C828B21" w14:textId="4B5FDB49" w:rsidR="007D745D" w:rsidRPr="007D745D" w:rsidRDefault="007D745D" w:rsidP="007D745D">
      <w:pPr>
        <w:spacing w:after="0" w:line="360" w:lineRule="auto"/>
        <w:jc w:val="both"/>
        <w:rPr>
          <w:rFonts w:ascii="Times New Roman" w:hAnsi="Times New Roman" w:cs="Times New Roman"/>
        </w:rPr>
      </w:pPr>
      <w:r w:rsidRPr="007D745D">
        <w:rPr>
          <w:rFonts w:ascii="Times New Roman" w:hAnsi="Times New Roman" w:cs="Times New Roman"/>
          <w:b/>
          <w:bCs/>
        </w:rPr>
        <w:lastRenderedPageBreak/>
        <w:t>Response to Reviewer #1</w:t>
      </w:r>
    </w:p>
    <w:p w14:paraId="17205D6A" w14:textId="77777777" w:rsidR="007D745D" w:rsidRPr="007D745D" w:rsidRDefault="007D745D" w:rsidP="007D745D">
      <w:pPr>
        <w:spacing w:after="0" w:line="360" w:lineRule="auto"/>
        <w:jc w:val="both"/>
        <w:rPr>
          <w:rFonts w:ascii="Times New Roman" w:hAnsi="Times New Roman" w:cs="Times New Roman"/>
        </w:rPr>
      </w:pPr>
      <w:r w:rsidRPr="007D745D">
        <w:rPr>
          <w:rFonts w:ascii="Times New Roman" w:hAnsi="Times New Roman" w:cs="Times New Roman"/>
          <w:b/>
          <w:bCs/>
        </w:rPr>
        <w:t>Major Concern 1: Incomplete Methodological Description</w:t>
      </w:r>
    </w:p>
    <w:p w14:paraId="4FAC589D" w14:textId="77777777" w:rsidR="007D745D" w:rsidRDefault="007D745D" w:rsidP="0031456E">
      <w:pPr>
        <w:spacing w:after="0" w:line="360" w:lineRule="auto"/>
        <w:ind w:firstLineChars="200" w:firstLine="440"/>
        <w:jc w:val="both"/>
        <w:rPr>
          <w:rFonts w:ascii="Times New Roman" w:hAnsi="Times New Roman" w:cs="Times New Roman"/>
        </w:rPr>
      </w:pPr>
      <w:r w:rsidRPr="007D745D">
        <w:rPr>
          <w:rFonts w:ascii="Times New Roman" w:hAnsi="Times New Roman" w:cs="Times New Roman"/>
        </w:rPr>
        <w:t>“The Materials and Methods section is critically underdeveloped. The authors refer to the Supplementary Materials for key information, which the reviewer could not access. It is unclear from which cows the rumen fluid was collected, and under what conditions. The exact in vitro fermentation model is not described (e.g., batch culture?). Substrate composition is not detailed. Without this information, Table 2 cannot be adequately evaluated. The apparent dry matter disappearance (apparent DMD) is used imprecisely compared to in vitro DMD. The pH/VFA discrepancy requires clarification or indicates error in data analysis.”</w:t>
      </w:r>
    </w:p>
    <w:p w14:paraId="72B24B38" w14:textId="67F82965" w:rsidR="007D745D" w:rsidRPr="007D745D" w:rsidRDefault="007D745D" w:rsidP="007D745D">
      <w:pPr>
        <w:spacing w:after="0" w:line="360" w:lineRule="auto"/>
        <w:jc w:val="both"/>
        <w:rPr>
          <w:rFonts w:ascii="Times New Roman" w:hAnsi="Times New Roman" w:cs="Times New Roman"/>
          <w:b/>
          <w:bCs/>
        </w:rPr>
      </w:pPr>
      <w:r w:rsidRPr="007D745D">
        <w:rPr>
          <w:rFonts w:ascii="Times New Roman" w:hAnsi="Times New Roman" w:cs="Times New Roman"/>
          <w:b/>
          <w:bCs/>
        </w:rPr>
        <w:t>Authors’ Response:</w:t>
      </w:r>
    </w:p>
    <w:p w14:paraId="60CF3F59" w14:textId="77777777" w:rsidR="007D745D" w:rsidRPr="007D745D" w:rsidRDefault="007D745D" w:rsidP="007D745D">
      <w:pPr>
        <w:spacing w:after="0" w:line="360" w:lineRule="auto"/>
        <w:ind w:firstLineChars="200" w:firstLine="440"/>
        <w:jc w:val="both"/>
        <w:rPr>
          <w:rFonts w:ascii="Times New Roman" w:hAnsi="Times New Roman" w:cs="Times New Roman"/>
        </w:rPr>
      </w:pPr>
      <w:r w:rsidRPr="007D745D">
        <w:rPr>
          <w:rFonts w:ascii="Times New Roman" w:hAnsi="Times New Roman" w:cs="Times New Roman"/>
        </w:rPr>
        <w:t xml:space="preserve">Thank you for highlighting these gaps. We have moved all critical experimental details into the main </w:t>
      </w:r>
      <w:r w:rsidRPr="007D745D">
        <w:rPr>
          <w:rFonts w:ascii="Times New Roman" w:hAnsi="Times New Roman" w:cs="Times New Roman"/>
          <w:b/>
          <w:bCs/>
        </w:rPr>
        <w:t>Materials and Methods</w:t>
      </w:r>
      <w:r w:rsidRPr="007D745D">
        <w:rPr>
          <w:rFonts w:ascii="Times New Roman" w:hAnsi="Times New Roman" w:cs="Times New Roman"/>
        </w:rPr>
        <w:t xml:space="preserve"> section (instead of exclusively Supplementary Materials) and have clarified the following:</w:t>
      </w:r>
    </w:p>
    <w:p w14:paraId="09BE21B6" w14:textId="34ABAFC8" w:rsidR="007D745D" w:rsidRPr="007D745D" w:rsidRDefault="007D745D" w:rsidP="007D745D">
      <w:pPr>
        <w:pStyle w:val="a9"/>
        <w:numPr>
          <w:ilvl w:val="0"/>
          <w:numId w:val="3"/>
        </w:numPr>
        <w:spacing w:after="0" w:line="360" w:lineRule="auto"/>
        <w:jc w:val="both"/>
        <w:rPr>
          <w:rFonts w:ascii="Times New Roman" w:hAnsi="Times New Roman" w:cs="Times New Roman"/>
        </w:rPr>
      </w:pPr>
      <w:r w:rsidRPr="007D745D">
        <w:rPr>
          <w:rFonts w:ascii="Times New Roman" w:hAnsi="Times New Roman" w:cs="Times New Roman"/>
          <w:b/>
          <w:bCs/>
        </w:rPr>
        <w:t>Rumen fluid source and collection conditions</w:t>
      </w:r>
      <w:r w:rsidRPr="007D745D">
        <w:rPr>
          <w:rFonts w:ascii="Times New Roman" w:hAnsi="Times New Roman" w:cs="Times New Roman"/>
        </w:rPr>
        <w:t>:</w:t>
      </w:r>
    </w:p>
    <w:p w14:paraId="142684B3" w14:textId="070635D5" w:rsidR="0031456E" w:rsidRPr="0031456E" w:rsidRDefault="0031456E" w:rsidP="007D745D">
      <w:pPr>
        <w:spacing w:after="0" w:line="360" w:lineRule="auto"/>
        <w:ind w:left="567"/>
        <w:jc w:val="both"/>
        <w:rPr>
          <w:rFonts w:ascii="Times New Roman" w:hAnsi="Times New Roman" w:cs="Times New Roman"/>
        </w:rPr>
      </w:pPr>
      <w:r w:rsidRPr="0031456E">
        <w:rPr>
          <w:rFonts w:ascii="Times New Roman" w:hAnsi="Times New Roman" w:cs="Times New Roman"/>
        </w:rPr>
        <w:t>Rumen fluid was obtained from three rumen-fistulated Holstein dairy cows (average body weight: 618 ± 100 kg; milk yield: 23 ± 2.8 kg/d; 3 ± 1 of parity) fed a consistent total mixed ration (TMR). (Lines 143–</w:t>
      </w:r>
      <w:r>
        <w:rPr>
          <w:rFonts w:ascii="Times New Roman" w:hAnsi="Times New Roman" w:cs="Times New Roman" w:hint="eastAsia"/>
        </w:rPr>
        <w:t>145</w:t>
      </w:r>
      <w:r w:rsidRPr="007D745D">
        <w:rPr>
          <w:rFonts w:ascii="Times New Roman" w:hAnsi="Times New Roman" w:cs="Times New Roman"/>
        </w:rPr>
        <w:t>)</w:t>
      </w:r>
    </w:p>
    <w:p w14:paraId="0B695536" w14:textId="4D7BD893" w:rsidR="007D745D" w:rsidRPr="007D745D" w:rsidRDefault="0031456E" w:rsidP="007D745D">
      <w:pPr>
        <w:spacing w:after="0" w:line="360" w:lineRule="auto"/>
        <w:ind w:left="567"/>
        <w:jc w:val="both"/>
        <w:rPr>
          <w:rFonts w:ascii="Times New Roman" w:hAnsi="Times New Roman" w:cs="Times New Roman"/>
        </w:rPr>
      </w:pPr>
      <w:r w:rsidRPr="0031456E">
        <w:rPr>
          <w:rFonts w:ascii="Times New Roman" w:hAnsi="Times New Roman" w:cs="Times New Roman"/>
        </w:rPr>
        <w:t>Approximately 2 h after morning feeding, rumen content was collected, placed in prewarmed insulated bottles, and transported to the laboratory within 30 minutes. The rumen content was filtered through four layers of sterile cheesecloth and mixed with buffer solution at a 1:2 ratio (v/v) under continuous CO₂ flushing at 39°C to prepare the inoculum.</w:t>
      </w:r>
      <w:r w:rsidRPr="007D745D">
        <w:rPr>
          <w:rFonts w:ascii="Times New Roman" w:hAnsi="Times New Roman" w:cs="Times New Roman"/>
        </w:rPr>
        <w:t xml:space="preserve"> (Lines </w:t>
      </w:r>
      <w:r>
        <w:rPr>
          <w:rFonts w:ascii="Times New Roman" w:hAnsi="Times New Roman" w:cs="Times New Roman" w:hint="eastAsia"/>
        </w:rPr>
        <w:t>148</w:t>
      </w:r>
      <w:r w:rsidRPr="007D745D">
        <w:rPr>
          <w:rFonts w:ascii="Times New Roman" w:hAnsi="Times New Roman" w:cs="Times New Roman"/>
        </w:rPr>
        <w:t>–</w:t>
      </w:r>
      <w:r>
        <w:rPr>
          <w:rFonts w:ascii="Times New Roman" w:hAnsi="Times New Roman" w:cs="Times New Roman" w:hint="eastAsia"/>
        </w:rPr>
        <w:t>152</w:t>
      </w:r>
      <w:r w:rsidRPr="007D745D">
        <w:rPr>
          <w:rFonts w:ascii="Times New Roman" w:hAnsi="Times New Roman" w:cs="Times New Roman"/>
        </w:rPr>
        <w:t>)</w:t>
      </w:r>
    </w:p>
    <w:p w14:paraId="62F6C2CB" w14:textId="108FBDEF" w:rsidR="007D745D" w:rsidRPr="007D745D" w:rsidRDefault="007D745D" w:rsidP="007D745D">
      <w:pPr>
        <w:pStyle w:val="a9"/>
        <w:numPr>
          <w:ilvl w:val="0"/>
          <w:numId w:val="3"/>
        </w:numPr>
        <w:spacing w:after="0" w:line="360" w:lineRule="auto"/>
        <w:jc w:val="both"/>
        <w:rPr>
          <w:rFonts w:ascii="Times New Roman" w:hAnsi="Times New Roman" w:cs="Times New Roman"/>
        </w:rPr>
      </w:pPr>
      <w:r w:rsidRPr="007D745D">
        <w:rPr>
          <w:rFonts w:ascii="Times New Roman" w:hAnsi="Times New Roman" w:cs="Times New Roman"/>
          <w:b/>
          <w:bCs/>
        </w:rPr>
        <w:t>In vitro fermentation model</w:t>
      </w:r>
      <w:r w:rsidRPr="007D745D">
        <w:rPr>
          <w:rFonts w:ascii="Times New Roman" w:hAnsi="Times New Roman" w:cs="Times New Roman"/>
        </w:rPr>
        <w:t xml:space="preserve"> (Lines </w:t>
      </w:r>
      <w:r w:rsidR="0031456E">
        <w:rPr>
          <w:rFonts w:ascii="Times New Roman" w:hAnsi="Times New Roman" w:cs="Times New Roman" w:hint="eastAsia"/>
        </w:rPr>
        <w:t>152</w:t>
      </w:r>
      <w:r w:rsidRPr="007D745D">
        <w:rPr>
          <w:rFonts w:ascii="Times New Roman" w:hAnsi="Times New Roman" w:cs="Times New Roman"/>
        </w:rPr>
        <w:t>–</w:t>
      </w:r>
      <w:r w:rsidR="0031456E">
        <w:rPr>
          <w:rFonts w:ascii="Times New Roman" w:hAnsi="Times New Roman" w:cs="Times New Roman" w:hint="eastAsia"/>
        </w:rPr>
        <w:t>160</w:t>
      </w:r>
      <w:r w:rsidRPr="007D745D">
        <w:rPr>
          <w:rFonts w:ascii="Times New Roman" w:hAnsi="Times New Roman" w:cs="Times New Roman"/>
        </w:rPr>
        <w:t>):</w:t>
      </w:r>
    </w:p>
    <w:p w14:paraId="2F9BDF35" w14:textId="77777777" w:rsidR="007D745D" w:rsidRPr="007D745D" w:rsidRDefault="007D745D" w:rsidP="007D745D">
      <w:pPr>
        <w:spacing w:after="0" w:line="360" w:lineRule="auto"/>
        <w:ind w:left="567"/>
        <w:jc w:val="both"/>
        <w:rPr>
          <w:rFonts w:ascii="Times New Roman" w:hAnsi="Times New Roman" w:cs="Times New Roman"/>
        </w:rPr>
      </w:pPr>
      <w:r w:rsidRPr="007D745D">
        <w:rPr>
          <w:rFonts w:ascii="Times New Roman" w:hAnsi="Times New Roman" w:cs="Times New Roman"/>
        </w:rPr>
        <w:t>A 120 mL batch-culture system was used. Each fermentation vessel contained 0.5 g ground TMR substrate, 75 mL inoculum, and respective SAC dose (0, 0.25, 0.5, 1.0, 1.5, 2.0 mg/g DM).</w:t>
      </w:r>
    </w:p>
    <w:p w14:paraId="09CEB898" w14:textId="77777777" w:rsidR="007D745D" w:rsidRPr="007D745D" w:rsidRDefault="007D745D" w:rsidP="007D745D">
      <w:pPr>
        <w:spacing w:after="0" w:line="360" w:lineRule="auto"/>
        <w:ind w:left="567"/>
        <w:jc w:val="both"/>
        <w:rPr>
          <w:rFonts w:ascii="Times New Roman" w:hAnsi="Times New Roman" w:cs="Times New Roman"/>
        </w:rPr>
      </w:pPr>
      <w:r w:rsidRPr="007D745D">
        <w:rPr>
          <w:rFonts w:ascii="Times New Roman" w:hAnsi="Times New Roman" w:cs="Times New Roman"/>
        </w:rPr>
        <w:t xml:space="preserve">Tanks were flushed with CO₂, sealed, incubated at 39 </w:t>
      </w:r>
      <w:r w:rsidRPr="007D745D">
        <w:rPr>
          <w:rFonts w:ascii="Times New Roman" w:eastAsia="等线" w:hAnsi="Times New Roman" w:cs="Times New Roman"/>
        </w:rPr>
        <w:t>°</w:t>
      </w:r>
      <w:r w:rsidRPr="007D745D">
        <w:rPr>
          <w:rFonts w:ascii="Times New Roman" w:hAnsi="Times New Roman" w:cs="Times New Roman"/>
        </w:rPr>
        <w:t>C (60 rpm) for 24 h, then immediately plunged into an ice-water bath to terminate fermentation.</w:t>
      </w:r>
    </w:p>
    <w:p w14:paraId="5A8C4581" w14:textId="7251A51E" w:rsidR="007D745D" w:rsidRPr="007D745D" w:rsidRDefault="007D745D" w:rsidP="007D745D">
      <w:pPr>
        <w:numPr>
          <w:ilvl w:val="0"/>
          <w:numId w:val="3"/>
        </w:numPr>
        <w:spacing w:after="0" w:line="360" w:lineRule="auto"/>
        <w:ind w:left="0" w:firstLine="0"/>
        <w:jc w:val="both"/>
        <w:rPr>
          <w:rFonts w:ascii="Times New Roman" w:hAnsi="Times New Roman" w:cs="Times New Roman"/>
        </w:rPr>
      </w:pPr>
      <w:r w:rsidRPr="007D745D">
        <w:rPr>
          <w:rFonts w:ascii="Times New Roman" w:hAnsi="Times New Roman" w:cs="Times New Roman"/>
          <w:b/>
          <w:bCs/>
        </w:rPr>
        <w:t>Substrate composition</w:t>
      </w:r>
      <w:r w:rsidRPr="007D745D">
        <w:rPr>
          <w:rFonts w:ascii="Times New Roman" w:hAnsi="Times New Roman" w:cs="Times New Roman"/>
        </w:rPr>
        <w:t xml:space="preserve"> (Lines</w:t>
      </w:r>
      <w:r w:rsidR="0031456E">
        <w:rPr>
          <w:rFonts w:ascii="Times New Roman" w:hAnsi="Times New Roman" w:cs="Times New Roman" w:hint="eastAsia"/>
        </w:rPr>
        <w:t>145</w:t>
      </w:r>
      <w:r w:rsidRPr="007D745D">
        <w:rPr>
          <w:rFonts w:ascii="Times New Roman" w:hAnsi="Times New Roman" w:cs="Times New Roman"/>
        </w:rPr>
        <w:t>–</w:t>
      </w:r>
      <w:r w:rsidR="0031456E">
        <w:rPr>
          <w:rFonts w:ascii="Times New Roman" w:hAnsi="Times New Roman" w:cs="Times New Roman" w:hint="eastAsia"/>
        </w:rPr>
        <w:t>148</w:t>
      </w:r>
      <w:r w:rsidRPr="007D745D">
        <w:rPr>
          <w:rFonts w:ascii="Times New Roman" w:hAnsi="Times New Roman" w:cs="Times New Roman"/>
        </w:rPr>
        <w:t>):</w:t>
      </w:r>
    </w:p>
    <w:p w14:paraId="52535F19" w14:textId="77777777" w:rsidR="007D745D" w:rsidRPr="007D745D" w:rsidRDefault="007D745D" w:rsidP="0031456E">
      <w:pPr>
        <w:spacing w:after="0" w:line="360" w:lineRule="auto"/>
        <w:ind w:left="567"/>
        <w:jc w:val="both"/>
        <w:rPr>
          <w:rFonts w:ascii="Times New Roman" w:hAnsi="Times New Roman" w:cs="Times New Roman"/>
        </w:rPr>
      </w:pPr>
      <w:r w:rsidRPr="007D745D">
        <w:rPr>
          <w:rFonts w:ascii="Times New Roman" w:hAnsi="Times New Roman" w:cs="Times New Roman"/>
        </w:rPr>
        <w:t>Donor cows’ TMR diet (DM basis): corn silage (25.65%), alfalfa hay (18.59%), steam-</w:t>
      </w:r>
      <w:r w:rsidRPr="007D745D">
        <w:rPr>
          <w:rFonts w:ascii="Times New Roman" w:hAnsi="Times New Roman" w:cs="Times New Roman"/>
        </w:rPr>
        <w:lastRenderedPageBreak/>
        <w:t>flaked corn (26.02%), soybean meal (7.43%), cottonseed meal (7.43%), beet meal (5.58%), DDGS (7.43%), minerals and vitamins (1.86%).</w:t>
      </w:r>
    </w:p>
    <w:p w14:paraId="637417E0" w14:textId="77777777" w:rsidR="007D745D" w:rsidRPr="007D745D" w:rsidRDefault="007D745D" w:rsidP="0031456E">
      <w:pPr>
        <w:spacing w:after="0" w:line="360" w:lineRule="auto"/>
        <w:ind w:left="567"/>
        <w:jc w:val="both"/>
        <w:rPr>
          <w:rFonts w:ascii="Times New Roman" w:hAnsi="Times New Roman" w:cs="Times New Roman"/>
        </w:rPr>
      </w:pPr>
      <w:r w:rsidRPr="007D745D">
        <w:rPr>
          <w:rFonts w:ascii="Times New Roman" w:hAnsi="Times New Roman" w:cs="Times New Roman"/>
        </w:rPr>
        <w:t>TMR was dried at 55 °C (48 h) and ground to 1 mm for fermentation substrate.</w:t>
      </w:r>
    </w:p>
    <w:p w14:paraId="77C4C563" w14:textId="446B5236" w:rsidR="007D745D" w:rsidRPr="007D745D" w:rsidRDefault="007D745D" w:rsidP="007D745D">
      <w:pPr>
        <w:numPr>
          <w:ilvl w:val="0"/>
          <w:numId w:val="3"/>
        </w:numPr>
        <w:spacing w:after="0" w:line="360" w:lineRule="auto"/>
        <w:ind w:left="0" w:firstLine="0"/>
        <w:jc w:val="both"/>
        <w:rPr>
          <w:rFonts w:ascii="Times New Roman" w:hAnsi="Times New Roman" w:cs="Times New Roman"/>
        </w:rPr>
      </w:pPr>
      <w:r w:rsidRPr="007D745D">
        <w:rPr>
          <w:rFonts w:ascii="Times New Roman" w:hAnsi="Times New Roman" w:cs="Times New Roman"/>
          <w:b/>
          <w:bCs/>
        </w:rPr>
        <w:t>Terminology</w:t>
      </w:r>
      <w:r w:rsidR="0031456E" w:rsidRPr="007D745D">
        <w:rPr>
          <w:rFonts w:ascii="Times New Roman" w:hAnsi="Times New Roman" w:cs="Times New Roman"/>
          <w:b/>
          <w:bCs/>
        </w:rPr>
        <w:t>— “</w:t>
      </w:r>
      <w:r w:rsidRPr="007D745D">
        <w:rPr>
          <w:rFonts w:ascii="Times New Roman" w:hAnsi="Times New Roman" w:cs="Times New Roman"/>
          <w:b/>
          <w:bCs/>
        </w:rPr>
        <w:t>dry matter degradability” (DMD)</w:t>
      </w:r>
      <w:r w:rsidRPr="007D745D">
        <w:rPr>
          <w:rFonts w:ascii="Times New Roman" w:hAnsi="Times New Roman" w:cs="Times New Roman"/>
        </w:rPr>
        <w:t xml:space="preserve"> (Line </w:t>
      </w:r>
      <w:r w:rsidR="0031456E">
        <w:rPr>
          <w:rFonts w:ascii="Times New Roman" w:hAnsi="Times New Roman" w:cs="Times New Roman" w:hint="eastAsia"/>
        </w:rPr>
        <w:t>169</w:t>
      </w:r>
      <w:r w:rsidRPr="007D745D">
        <w:rPr>
          <w:rFonts w:ascii="Times New Roman" w:hAnsi="Times New Roman" w:cs="Times New Roman"/>
        </w:rPr>
        <w:t>):</w:t>
      </w:r>
    </w:p>
    <w:p w14:paraId="52D55F13" w14:textId="2D5C916D" w:rsidR="007D745D" w:rsidRPr="007D745D" w:rsidRDefault="007D745D" w:rsidP="007D745D">
      <w:pPr>
        <w:spacing w:after="0" w:line="360" w:lineRule="auto"/>
        <w:ind w:left="567"/>
        <w:jc w:val="both"/>
        <w:rPr>
          <w:rFonts w:ascii="Times New Roman" w:hAnsi="Times New Roman" w:cs="Times New Roman"/>
        </w:rPr>
      </w:pPr>
      <w:r w:rsidRPr="007D745D">
        <w:rPr>
          <w:rFonts w:ascii="Times New Roman" w:hAnsi="Times New Roman" w:cs="Times New Roman"/>
        </w:rPr>
        <w:t xml:space="preserve">We replaced “apparent dry matter disappearance” with the accurate term </w:t>
      </w:r>
      <w:r w:rsidRPr="007D745D">
        <w:rPr>
          <w:rFonts w:ascii="Times New Roman" w:hAnsi="Times New Roman" w:cs="Times New Roman"/>
          <w:b/>
          <w:bCs/>
        </w:rPr>
        <w:t>“dry matter degradability (DMD)”</w:t>
      </w:r>
      <w:r w:rsidRPr="007D745D">
        <w:rPr>
          <w:rFonts w:ascii="Times New Roman" w:hAnsi="Times New Roman" w:cs="Times New Roman"/>
        </w:rPr>
        <w:t>.</w:t>
      </w:r>
    </w:p>
    <w:p w14:paraId="36F08051" w14:textId="6B8B09AD" w:rsidR="007D745D" w:rsidRPr="007D745D" w:rsidRDefault="007D745D" w:rsidP="007D745D">
      <w:pPr>
        <w:numPr>
          <w:ilvl w:val="0"/>
          <w:numId w:val="3"/>
        </w:numPr>
        <w:spacing w:after="0" w:line="360" w:lineRule="auto"/>
        <w:ind w:left="0" w:firstLine="0"/>
        <w:jc w:val="both"/>
        <w:rPr>
          <w:rFonts w:ascii="Times New Roman" w:hAnsi="Times New Roman" w:cs="Times New Roman"/>
        </w:rPr>
      </w:pPr>
      <w:r w:rsidRPr="007D745D">
        <w:rPr>
          <w:rFonts w:ascii="Times New Roman" w:hAnsi="Times New Roman" w:cs="Times New Roman"/>
          <w:b/>
          <w:bCs/>
        </w:rPr>
        <w:t>pH/VFA clarification</w:t>
      </w:r>
      <w:r w:rsidRPr="007D745D">
        <w:rPr>
          <w:rFonts w:ascii="Times New Roman" w:hAnsi="Times New Roman" w:cs="Times New Roman"/>
        </w:rPr>
        <w:t>:</w:t>
      </w:r>
    </w:p>
    <w:p w14:paraId="1F89C49A" w14:textId="77777777" w:rsidR="00172F0E" w:rsidRPr="00172F0E" w:rsidRDefault="00172F0E" w:rsidP="00172F0E">
      <w:pPr>
        <w:spacing w:after="0" w:line="360" w:lineRule="auto"/>
        <w:ind w:left="567"/>
        <w:jc w:val="both"/>
        <w:rPr>
          <w:rFonts w:ascii="Times New Roman" w:hAnsi="Times New Roman" w:cs="Times New Roman"/>
        </w:rPr>
      </w:pPr>
      <w:r w:rsidRPr="00172F0E">
        <w:rPr>
          <w:rFonts w:ascii="Times New Roman" w:hAnsi="Times New Roman" w:cs="Times New Roman" w:hint="eastAsia"/>
        </w:rPr>
        <w:t xml:space="preserve">Thank you for this valuable comment. We agree that total gas production and VFA levels are both indicators of fermentation activity. However, several studies have shown that these two are not always tightly coupled, especially under methanogenesis-inhibiting conditions. For example, as discussed by </w:t>
      </w:r>
      <w:proofErr w:type="spellStart"/>
      <w:r w:rsidRPr="00172F0E">
        <w:rPr>
          <w:rFonts w:ascii="Times New Roman" w:hAnsi="Times New Roman" w:cs="Times New Roman" w:hint="eastAsia"/>
        </w:rPr>
        <w:t>Ungerfeld</w:t>
      </w:r>
      <w:proofErr w:type="spellEnd"/>
      <w:r w:rsidRPr="00172F0E">
        <w:rPr>
          <w:rFonts w:ascii="Times New Roman" w:hAnsi="Times New Roman" w:cs="Times New Roman" w:hint="eastAsia"/>
        </w:rPr>
        <w:t xml:space="preserve"> (2015) and Patra &amp; Saxena (2010), inhibition of methanogenesis often leads to redirection of metabolic hydrogen ([H]) toward other sinks such as propionate production or microbial biomass, thereby maintaining VFA output while reducing methane-derived gas production. Thus, the observed decrease in total gas alongside stable VFA concentrations is consistent with selective inhibition of methanogenesis rather than a general suppression of fermentation.</w:t>
      </w:r>
    </w:p>
    <w:p w14:paraId="57614A27" w14:textId="08D25FC1" w:rsidR="007D745D" w:rsidRPr="007D745D" w:rsidRDefault="00172F0E" w:rsidP="00172F0E">
      <w:pPr>
        <w:spacing w:after="0" w:line="360" w:lineRule="auto"/>
        <w:ind w:left="567"/>
        <w:jc w:val="both"/>
        <w:rPr>
          <w:rFonts w:ascii="Times New Roman" w:hAnsi="Times New Roman" w:cs="Times New Roman"/>
        </w:rPr>
      </w:pPr>
      <w:r w:rsidRPr="00172F0E">
        <w:rPr>
          <w:rFonts w:ascii="Times New Roman" w:hAnsi="Times New Roman" w:cs="Times New Roman" w:hint="eastAsia"/>
        </w:rPr>
        <w:t>We have revised the manuscript to clarify this point and added supporting references.</w:t>
      </w:r>
      <w:r w:rsidRPr="00172F0E">
        <w:rPr>
          <w:rFonts w:ascii="Times New Roman" w:hAnsi="Times New Roman" w:cs="Times New Roman"/>
        </w:rPr>
        <w:t xml:space="preserve"> </w:t>
      </w:r>
      <w:r w:rsidRPr="007D745D">
        <w:rPr>
          <w:rFonts w:ascii="Times New Roman" w:hAnsi="Times New Roman" w:cs="Times New Roman"/>
        </w:rPr>
        <w:t>(Lines</w:t>
      </w:r>
      <w:r>
        <w:rPr>
          <w:rFonts w:ascii="Times New Roman" w:hAnsi="Times New Roman" w:cs="Times New Roman" w:hint="eastAsia"/>
        </w:rPr>
        <w:t>361</w:t>
      </w:r>
      <w:r w:rsidRPr="007D745D">
        <w:rPr>
          <w:rFonts w:ascii="Times New Roman" w:hAnsi="Times New Roman" w:cs="Times New Roman"/>
        </w:rPr>
        <w:t>–</w:t>
      </w:r>
      <w:r>
        <w:rPr>
          <w:rFonts w:ascii="Times New Roman" w:hAnsi="Times New Roman" w:cs="Times New Roman" w:hint="eastAsia"/>
        </w:rPr>
        <w:t>366</w:t>
      </w:r>
      <w:r w:rsidRPr="007D745D">
        <w:rPr>
          <w:rFonts w:ascii="Times New Roman" w:hAnsi="Times New Roman" w:cs="Times New Roman"/>
        </w:rPr>
        <w:t>)</w:t>
      </w:r>
    </w:p>
    <w:p w14:paraId="30B643B3" w14:textId="77777777" w:rsidR="00172F0E" w:rsidRPr="00172F0E" w:rsidRDefault="00172F0E" w:rsidP="00172F0E">
      <w:pPr>
        <w:spacing w:after="0" w:line="360" w:lineRule="auto"/>
        <w:jc w:val="both"/>
        <w:rPr>
          <w:rFonts w:ascii="Times New Roman" w:hAnsi="Times New Roman" w:cs="Times New Roman"/>
          <w:b/>
          <w:bCs/>
        </w:rPr>
      </w:pPr>
      <w:r w:rsidRPr="00172F0E">
        <w:rPr>
          <w:rFonts w:ascii="Times New Roman" w:hAnsi="Times New Roman" w:cs="Times New Roman"/>
          <w:b/>
          <w:bCs/>
        </w:rPr>
        <w:t>Major Concern 2: Terminological Inaccuracy and Conceptual Ambiguity</w:t>
      </w:r>
    </w:p>
    <w:p w14:paraId="5B4FE897" w14:textId="77777777" w:rsidR="00172F0E" w:rsidRPr="00172F0E" w:rsidRDefault="00172F0E" w:rsidP="00172F0E">
      <w:pPr>
        <w:spacing w:after="0" w:line="360" w:lineRule="auto"/>
        <w:ind w:firstLineChars="200" w:firstLine="440"/>
        <w:jc w:val="both"/>
        <w:rPr>
          <w:rFonts w:ascii="Times New Roman" w:hAnsi="Times New Roman" w:cs="Times New Roman"/>
        </w:rPr>
      </w:pPr>
      <w:r w:rsidRPr="00172F0E">
        <w:rPr>
          <w:rFonts w:ascii="Times New Roman" w:hAnsi="Times New Roman" w:cs="Times New Roman"/>
        </w:rPr>
        <w:t xml:space="preserve">“Terms such as downregulation, gene inhibition, and inhibition of gene are used imprecisely. The authors should clearly indicate whether their results concern transcriptional regulation, expression level, or enzymatic activity. If referring to </w:t>
      </w:r>
      <w:proofErr w:type="spellStart"/>
      <w:r w:rsidRPr="00172F0E">
        <w:rPr>
          <w:rFonts w:ascii="Times New Roman" w:hAnsi="Times New Roman" w:cs="Times New Roman"/>
        </w:rPr>
        <w:t>mcrA</w:t>
      </w:r>
      <w:proofErr w:type="spellEnd"/>
      <w:r w:rsidRPr="00172F0E">
        <w:rPr>
          <w:rFonts w:ascii="Times New Roman" w:hAnsi="Times New Roman" w:cs="Times New Roman"/>
        </w:rPr>
        <w:t xml:space="preserve"> expression, was it measured at RNA level or via metagenomic abundance? The molecular techniques are not described.”</w:t>
      </w:r>
    </w:p>
    <w:p w14:paraId="35D57341" w14:textId="58B34F64" w:rsidR="00172F0E" w:rsidRDefault="00172F0E" w:rsidP="00172F0E">
      <w:pPr>
        <w:spacing w:after="0" w:line="360" w:lineRule="auto"/>
        <w:ind w:left="440" w:hangingChars="200" w:hanging="440"/>
        <w:jc w:val="both"/>
        <w:rPr>
          <w:rFonts w:ascii="Times New Roman" w:hAnsi="Times New Roman" w:cs="Times New Roman"/>
          <w:b/>
          <w:bCs/>
        </w:rPr>
      </w:pPr>
      <w:r w:rsidRPr="00172F0E">
        <w:rPr>
          <w:rFonts w:ascii="Times New Roman" w:hAnsi="Times New Roman" w:cs="Times New Roman"/>
          <w:b/>
          <w:bCs/>
        </w:rPr>
        <w:t>Authors’ Response:</w:t>
      </w:r>
    </w:p>
    <w:p w14:paraId="239ADC66" w14:textId="5F82BE90" w:rsidR="00172F0E" w:rsidRPr="00172F0E" w:rsidRDefault="00172F0E" w:rsidP="00172F0E">
      <w:pPr>
        <w:spacing w:after="0" w:line="360" w:lineRule="auto"/>
        <w:ind w:left="440" w:hangingChars="200" w:hanging="440"/>
        <w:jc w:val="both"/>
        <w:rPr>
          <w:rFonts w:ascii="Times New Roman" w:hAnsi="Times New Roman" w:cs="Times New Roman"/>
        </w:rPr>
      </w:pPr>
      <w:r w:rsidRPr="00172F0E">
        <w:rPr>
          <w:rFonts w:ascii="Times New Roman" w:hAnsi="Times New Roman" w:cs="Times New Roman"/>
        </w:rPr>
        <w:t>We appreciate this request for precision. All relevant terminology has been revised for clarity:</w:t>
      </w:r>
    </w:p>
    <w:p w14:paraId="0705EBFB" w14:textId="6B940146" w:rsidR="00172F0E" w:rsidRPr="00172F0E" w:rsidRDefault="00172F0E" w:rsidP="00172F0E">
      <w:pPr>
        <w:pStyle w:val="a9"/>
        <w:numPr>
          <w:ilvl w:val="0"/>
          <w:numId w:val="7"/>
        </w:numPr>
        <w:spacing w:after="0" w:line="360" w:lineRule="auto"/>
        <w:jc w:val="both"/>
        <w:rPr>
          <w:rFonts w:ascii="Times New Roman" w:hAnsi="Times New Roman" w:cs="Times New Roman"/>
        </w:rPr>
      </w:pPr>
      <w:r w:rsidRPr="00F71C82">
        <w:rPr>
          <w:rFonts w:ascii="Times New Roman" w:hAnsi="Times New Roman" w:cs="Times New Roman"/>
          <w:b/>
          <w:bCs/>
        </w:rPr>
        <w:t xml:space="preserve">“Downregulation” vs “gene abundance” </w:t>
      </w:r>
      <w:r w:rsidRPr="00172F0E">
        <w:rPr>
          <w:rFonts w:ascii="Times New Roman" w:hAnsi="Times New Roman" w:cs="Times New Roman"/>
        </w:rPr>
        <w:t xml:space="preserve">(Lines </w:t>
      </w:r>
      <w:r w:rsidR="00F71C82">
        <w:rPr>
          <w:rFonts w:ascii="Times New Roman" w:hAnsi="Times New Roman" w:cs="Times New Roman" w:hint="eastAsia"/>
        </w:rPr>
        <w:t>402</w:t>
      </w:r>
      <w:r w:rsidRPr="00172F0E">
        <w:rPr>
          <w:rFonts w:ascii="Times New Roman" w:hAnsi="Times New Roman" w:cs="Times New Roman"/>
        </w:rPr>
        <w:t>–</w:t>
      </w:r>
      <w:r w:rsidR="00F71C82">
        <w:rPr>
          <w:rFonts w:ascii="Times New Roman" w:hAnsi="Times New Roman" w:cs="Times New Roman" w:hint="eastAsia"/>
        </w:rPr>
        <w:t>408</w:t>
      </w:r>
      <w:r w:rsidRPr="00172F0E">
        <w:rPr>
          <w:rFonts w:ascii="Times New Roman" w:hAnsi="Times New Roman" w:cs="Times New Roman"/>
        </w:rPr>
        <w:t>):</w:t>
      </w:r>
    </w:p>
    <w:p w14:paraId="093AB522" w14:textId="77777777" w:rsidR="00172F0E" w:rsidRPr="00172F0E" w:rsidRDefault="00172F0E" w:rsidP="00172F0E">
      <w:pPr>
        <w:spacing w:after="0" w:line="360" w:lineRule="auto"/>
        <w:ind w:leftChars="200" w:left="440"/>
        <w:jc w:val="both"/>
        <w:rPr>
          <w:rFonts w:ascii="Times New Roman" w:hAnsi="Times New Roman" w:cs="Times New Roman"/>
        </w:rPr>
      </w:pPr>
      <w:r w:rsidRPr="00172F0E">
        <w:rPr>
          <w:rFonts w:ascii="Times New Roman" w:hAnsi="Times New Roman" w:cs="Times New Roman"/>
        </w:rPr>
        <w:t xml:space="preserve">We clarify that our </w:t>
      </w:r>
      <w:proofErr w:type="spellStart"/>
      <w:r w:rsidRPr="00172F0E">
        <w:rPr>
          <w:rFonts w:ascii="Times New Roman" w:hAnsi="Times New Roman" w:cs="Times New Roman"/>
        </w:rPr>
        <w:t>mcrA</w:t>
      </w:r>
      <w:proofErr w:type="spellEnd"/>
      <w:r w:rsidRPr="00172F0E">
        <w:rPr>
          <w:rFonts w:ascii="Times New Roman" w:hAnsi="Times New Roman" w:cs="Times New Roman"/>
        </w:rPr>
        <w:t xml:space="preserve"> and </w:t>
      </w:r>
      <w:proofErr w:type="spellStart"/>
      <w:r w:rsidRPr="00172F0E">
        <w:rPr>
          <w:rFonts w:ascii="Times New Roman" w:hAnsi="Times New Roman" w:cs="Times New Roman"/>
        </w:rPr>
        <w:t>rnfC</w:t>
      </w:r>
      <w:proofErr w:type="spellEnd"/>
      <w:r w:rsidRPr="00172F0E">
        <w:rPr>
          <w:rFonts w:ascii="Times New Roman" w:hAnsi="Times New Roman" w:cs="Times New Roman"/>
        </w:rPr>
        <w:t xml:space="preserve"> results derive from metagenomic gene‐abundance—NOT mRNA expression.</w:t>
      </w:r>
    </w:p>
    <w:p w14:paraId="2C438EA1" w14:textId="77777777" w:rsidR="00172F0E" w:rsidRPr="00172F0E" w:rsidRDefault="00172F0E" w:rsidP="00172F0E">
      <w:pPr>
        <w:spacing w:after="0" w:line="360" w:lineRule="auto"/>
        <w:ind w:leftChars="200" w:left="440"/>
        <w:jc w:val="both"/>
        <w:rPr>
          <w:rFonts w:ascii="Times New Roman" w:hAnsi="Times New Roman" w:cs="Times New Roman"/>
        </w:rPr>
      </w:pPr>
      <w:r w:rsidRPr="00172F0E">
        <w:rPr>
          <w:rFonts w:ascii="Times New Roman" w:hAnsi="Times New Roman" w:cs="Times New Roman"/>
        </w:rPr>
        <w:t xml:space="preserve">Phrases such as “downregulation” have been replaced with “reduced gene abundance as </w:t>
      </w:r>
      <w:r w:rsidRPr="00172F0E">
        <w:rPr>
          <w:rFonts w:ascii="Times New Roman" w:hAnsi="Times New Roman" w:cs="Times New Roman"/>
        </w:rPr>
        <w:lastRenderedPageBreak/>
        <w:t>determined by metagenomic sequencing.”</w:t>
      </w:r>
    </w:p>
    <w:p w14:paraId="36C36F96" w14:textId="0289FAC7" w:rsidR="00172F0E" w:rsidRPr="00172F0E" w:rsidRDefault="00172F0E" w:rsidP="00172F0E">
      <w:pPr>
        <w:pStyle w:val="a9"/>
        <w:numPr>
          <w:ilvl w:val="0"/>
          <w:numId w:val="7"/>
        </w:numPr>
        <w:spacing w:after="0" w:line="360" w:lineRule="auto"/>
        <w:jc w:val="both"/>
        <w:rPr>
          <w:rFonts w:ascii="Times New Roman" w:hAnsi="Times New Roman" w:cs="Times New Roman"/>
        </w:rPr>
      </w:pPr>
      <w:r w:rsidRPr="00F71C82">
        <w:rPr>
          <w:rFonts w:ascii="Times New Roman" w:hAnsi="Times New Roman" w:cs="Times New Roman"/>
          <w:b/>
          <w:bCs/>
        </w:rPr>
        <w:t>Molecular methods added</w:t>
      </w:r>
      <w:r w:rsidRPr="00172F0E">
        <w:rPr>
          <w:rFonts w:ascii="Times New Roman" w:hAnsi="Times New Roman" w:cs="Times New Roman"/>
        </w:rPr>
        <w:t xml:space="preserve"> (Lines </w:t>
      </w:r>
      <w:r w:rsidR="00F71C82">
        <w:rPr>
          <w:rFonts w:ascii="Times New Roman" w:hAnsi="Times New Roman" w:cs="Times New Roman" w:hint="eastAsia"/>
        </w:rPr>
        <w:t>172</w:t>
      </w:r>
      <w:r w:rsidRPr="00172F0E">
        <w:rPr>
          <w:rFonts w:ascii="Times New Roman" w:hAnsi="Times New Roman" w:cs="Times New Roman"/>
        </w:rPr>
        <w:t>–</w:t>
      </w:r>
      <w:r w:rsidR="00F71C82">
        <w:rPr>
          <w:rFonts w:ascii="Times New Roman" w:hAnsi="Times New Roman" w:cs="Times New Roman" w:hint="eastAsia"/>
        </w:rPr>
        <w:t>221</w:t>
      </w:r>
      <w:r w:rsidRPr="00172F0E">
        <w:rPr>
          <w:rFonts w:ascii="Times New Roman" w:hAnsi="Times New Roman" w:cs="Times New Roman"/>
        </w:rPr>
        <w:t xml:space="preserve"> in Materials and Methods):</w:t>
      </w:r>
    </w:p>
    <w:p w14:paraId="029C90B5" w14:textId="77777777" w:rsidR="00172F0E" w:rsidRPr="00172F0E" w:rsidRDefault="00172F0E" w:rsidP="00172F0E">
      <w:pPr>
        <w:spacing w:after="0" w:line="360" w:lineRule="auto"/>
        <w:ind w:firstLineChars="200" w:firstLine="440"/>
        <w:jc w:val="both"/>
        <w:rPr>
          <w:rFonts w:ascii="Times New Roman" w:hAnsi="Times New Roman" w:cs="Times New Roman"/>
        </w:rPr>
      </w:pPr>
      <w:r w:rsidRPr="00172F0E">
        <w:rPr>
          <w:rFonts w:ascii="Times New Roman" w:hAnsi="Times New Roman" w:cs="Times New Roman"/>
        </w:rPr>
        <w:t>DNA extraction: [Kit name, manufacturer], total DNA from fermentation pellets (−80 °C).</w:t>
      </w:r>
    </w:p>
    <w:p w14:paraId="4B68209B" w14:textId="77777777" w:rsidR="00172F0E" w:rsidRPr="00172F0E" w:rsidRDefault="00172F0E" w:rsidP="00172F0E">
      <w:pPr>
        <w:spacing w:after="0" w:line="360" w:lineRule="auto"/>
        <w:ind w:firstLineChars="200" w:firstLine="440"/>
        <w:jc w:val="both"/>
        <w:rPr>
          <w:rFonts w:ascii="Times New Roman" w:hAnsi="Times New Roman" w:cs="Times New Roman"/>
        </w:rPr>
      </w:pPr>
      <w:r w:rsidRPr="00172F0E">
        <w:rPr>
          <w:rFonts w:ascii="Times New Roman" w:hAnsi="Times New Roman" w:cs="Times New Roman"/>
        </w:rPr>
        <w:t xml:space="preserve">Library preparation: Illumina </w:t>
      </w:r>
      <w:proofErr w:type="spellStart"/>
      <w:r w:rsidRPr="00172F0E">
        <w:rPr>
          <w:rFonts w:ascii="Times New Roman" w:hAnsi="Times New Roman" w:cs="Times New Roman"/>
        </w:rPr>
        <w:t>TruSeq</w:t>
      </w:r>
      <w:proofErr w:type="spellEnd"/>
      <w:r w:rsidRPr="00172F0E">
        <w:rPr>
          <w:rFonts w:ascii="Times New Roman" w:hAnsi="Times New Roman" w:cs="Times New Roman"/>
        </w:rPr>
        <w:t xml:space="preserve"> DNA library kit (Illumina, USA).</w:t>
      </w:r>
    </w:p>
    <w:p w14:paraId="74B7C4A2" w14:textId="77777777" w:rsidR="00172F0E" w:rsidRPr="00172F0E" w:rsidRDefault="00172F0E" w:rsidP="00172F0E">
      <w:pPr>
        <w:spacing w:after="0" w:line="360" w:lineRule="auto"/>
        <w:ind w:firstLineChars="200" w:firstLine="440"/>
        <w:jc w:val="both"/>
        <w:rPr>
          <w:rFonts w:ascii="Times New Roman" w:hAnsi="Times New Roman" w:cs="Times New Roman"/>
        </w:rPr>
      </w:pPr>
      <w:r w:rsidRPr="00172F0E">
        <w:rPr>
          <w:rFonts w:ascii="Times New Roman" w:hAnsi="Times New Roman" w:cs="Times New Roman"/>
        </w:rPr>
        <w:t xml:space="preserve">Sequencing: </w:t>
      </w:r>
      <w:proofErr w:type="spellStart"/>
      <w:r w:rsidRPr="00172F0E">
        <w:rPr>
          <w:rFonts w:ascii="Times New Roman" w:hAnsi="Times New Roman" w:cs="Times New Roman"/>
        </w:rPr>
        <w:t>NovaSeq</w:t>
      </w:r>
      <w:proofErr w:type="spellEnd"/>
      <w:r w:rsidRPr="00172F0E">
        <w:rPr>
          <w:rFonts w:ascii="Times New Roman" w:hAnsi="Times New Roman" w:cs="Times New Roman"/>
        </w:rPr>
        <w:t xml:space="preserve"> 6000 (Illumina, USA), 150 bp PE reads.</w:t>
      </w:r>
    </w:p>
    <w:p w14:paraId="48FF6207" w14:textId="77777777" w:rsidR="00172F0E" w:rsidRPr="00172F0E" w:rsidRDefault="00172F0E" w:rsidP="00172F0E">
      <w:pPr>
        <w:spacing w:after="0" w:line="360" w:lineRule="auto"/>
        <w:ind w:firstLineChars="200" w:firstLine="440"/>
        <w:jc w:val="both"/>
        <w:rPr>
          <w:rFonts w:ascii="Times New Roman" w:hAnsi="Times New Roman" w:cs="Times New Roman"/>
        </w:rPr>
      </w:pPr>
      <w:r w:rsidRPr="00172F0E">
        <w:rPr>
          <w:rFonts w:ascii="Times New Roman" w:hAnsi="Times New Roman" w:cs="Times New Roman"/>
        </w:rPr>
        <w:t>Bioinformatics pipeline:</w:t>
      </w:r>
    </w:p>
    <w:p w14:paraId="08608508" w14:textId="77777777" w:rsidR="00172F0E" w:rsidRPr="00172F0E" w:rsidRDefault="00172F0E" w:rsidP="00172F0E">
      <w:pPr>
        <w:spacing w:after="0" w:line="360" w:lineRule="auto"/>
        <w:ind w:firstLineChars="200" w:firstLine="440"/>
        <w:jc w:val="both"/>
        <w:rPr>
          <w:rFonts w:ascii="Times New Roman" w:hAnsi="Times New Roman" w:cs="Times New Roman"/>
        </w:rPr>
      </w:pPr>
      <w:r w:rsidRPr="00172F0E">
        <w:rPr>
          <w:rFonts w:ascii="Times New Roman" w:hAnsi="Times New Roman" w:cs="Times New Roman"/>
        </w:rPr>
        <w:t xml:space="preserve">Quality filtering: </w:t>
      </w:r>
      <w:proofErr w:type="spellStart"/>
      <w:r w:rsidRPr="00172F0E">
        <w:rPr>
          <w:rFonts w:ascii="Times New Roman" w:hAnsi="Times New Roman" w:cs="Times New Roman"/>
        </w:rPr>
        <w:t>fastp</w:t>
      </w:r>
      <w:proofErr w:type="spellEnd"/>
      <w:r w:rsidRPr="00172F0E">
        <w:rPr>
          <w:rFonts w:ascii="Times New Roman" w:hAnsi="Times New Roman" w:cs="Times New Roman"/>
        </w:rPr>
        <w:t xml:space="preserve"> v0.20.1;</w:t>
      </w:r>
    </w:p>
    <w:p w14:paraId="79DC3941" w14:textId="77777777" w:rsidR="00172F0E" w:rsidRPr="00172F0E" w:rsidRDefault="00172F0E" w:rsidP="00172F0E">
      <w:pPr>
        <w:spacing w:after="0" w:line="360" w:lineRule="auto"/>
        <w:ind w:firstLineChars="200" w:firstLine="440"/>
        <w:jc w:val="both"/>
        <w:rPr>
          <w:rFonts w:ascii="Times New Roman" w:hAnsi="Times New Roman" w:cs="Times New Roman"/>
        </w:rPr>
      </w:pPr>
      <w:r w:rsidRPr="00172F0E">
        <w:rPr>
          <w:rFonts w:ascii="Times New Roman" w:hAnsi="Times New Roman" w:cs="Times New Roman"/>
        </w:rPr>
        <w:t>Assembly: MEGAHIT v1.2.9;</w:t>
      </w:r>
    </w:p>
    <w:p w14:paraId="108D590B" w14:textId="77777777" w:rsidR="00172F0E" w:rsidRPr="00172F0E" w:rsidRDefault="00172F0E" w:rsidP="00172F0E">
      <w:pPr>
        <w:spacing w:after="0" w:line="360" w:lineRule="auto"/>
        <w:ind w:firstLineChars="200" w:firstLine="440"/>
        <w:jc w:val="both"/>
        <w:rPr>
          <w:rFonts w:ascii="Times New Roman" w:hAnsi="Times New Roman" w:cs="Times New Roman"/>
        </w:rPr>
      </w:pPr>
      <w:r w:rsidRPr="00172F0E">
        <w:rPr>
          <w:rFonts w:ascii="Times New Roman" w:hAnsi="Times New Roman" w:cs="Times New Roman"/>
        </w:rPr>
        <w:t>Gene prediction: Prodigal v2.6.3;</w:t>
      </w:r>
    </w:p>
    <w:p w14:paraId="199DBA2A" w14:textId="77777777" w:rsidR="00172F0E" w:rsidRPr="00172F0E" w:rsidRDefault="00172F0E" w:rsidP="00172F0E">
      <w:pPr>
        <w:spacing w:after="0" w:line="360" w:lineRule="auto"/>
        <w:ind w:firstLineChars="200" w:firstLine="440"/>
        <w:jc w:val="both"/>
        <w:rPr>
          <w:rFonts w:ascii="Times New Roman" w:hAnsi="Times New Roman" w:cs="Times New Roman"/>
        </w:rPr>
      </w:pPr>
      <w:r w:rsidRPr="00172F0E">
        <w:rPr>
          <w:rFonts w:ascii="Times New Roman" w:hAnsi="Times New Roman" w:cs="Times New Roman"/>
        </w:rPr>
        <w:t xml:space="preserve">Functional annotation: </w:t>
      </w:r>
      <w:proofErr w:type="spellStart"/>
      <w:r w:rsidRPr="00172F0E">
        <w:rPr>
          <w:rFonts w:ascii="Times New Roman" w:hAnsi="Times New Roman" w:cs="Times New Roman"/>
        </w:rPr>
        <w:t>eggNOG</w:t>
      </w:r>
      <w:proofErr w:type="spellEnd"/>
      <w:r w:rsidRPr="00172F0E">
        <w:rPr>
          <w:rFonts w:ascii="Times New Roman" w:hAnsi="Times New Roman" w:cs="Times New Roman"/>
        </w:rPr>
        <w:t xml:space="preserve">‐mapper v2 against KEGG, </w:t>
      </w:r>
      <w:proofErr w:type="spellStart"/>
      <w:r w:rsidRPr="00172F0E">
        <w:rPr>
          <w:rFonts w:ascii="Times New Roman" w:hAnsi="Times New Roman" w:cs="Times New Roman"/>
        </w:rPr>
        <w:t>CAZy</w:t>
      </w:r>
      <w:proofErr w:type="spellEnd"/>
      <w:r w:rsidRPr="00172F0E">
        <w:rPr>
          <w:rFonts w:ascii="Times New Roman" w:hAnsi="Times New Roman" w:cs="Times New Roman"/>
        </w:rPr>
        <w:t>;</w:t>
      </w:r>
    </w:p>
    <w:p w14:paraId="52FB9574" w14:textId="77777777" w:rsidR="00172F0E" w:rsidRPr="00172F0E" w:rsidRDefault="00172F0E" w:rsidP="00172F0E">
      <w:pPr>
        <w:spacing w:after="0" w:line="360" w:lineRule="auto"/>
        <w:ind w:firstLineChars="200" w:firstLine="440"/>
        <w:jc w:val="both"/>
        <w:rPr>
          <w:rFonts w:ascii="Times New Roman" w:hAnsi="Times New Roman" w:cs="Times New Roman"/>
        </w:rPr>
      </w:pPr>
      <w:r w:rsidRPr="00172F0E">
        <w:rPr>
          <w:rFonts w:ascii="Times New Roman" w:hAnsi="Times New Roman" w:cs="Times New Roman"/>
        </w:rPr>
        <w:t>Taxonomic profiling: Kraken2 v2.1.2 with GTDB.</w:t>
      </w:r>
    </w:p>
    <w:p w14:paraId="0C11C4BF" w14:textId="77777777" w:rsidR="00F71C82" w:rsidRPr="00F71C82" w:rsidRDefault="00F71C82" w:rsidP="00F71C82">
      <w:pPr>
        <w:spacing w:after="0" w:line="360" w:lineRule="auto"/>
        <w:jc w:val="both"/>
        <w:rPr>
          <w:rFonts w:ascii="Times New Roman" w:hAnsi="Times New Roman" w:cs="Times New Roman"/>
        </w:rPr>
      </w:pPr>
      <w:r w:rsidRPr="00F71C82">
        <w:rPr>
          <w:rFonts w:ascii="Times New Roman" w:hAnsi="Times New Roman" w:cs="Times New Roman"/>
          <w:b/>
          <w:bCs/>
        </w:rPr>
        <w:t>Major Concern 3: Data Interpretation and Internal Consistency</w:t>
      </w:r>
    </w:p>
    <w:p w14:paraId="20B59148" w14:textId="77777777" w:rsidR="00F71C82" w:rsidRPr="00F71C82" w:rsidRDefault="00F71C82" w:rsidP="00F71C82">
      <w:pPr>
        <w:spacing w:after="0" w:line="360" w:lineRule="auto"/>
        <w:ind w:firstLineChars="200" w:firstLine="440"/>
        <w:jc w:val="both"/>
        <w:rPr>
          <w:rFonts w:ascii="Times New Roman" w:hAnsi="Times New Roman" w:cs="Times New Roman"/>
        </w:rPr>
      </w:pPr>
      <w:r w:rsidRPr="00F71C82">
        <w:rPr>
          <w:rFonts w:ascii="Times New Roman" w:hAnsi="Times New Roman" w:cs="Times New Roman"/>
        </w:rPr>
        <w:t>“The pH values reported are unusually high given the total VFA concentrations. There is no measurement of hydrogen (H₂) concentration, despite its importance. Assertions about mode of action (e.g., hydrogen competition) are speculative and unsupported.”</w:t>
      </w:r>
    </w:p>
    <w:p w14:paraId="70932BFA" w14:textId="77E12EC7" w:rsidR="00F71C82" w:rsidRPr="00F71C82" w:rsidRDefault="00F71C82" w:rsidP="00F71C82">
      <w:pPr>
        <w:spacing w:after="0" w:line="360" w:lineRule="auto"/>
        <w:jc w:val="both"/>
        <w:rPr>
          <w:rFonts w:ascii="Times New Roman" w:hAnsi="Times New Roman" w:cs="Times New Roman"/>
        </w:rPr>
      </w:pPr>
      <w:r w:rsidRPr="00F71C82">
        <w:rPr>
          <w:rFonts w:ascii="Times New Roman" w:hAnsi="Times New Roman" w:cs="Times New Roman"/>
          <w:b/>
          <w:bCs/>
        </w:rPr>
        <w:t>Authors’ Response:</w:t>
      </w:r>
    </w:p>
    <w:p w14:paraId="590B1832" w14:textId="6B3344A2" w:rsidR="00F71C82" w:rsidRPr="00F71C82" w:rsidRDefault="00F71C82" w:rsidP="00F71C82">
      <w:pPr>
        <w:pStyle w:val="a9"/>
        <w:numPr>
          <w:ilvl w:val="0"/>
          <w:numId w:val="11"/>
        </w:numPr>
        <w:spacing w:after="0" w:line="360" w:lineRule="auto"/>
        <w:jc w:val="both"/>
        <w:rPr>
          <w:rFonts w:ascii="Times New Roman" w:hAnsi="Times New Roman" w:cs="Times New Roman"/>
        </w:rPr>
      </w:pPr>
      <w:r w:rsidRPr="00F71C82">
        <w:rPr>
          <w:rFonts w:ascii="Times New Roman" w:hAnsi="Times New Roman" w:cs="Times New Roman"/>
          <w:b/>
          <w:bCs/>
        </w:rPr>
        <w:t>pH/VFA Context</w:t>
      </w:r>
      <w:r w:rsidRPr="00F71C82">
        <w:rPr>
          <w:rFonts w:ascii="Times New Roman" w:hAnsi="Times New Roman" w:cs="Times New Roman"/>
        </w:rPr>
        <w:t>:</w:t>
      </w:r>
    </w:p>
    <w:p w14:paraId="3C1143F5" w14:textId="77777777" w:rsidR="00F71C82" w:rsidRPr="00F71C82" w:rsidRDefault="00F71C82" w:rsidP="00F71C82">
      <w:pPr>
        <w:spacing w:after="0" w:line="360" w:lineRule="auto"/>
        <w:ind w:left="567"/>
        <w:jc w:val="both"/>
        <w:rPr>
          <w:rFonts w:ascii="Times New Roman" w:hAnsi="Times New Roman" w:cs="Times New Roman"/>
        </w:rPr>
      </w:pPr>
      <w:r w:rsidRPr="00F71C82">
        <w:rPr>
          <w:rFonts w:ascii="Times New Roman" w:hAnsi="Times New Roman" w:cs="Times New Roman"/>
        </w:rPr>
        <w:t xml:space="preserve">We appreciate the reviewer’s </w:t>
      </w:r>
      <w:proofErr w:type="spellStart"/>
      <w:proofErr w:type="gramStart"/>
      <w:r w:rsidRPr="00F71C82">
        <w:rPr>
          <w:rFonts w:ascii="Times New Roman" w:hAnsi="Times New Roman" w:cs="Times New Roman"/>
        </w:rPr>
        <w:t>observation.We</w:t>
      </w:r>
      <w:proofErr w:type="spellEnd"/>
      <w:proofErr w:type="gramEnd"/>
      <w:r w:rsidRPr="00F71C82">
        <w:rPr>
          <w:rFonts w:ascii="Times New Roman" w:hAnsi="Times New Roman" w:cs="Times New Roman"/>
        </w:rPr>
        <w:t xml:space="preserve"> acknowledge that VFA accumulation typically lowers </w:t>
      </w:r>
      <w:proofErr w:type="spellStart"/>
      <w:r w:rsidRPr="00F71C82">
        <w:rPr>
          <w:rFonts w:ascii="Times New Roman" w:hAnsi="Times New Roman" w:cs="Times New Roman"/>
        </w:rPr>
        <w:t>pH.</w:t>
      </w:r>
      <w:proofErr w:type="spellEnd"/>
      <w:r w:rsidRPr="00F71C82">
        <w:rPr>
          <w:rFonts w:ascii="Times New Roman" w:hAnsi="Times New Roman" w:cs="Times New Roman"/>
        </w:rPr>
        <w:t xml:space="preserve"> However, our in vitro system contained a bicarbonate-phosphate buffer (details added to Methods) that effectively maintained pH within 6.95–6.97. This phenomenon is supported by published studies: Ertl et al. (J. Dairy Sci. </w:t>
      </w:r>
      <w:r w:rsidRPr="00F71C82">
        <w:rPr>
          <w:rFonts w:ascii="Times New Roman" w:hAnsi="Times New Roman" w:cs="Times New Roman" w:hint="eastAsia"/>
        </w:rPr>
        <w:t>2015</w:t>
      </w:r>
      <w:r w:rsidRPr="00F71C82">
        <w:rPr>
          <w:rFonts w:ascii="Times New Roman" w:hAnsi="Times New Roman" w:cs="Times New Roman"/>
        </w:rPr>
        <w:t xml:space="preserve">, DOI:10.3168/jds.2014-9063) reported pH &gt;6.90 in similar in vitro incubations with VFA levels exceeding 100 </w:t>
      </w:r>
      <w:proofErr w:type="spellStart"/>
      <w:r w:rsidRPr="00F71C82">
        <w:rPr>
          <w:rFonts w:ascii="Times New Roman" w:hAnsi="Times New Roman" w:cs="Times New Roman"/>
        </w:rPr>
        <w:t>mM.</w:t>
      </w:r>
      <w:proofErr w:type="spellEnd"/>
      <w:r w:rsidRPr="00F71C82">
        <w:rPr>
          <w:rFonts w:ascii="Times New Roman" w:hAnsi="Times New Roman" w:cs="Times New Roman"/>
        </w:rPr>
        <w:t xml:space="preserve"> We have added this reference and clarified the buffering mechanism</w:t>
      </w:r>
      <w:r w:rsidRPr="00F71C82">
        <w:rPr>
          <w:rFonts w:ascii="Times New Roman" w:hAnsi="Times New Roman" w:cs="Times New Roman" w:hint="eastAsia"/>
        </w:rPr>
        <w:t>.</w:t>
      </w:r>
      <w:r w:rsidRPr="00F71C82">
        <w:rPr>
          <w:rFonts w:ascii="Times New Roman" w:hAnsi="Times New Roman" w:cs="Times New Roman"/>
        </w:rPr>
        <w:t xml:space="preserve"> (Lines</w:t>
      </w:r>
      <w:r w:rsidRPr="00F71C82">
        <w:rPr>
          <w:rFonts w:ascii="Times New Roman" w:hAnsi="Times New Roman" w:cs="Times New Roman" w:hint="eastAsia"/>
        </w:rPr>
        <w:t>374</w:t>
      </w:r>
      <w:r w:rsidRPr="00F71C82">
        <w:rPr>
          <w:rFonts w:ascii="Times New Roman" w:hAnsi="Times New Roman" w:cs="Times New Roman"/>
        </w:rPr>
        <w:t>–</w:t>
      </w:r>
      <w:r w:rsidRPr="00F71C82">
        <w:rPr>
          <w:rFonts w:ascii="Times New Roman" w:hAnsi="Times New Roman" w:cs="Times New Roman" w:hint="eastAsia"/>
        </w:rPr>
        <w:t>377</w:t>
      </w:r>
      <w:r w:rsidRPr="00F71C82">
        <w:rPr>
          <w:rFonts w:ascii="Times New Roman" w:hAnsi="Times New Roman" w:cs="Times New Roman"/>
        </w:rPr>
        <w:t>)</w:t>
      </w:r>
    </w:p>
    <w:p w14:paraId="0B306F9A" w14:textId="2695D6D8" w:rsidR="00F71C82" w:rsidRPr="00F71C82" w:rsidRDefault="00F71C82" w:rsidP="00F71C82">
      <w:pPr>
        <w:pStyle w:val="a9"/>
        <w:numPr>
          <w:ilvl w:val="0"/>
          <w:numId w:val="11"/>
        </w:numPr>
        <w:spacing w:after="0" w:line="360" w:lineRule="auto"/>
        <w:jc w:val="both"/>
        <w:rPr>
          <w:rFonts w:ascii="Times New Roman" w:hAnsi="Times New Roman" w:cs="Times New Roman"/>
        </w:rPr>
      </w:pPr>
      <w:r w:rsidRPr="00F71C82">
        <w:rPr>
          <w:rFonts w:ascii="Times New Roman" w:hAnsi="Times New Roman" w:cs="Times New Roman"/>
          <w:b/>
          <w:bCs/>
        </w:rPr>
        <w:t>Hydrogen (H₂) Acknowledgment</w:t>
      </w:r>
      <w:r w:rsidRPr="00F71C82">
        <w:rPr>
          <w:rFonts w:ascii="Times New Roman" w:hAnsi="Times New Roman" w:cs="Times New Roman"/>
        </w:rPr>
        <w:t xml:space="preserve"> (Lines </w:t>
      </w:r>
      <w:r>
        <w:rPr>
          <w:rFonts w:ascii="Times New Roman" w:hAnsi="Times New Roman" w:cs="Times New Roman" w:hint="eastAsia"/>
        </w:rPr>
        <w:t>363</w:t>
      </w:r>
      <w:r w:rsidRPr="00F71C82">
        <w:rPr>
          <w:rFonts w:ascii="Times New Roman" w:hAnsi="Times New Roman" w:cs="Times New Roman"/>
        </w:rPr>
        <w:t>–</w:t>
      </w:r>
      <w:r>
        <w:rPr>
          <w:rFonts w:ascii="Times New Roman" w:hAnsi="Times New Roman" w:cs="Times New Roman" w:hint="eastAsia"/>
        </w:rPr>
        <w:t>370</w:t>
      </w:r>
      <w:r w:rsidRPr="00F71C82">
        <w:rPr>
          <w:rFonts w:ascii="Times New Roman" w:hAnsi="Times New Roman" w:cs="Times New Roman"/>
        </w:rPr>
        <w:t>, Discussion):</w:t>
      </w:r>
    </w:p>
    <w:p w14:paraId="227834B8" w14:textId="3F21D907" w:rsidR="00F71C82" w:rsidRPr="00F71C82" w:rsidRDefault="00F71C82" w:rsidP="00F71C82">
      <w:pPr>
        <w:spacing w:after="0" w:line="360" w:lineRule="auto"/>
        <w:ind w:left="567"/>
        <w:jc w:val="both"/>
        <w:rPr>
          <w:rFonts w:ascii="Times New Roman" w:hAnsi="Times New Roman" w:cs="Times New Roman"/>
        </w:rPr>
      </w:pPr>
      <w:r w:rsidRPr="00F71C82">
        <w:rPr>
          <w:rFonts w:ascii="Times New Roman" w:hAnsi="Times New Roman" w:cs="Times New Roman"/>
        </w:rPr>
        <w:t xml:space="preserve">We appreciate the reviewer’s insightful comments. We agree that the discussion of hydrogen ([H]) dynamics is speculative without direct H₂ measurements. Accordingly, we have revised the text (Lines </w:t>
      </w:r>
      <w:r>
        <w:rPr>
          <w:rFonts w:ascii="Times New Roman" w:hAnsi="Times New Roman" w:cs="Times New Roman" w:hint="eastAsia"/>
        </w:rPr>
        <w:t>363</w:t>
      </w:r>
      <w:r w:rsidRPr="00F71C82">
        <w:rPr>
          <w:rFonts w:ascii="Times New Roman" w:hAnsi="Times New Roman" w:cs="Times New Roman"/>
        </w:rPr>
        <w:t>–</w:t>
      </w:r>
      <w:r>
        <w:rPr>
          <w:rFonts w:ascii="Times New Roman" w:hAnsi="Times New Roman" w:cs="Times New Roman" w:hint="eastAsia"/>
        </w:rPr>
        <w:t>370</w:t>
      </w:r>
      <w:r w:rsidRPr="00F71C82">
        <w:rPr>
          <w:rFonts w:ascii="Times New Roman" w:hAnsi="Times New Roman" w:cs="Times New Roman"/>
        </w:rPr>
        <w:t xml:space="preserve">) to clearly state that hydrogen redirection is a hypothesis supported by previous studies and that our results—such as reduced butyrate and a trend toward a lower acetate/propionate ratio—may be indicative of altered [H] </w:t>
      </w:r>
      <w:r w:rsidRPr="00F71C82">
        <w:rPr>
          <w:rFonts w:ascii="Times New Roman" w:hAnsi="Times New Roman" w:cs="Times New Roman"/>
        </w:rPr>
        <w:lastRenderedPageBreak/>
        <w:t>utilization. We have avoided definitive assertions about mechanism and now emphasize the need for future studies with direct H₂ quantification to verify this hypothesis.</w:t>
      </w:r>
    </w:p>
    <w:p w14:paraId="788B3D33" w14:textId="75F66CDC" w:rsidR="00F71C82" w:rsidRPr="00F71C82" w:rsidRDefault="00F71C82" w:rsidP="00F71C82">
      <w:pPr>
        <w:pStyle w:val="a9"/>
        <w:numPr>
          <w:ilvl w:val="0"/>
          <w:numId w:val="11"/>
        </w:numPr>
        <w:spacing w:after="0" w:line="360" w:lineRule="auto"/>
        <w:jc w:val="both"/>
        <w:rPr>
          <w:rFonts w:ascii="Times New Roman" w:hAnsi="Times New Roman" w:cs="Times New Roman"/>
        </w:rPr>
      </w:pPr>
      <w:r w:rsidRPr="00F71C82">
        <w:rPr>
          <w:rFonts w:ascii="Times New Roman" w:hAnsi="Times New Roman" w:cs="Times New Roman"/>
          <w:b/>
          <w:bCs/>
        </w:rPr>
        <w:t>Mode‐of-Action Statements</w:t>
      </w:r>
      <w:r w:rsidRPr="00F71C82">
        <w:rPr>
          <w:rFonts w:ascii="Times New Roman" w:hAnsi="Times New Roman" w:cs="Times New Roman"/>
        </w:rPr>
        <w:t xml:space="preserve"> (Lines XX–XX, Discussion):</w:t>
      </w:r>
    </w:p>
    <w:p w14:paraId="10B7BCE0" w14:textId="77777777" w:rsidR="00F71C82" w:rsidRPr="00F71C82" w:rsidRDefault="00F71C82" w:rsidP="00F71C82">
      <w:pPr>
        <w:spacing w:after="0" w:line="360" w:lineRule="auto"/>
        <w:ind w:left="567"/>
        <w:jc w:val="both"/>
        <w:rPr>
          <w:rFonts w:ascii="Times New Roman" w:hAnsi="Times New Roman" w:cs="Times New Roman"/>
        </w:rPr>
      </w:pPr>
      <w:r w:rsidRPr="00F71C82">
        <w:rPr>
          <w:rFonts w:ascii="Times New Roman" w:hAnsi="Times New Roman" w:cs="Times New Roman"/>
        </w:rPr>
        <w:t>All speculative language has been rephrased using “may,” “suggest,” or “potential,” rather than stating causality without data.</w:t>
      </w:r>
    </w:p>
    <w:p w14:paraId="73D58DDA" w14:textId="77777777" w:rsidR="00F71C82" w:rsidRPr="00F71C82" w:rsidRDefault="00F71C82" w:rsidP="00F71C82">
      <w:pPr>
        <w:spacing w:after="0" w:line="360" w:lineRule="auto"/>
        <w:ind w:left="567"/>
        <w:jc w:val="both"/>
        <w:rPr>
          <w:rFonts w:ascii="Times New Roman" w:hAnsi="Times New Roman" w:cs="Times New Roman"/>
        </w:rPr>
      </w:pPr>
      <w:r w:rsidRPr="00F71C82">
        <w:rPr>
          <w:rFonts w:ascii="Times New Roman" w:hAnsi="Times New Roman" w:cs="Times New Roman"/>
        </w:rPr>
        <w:t>For example:</w:t>
      </w:r>
    </w:p>
    <w:p w14:paraId="62AFD20A" w14:textId="77777777" w:rsidR="00F71C82" w:rsidRPr="00F71C82" w:rsidRDefault="00F71C82" w:rsidP="00F71C82">
      <w:pPr>
        <w:spacing w:after="0" w:line="360" w:lineRule="auto"/>
        <w:ind w:left="567"/>
        <w:jc w:val="both"/>
        <w:rPr>
          <w:rFonts w:ascii="Times New Roman" w:hAnsi="Times New Roman" w:cs="Times New Roman"/>
        </w:rPr>
      </w:pPr>
      <w:r w:rsidRPr="00F71C82">
        <w:rPr>
          <w:rFonts w:ascii="Times New Roman" w:hAnsi="Times New Roman" w:cs="Times New Roman"/>
        </w:rPr>
        <w:t>Original: “SAC selectively disrupts methanogenesis by competing for hydrogen…”</w:t>
      </w:r>
    </w:p>
    <w:p w14:paraId="0E19AE91" w14:textId="4275C2F5" w:rsidR="00F71C82" w:rsidRPr="00F71C82" w:rsidRDefault="00F71C82" w:rsidP="00F71C82">
      <w:pPr>
        <w:spacing w:after="0" w:line="360" w:lineRule="auto"/>
        <w:ind w:left="567"/>
        <w:jc w:val="both"/>
        <w:rPr>
          <w:rFonts w:ascii="Times New Roman" w:hAnsi="Times New Roman" w:cs="Times New Roman"/>
        </w:rPr>
      </w:pPr>
      <w:r w:rsidRPr="00F71C82">
        <w:rPr>
          <w:rFonts w:ascii="Times New Roman" w:hAnsi="Times New Roman" w:cs="Times New Roman"/>
        </w:rPr>
        <w:t xml:space="preserve">Revised: “In this context, the significant decrease in butyrate proportion (P = 0.045) and the trend toward a lower acetate/propionate (A/P) ratio (P = 0.096) may suggest shifts in [H] </w:t>
      </w:r>
      <w:r w:rsidR="006F5818" w:rsidRPr="00F71C82">
        <w:rPr>
          <w:rFonts w:ascii="Times New Roman" w:hAnsi="Times New Roman" w:cs="Times New Roman"/>
        </w:rPr>
        <w:t>utilization...</w:t>
      </w:r>
      <w:r w:rsidRPr="00F71C82">
        <w:rPr>
          <w:rFonts w:ascii="Times New Roman" w:hAnsi="Times New Roman" w:cs="Times New Roman"/>
        </w:rPr>
        <w:t>…”</w:t>
      </w:r>
    </w:p>
    <w:p w14:paraId="3A2E459B" w14:textId="77777777" w:rsidR="006F5818" w:rsidRPr="006F5818" w:rsidRDefault="006F5818" w:rsidP="006F5818">
      <w:pPr>
        <w:spacing w:after="0" w:line="360" w:lineRule="auto"/>
        <w:jc w:val="both"/>
        <w:rPr>
          <w:rFonts w:ascii="Times New Roman" w:hAnsi="Times New Roman" w:cs="Times New Roman"/>
        </w:rPr>
      </w:pPr>
      <w:r w:rsidRPr="006F5818">
        <w:rPr>
          <w:rFonts w:ascii="Times New Roman" w:hAnsi="Times New Roman" w:cs="Times New Roman"/>
          <w:b/>
          <w:bCs/>
        </w:rPr>
        <w:t>Major Concern 4: Discussion and Reference Overload</w:t>
      </w:r>
    </w:p>
    <w:p w14:paraId="1C3129DF" w14:textId="77777777" w:rsidR="006F5818" w:rsidRPr="006F5818" w:rsidRDefault="006F5818" w:rsidP="006F5818">
      <w:pPr>
        <w:spacing w:after="0" w:line="360" w:lineRule="auto"/>
        <w:ind w:firstLineChars="200" w:firstLine="440"/>
        <w:jc w:val="both"/>
        <w:rPr>
          <w:rFonts w:ascii="Times New Roman" w:hAnsi="Times New Roman" w:cs="Times New Roman"/>
        </w:rPr>
      </w:pPr>
      <w:r w:rsidRPr="006F5818">
        <w:rPr>
          <w:rFonts w:ascii="Times New Roman" w:hAnsi="Times New Roman" w:cs="Times New Roman"/>
        </w:rPr>
        <w:t>“The Discussion is disproportionately long, includes redundant textbook‐level information, and diverges from actual data. Focus on results, compare to directly related studies, avoid background knowledge not needed. The reference list (n=79) is excessive.”</w:t>
      </w:r>
    </w:p>
    <w:p w14:paraId="25200C55" w14:textId="25E347E7" w:rsidR="006F5818" w:rsidRPr="006F5818" w:rsidRDefault="006F5818" w:rsidP="006F5818">
      <w:pPr>
        <w:spacing w:after="0" w:line="360" w:lineRule="auto"/>
        <w:jc w:val="both"/>
        <w:rPr>
          <w:rFonts w:ascii="Times New Roman" w:hAnsi="Times New Roman" w:cs="Times New Roman"/>
        </w:rPr>
      </w:pPr>
      <w:r w:rsidRPr="006F5818">
        <w:rPr>
          <w:rFonts w:ascii="Times New Roman" w:hAnsi="Times New Roman" w:cs="Times New Roman"/>
          <w:b/>
          <w:bCs/>
        </w:rPr>
        <w:t>Authors’ Response:</w:t>
      </w:r>
      <w:r w:rsidRPr="006F5818">
        <w:rPr>
          <w:rFonts w:ascii="Times New Roman" w:hAnsi="Times New Roman" w:cs="Times New Roman"/>
        </w:rPr>
        <w:br/>
        <w:t xml:space="preserve">We have substantially shortened the Discussion (reduced from nine pages to approximately </w:t>
      </w:r>
      <w:r>
        <w:rPr>
          <w:rFonts w:ascii="Times New Roman" w:hAnsi="Times New Roman" w:cs="Times New Roman" w:hint="eastAsia"/>
        </w:rPr>
        <w:t>four</w:t>
      </w:r>
      <w:r w:rsidRPr="006F5818">
        <w:rPr>
          <w:rFonts w:ascii="Times New Roman" w:hAnsi="Times New Roman" w:cs="Times New Roman"/>
        </w:rPr>
        <w:t xml:space="preserve"> pages) and eliminated textbook‐level background that did not directly interpret our data. Key changes include:</w:t>
      </w:r>
    </w:p>
    <w:p w14:paraId="5985D4D2" w14:textId="02A9B824" w:rsidR="006F5818" w:rsidRPr="006F5818" w:rsidRDefault="006F5818" w:rsidP="006F5818">
      <w:pPr>
        <w:pStyle w:val="a9"/>
        <w:numPr>
          <w:ilvl w:val="0"/>
          <w:numId w:val="15"/>
        </w:numPr>
        <w:spacing w:after="0" w:line="360" w:lineRule="auto"/>
        <w:jc w:val="both"/>
        <w:rPr>
          <w:rFonts w:ascii="Times New Roman" w:hAnsi="Times New Roman" w:cs="Times New Roman"/>
        </w:rPr>
      </w:pPr>
      <w:r w:rsidRPr="006F5818">
        <w:rPr>
          <w:rFonts w:ascii="Times New Roman" w:hAnsi="Times New Roman" w:cs="Times New Roman"/>
          <w:b/>
          <w:bCs/>
        </w:rPr>
        <w:t>Concise, result-focused narrative</w:t>
      </w:r>
      <w:r w:rsidRPr="006F5818">
        <w:rPr>
          <w:rFonts w:ascii="Times New Roman" w:hAnsi="Times New Roman" w:cs="Times New Roman"/>
        </w:rPr>
        <w:t>: Each paragraph now begins by restating one principal finding—e.g., “SAC reduced total gas production → CH₄ inhibition was selective” → followed by specific comparisons to one or two directly relevant studies.</w:t>
      </w:r>
    </w:p>
    <w:p w14:paraId="7E42621D" w14:textId="58FA2C32" w:rsidR="006F5818" w:rsidRPr="006F5818" w:rsidRDefault="006F5818" w:rsidP="006F5818">
      <w:pPr>
        <w:pStyle w:val="a9"/>
        <w:numPr>
          <w:ilvl w:val="0"/>
          <w:numId w:val="15"/>
        </w:numPr>
        <w:spacing w:after="0" w:line="360" w:lineRule="auto"/>
        <w:jc w:val="both"/>
        <w:rPr>
          <w:rFonts w:ascii="Times New Roman" w:hAnsi="Times New Roman" w:cs="Times New Roman"/>
        </w:rPr>
      </w:pPr>
      <w:r w:rsidRPr="006F5818">
        <w:rPr>
          <w:rFonts w:ascii="Times New Roman" w:hAnsi="Times New Roman" w:cs="Times New Roman"/>
          <w:b/>
          <w:bCs/>
        </w:rPr>
        <w:t>Reduced background</w:t>
      </w:r>
      <w:r w:rsidRPr="006F5818">
        <w:rPr>
          <w:rFonts w:ascii="Times New Roman" w:hAnsi="Times New Roman" w:cs="Times New Roman"/>
        </w:rPr>
        <w:t>: Removed broad explanations of bacterial phyla functions unless directly tied to our metagenomic results.</w:t>
      </w:r>
    </w:p>
    <w:p w14:paraId="53BAECF8" w14:textId="1B4A223E" w:rsidR="006F5818" w:rsidRPr="006F5818" w:rsidRDefault="006F5818" w:rsidP="006F5818">
      <w:pPr>
        <w:pStyle w:val="a9"/>
        <w:numPr>
          <w:ilvl w:val="0"/>
          <w:numId w:val="15"/>
        </w:numPr>
        <w:spacing w:after="0" w:line="360" w:lineRule="auto"/>
        <w:jc w:val="both"/>
        <w:rPr>
          <w:rFonts w:ascii="Times New Roman" w:hAnsi="Times New Roman" w:cs="Times New Roman"/>
        </w:rPr>
      </w:pPr>
      <w:r w:rsidRPr="006F5818">
        <w:rPr>
          <w:rFonts w:ascii="Times New Roman" w:hAnsi="Times New Roman" w:cs="Times New Roman"/>
          <w:b/>
          <w:bCs/>
        </w:rPr>
        <w:t>Eliminated redundant references</w:t>
      </w:r>
      <w:r w:rsidRPr="006F5818">
        <w:rPr>
          <w:rFonts w:ascii="Times New Roman" w:hAnsi="Times New Roman" w:cs="Times New Roman"/>
        </w:rPr>
        <w:t>: We retained only those studies that:</w:t>
      </w:r>
    </w:p>
    <w:p w14:paraId="4521B871"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Used similar SAC‐like polyphenols for methane inhibition,</w:t>
      </w:r>
    </w:p>
    <w:p w14:paraId="39AD926E"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Measured metagenomic changes in rumen archaea, or</w:t>
      </w:r>
    </w:p>
    <w:p w14:paraId="52D75576"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Established mechanistic links between MCR inhibition and CH₄ reduction.</w:t>
      </w:r>
    </w:p>
    <w:p w14:paraId="29F65EFE" w14:textId="77777777" w:rsidR="006F5818" w:rsidRPr="006F5818" w:rsidRDefault="006F5818" w:rsidP="006F5818">
      <w:pPr>
        <w:spacing w:after="0" w:line="360" w:lineRule="auto"/>
        <w:jc w:val="both"/>
        <w:rPr>
          <w:rFonts w:ascii="Times New Roman" w:hAnsi="Times New Roman" w:cs="Times New Roman"/>
        </w:rPr>
      </w:pPr>
      <w:r w:rsidRPr="006F5818">
        <w:rPr>
          <w:rFonts w:ascii="Times New Roman" w:hAnsi="Times New Roman" w:cs="Times New Roman"/>
        </w:rPr>
        <w:t xml:space="preserve">Below is a </w:t>
      </w:r>
      <w:r w:rsidRPr="006F5818">
        <w:rPr>
          <w:rFonts w:ascii="Times New Roman" w:hAnsi="Times New Roman" w:cs="Times New Roman"/>
          <w:b/>
          <w:bCs/>
        </w:rPr>
        <w:t>brief summary</w:t>
      </w:r>
      <w:r w:rsidRPr="006F5818">
        <w:rPr>
          <w:rFonts w:ascii="Times New Roman" w:hAnsi="Times New Roman" w:cs="Times New Roman"/>
        </w:rPr>
        <w:t xml:space="preserve"> of each Discussion subsection with their key comparative citations:</w:t>
      </w:r>
    </w:p>
    <w:p w14:paraId="6BA708EB"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Selective Inhibition of Methanogenesis</w:t>
      </w:r>
    </w:p>
    <w:p w14:paraId="020E06A0"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 xml:space="preserve">Comparison: </w:t>
      </w:r>
      <w:proofErr w:type="spellStart"/>
      <w:r w:rsidRPr="006F5818">
        <w:rPr>
          <w:rFonts w:ascii="Times New Roman" w:hAnsi="Times New Roman" w:cs="Times New Roman"/>
        </w:rPr>
        <w:t>Jayanegara</w:t>
      </w:r>
      <w:proofErr w:type="spellEnd"/>
      <w:r w:rsidRPr="006F5818">
        <w:rPr>
          <w:rFonts w:ascii="Times New Roman" w:hAnsi="Times New Roman" w:cs="Times New Roman"/>
        </w:rPr>
        <w:t xml:space="preserve"> et al. (2012) on tannins; Thauer (2012) on MCR as target.</w:t>
      </w:r>
    </w:p>
    <w:p w14:paraId="6F20E749"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lastRenderedPageBreak/>
        <w:t>Microbial Community Shifts</w:t>
      </w:r>
    </w:p>
    <w:p w14:paraId="5C55E071"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 xml:space="preserve">Comparison: Patra and Saxena (2010) on </w:t>
      </w:r>
      <w:proofErr w:type="spellStart"/>
      <w:r w:rsidRPr="006F5818">
        <w:rPr>
          <w:rFonts w:ascii="Times New Roman" w:hAnsi="Times New Roman" w:cs="Times New Roman"/>
        </w:rPr>
        <w:t>Bacteroidota</w:t>
      </w:r>
      <w:proofErr w:type="spellEnd"/>
      <w:r w:rsidRPr="006F5818">
        <w:rPr>
          <w:rFonts w:ascii="Times New Roman" w:hAnsi="Times New Roman" w:cs="Times New Roman"/>
        </w:rPr>
        <w:t xml:space="preserve"> vs Firmicutes; Hook et al. (2010) on </w:t>
      </w:r>
      <w:proofErr w:type="spellStart"/>
      <w:r w:rsidRPr="006F5818">
        <w:rPr>
          <w:rFonts w:ascii="Times New Roman" w:hAnsi="Times New Roman" w:cs="Times New Roman"/>
        </w:rPr>
        <w:t>Methanobrevibacter</w:t>
      </w:r>
      <w:proofErr w:type="spellEnd"/>
      <w:r w:rsidRPr="006F5818">
        <w:rPr>
          <w:rFonts w:ascii="Times New Roman" w:hAnsi="Times New Roman" w:cs="Times New Roman"/>
        </w:rPr>
        <w:t>.</w:t>
      </w:r>
    </w:p>
    <w:p w14:paraId="659048CF"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Functional Gene Changes</w:t>
      </w:r>
    </w:p>
    <w:p w14:paraId="6B460D68"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 xml:space="preserve">Comparison: Zheng et al. (2018) on carbohydrate‐metabolism gene enrichment; Li et al. (2016) on </w:t>
      </w:r>
      <w:proofErr w:type="spellStart"/>
      <w:r w:rsidRPr="006F5818">
        <w:rPr>
          <w:rFonts w:ascii="Times New Roman" w:hAnsi="Times New Roman" w:cs="Times New Roman"/>
        </w:rPr>
        <w:t>rnfC’s</w:t>
      </w:r>
      <w:proofErr w:type="spellEnd"/>
      <w:r w:rsidRPr="006F5818">
        <w:rPr>
          <w:rFonts w:ascii="Times New Roman" w:hAnsi="Times New Roman" w:cs="Times New Roman"/>
        </w:rPr>
        <w:t xml:space="preserve"> role.</w:t>
      </w:r>
    </w:p>
    <w:p w14:paraId="797D314F"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pH, VFA, and In Vitro Context</w:t>
      </w:r>
    </w:p>
    <w:p w14:paraId="52D99E82"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Comparison: Ertl et al. (2014) on buffered in vitro systems.</w:t>
      </w:r>
    </w:p>
    <w:p w14:paraId="01A2AFFB"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H₂ Redirection Hypothesis</w:t>
      </w:r>
    </w:p>
    <w:p w14:paraId="5945DFFD" w14:textId="77777777" w:rsidR="006F5818" w:rsidRPr="006F5818" w:rsidRDefault="006F5818" w:rsidP="006F5818">
      <w:pPr>
        <w:spacing w:after="0" w:line="360" w:lineRule="auto"/>
        <w:ind w:left="567"/>
        <w:jc w:val="both"/>
        <w:rPr>
          <w:rFonts w:ascii="Times New Roman" w:hAnsi="Times New Roman" w:cs="Times New Roman"/>
        </w:rPr>
      </w:pPr>
      <w:r w:rsidRPr="006F5818">
        <w:rPr>
          <w:rFonts w:ascii="Times New Roman" w:hAnsi="Times New Roman" w:cs="Times New Roman"/>
        </w:rPr>
        <w:t xml:space="preserve">Comparison: Janssen (2010) on hydrogen flux; Newbold and Ramos-Morales (2020) on </w:t>
      </w:r>
      <w:proofErr w:type="spellStart"/>
      <w:r w:rsidRPr="006F5818">
        <w:rPr>
          <w:rFonts w:ascii="Times New Roman" w:hAnsi="Times New Roman" w:cs="Times New Roman"/>
        </w:rPr>
        <w:t>mcrA</w:t>
      </w:r>
      <w:proofErr w:type="spellEnd"/>
      <w:r w:rsidRPr="006F5818">
        <w:rPr>
          <w:rFonts w:ascii="Times New Roman" w:hAnsi="Times New Roman" w:cs="Times New Roman"/>
        </w:rPr>
        <w:t xml:space="preserve"> downregulation by polyphenols.</w:t>
      </w:r>
    </w:p>
    <w:p w14:paraId="5E8C9B98" w14:textId="77777777" w:rsidR="006F5818" w:rsidRDefault="006F5818" w:rsidP="006F5818">
      <w:pPr>
        <w:spacing w:after="0" w:line="360" w:lineRule="auto"/>
        <w:jc w:val="both"/>
        <w:rPr>
          <w:rFonts w:ascii="Times New Roman" w:hAnsi="Times New Roman" w:cs="Times New Roman"/>
        </w:rPr>
      </w:pPr>
    </w:p>
    <w:p w14:paraId="55267D4F" w14:textId="2AAAC29E" w:rsidR="006F5818" w:rsidRPr="006F5818" w:rsidRDefault="006F5818" w:rsidP="006F5818">
      <w:pPr>
        <w:spacing w:after="0" w:line="360" w:lineRule="auto"/>
        <w:jc w:val="both"/>
        <w:rPr>
          <w:rFonts w:ascii="Times New Roman" w:hAnsi="Times New Roman" w:cs="Times New Roman"/>
        </w:rPr>
      </w:pPr>
      <w:r w:rsidRPr="006F5818">
        <w:rPr>
          <w:rFonts w:ascii="Times New Roman" w:hAnsi="Times New Roman" w:cs="Times New Roman"/>
        </w:rPr>
        <w:t>We appreciate the time and expertise that Reviewer has invested in improving our manuscript. We trust that these comprehensive revisions fully address all concerns. We hope the revised manuscript merits reconsideration.</w:t>
      </w:r>
    </w:p>
    <w:p w14:paraId="6ACCC457" w14:textId="533A0D47" w:rsidR="00866A66" w:rsidRPr="00866A66" w:rsidRDefault="00866A66">
      <w:pPr>
        <w:rPr>
          <w:rFonts w:hint="eastAsia"/>
        </w:rPr>
      </w:pPr>
    </w:p>
    <w:sectPr w:rsidR="00866A66" w:rsidRPr="00866A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76FB1" w14:textId="77777777" w:rsidR="00756C0B" w:rsidRDefault="00756C0B" w:rsidP="00866A66">
      <w:pPr>
        <w:spacing w:after="0" w:line="240" w:lineRule="auto"/>
        <w:rPr>
          <w:rFonts w:hint="eastAsia"/>
        </w:rPr>
      </w:pPr>
      <w:r>
        <w:separator/>
      </w:r>
    </w:p>
  </w:endnote>
  <w:endnote w:type="continuationSeparator" w:id="0">
    <w:p w14:paraId="597E8743" w14:textId="77777777" w:rsidR="00756C0B" w:rsidRDefault="00756C0B" w:rsidP="00866A66">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14F4A" w14:textId="77777777" w:rsidR="00756C0B" w:rsidRDefault="00756C0B" w:rsidP="00866A66">
      <w:pPr>
        <w:spacing w:after="0" w:line="240" w:lineRule="auto"/>
        <w:rPr>
          <w:rFonts w:hint="eastAsia"/>
        </w:rPr>
      </w:pPr>
      <w:r>
        <w:separator/>
      </w:r>
    </w:p>
  </w:footnote>
  <w:footnote w:type="continuationSeparator" w:id="0">
    <w:p w14:paraId="01029A74" w14:textId="77777777" w:rsidR="00756C0B" w:rsidRDefault="00756C0B" w:rsidP="00866A66">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B6B6D"/>
    <w:multiLevelType w:val="hybridMultilevel"/>
    <w:tmpl w:val="64964282"/>
    <w:lvl w:ilvl="0" w:tplc="C92ACDD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4CE113E"/>
    <w:multiLevelType w:val="multilevel"/>
    <w:tmpl w:val="3F646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B27F83"/>
    <w:multiLevelType w:val="multilevel"/>
    <w:tmpl w:val="2F9A7C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450F44"/>
    <w:multiLevelType w:val="multilevel"/>
    <w:tmpl w:val="A51A63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8518A5"/>
    <w:multiLevelType w:val="hybridMultilevel"/>
    <w:tmpl w:val="BEA6A190"/>
    <w:lvl w:ilvl="0" w:tplc="3CEA5B7A">
      <w:start w:val="1"/>
      <w:numFmt w:val="decimal"/>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0BA309C"/>
    <w:multiLevelType w:val="multilevel"/>
    <w:tmpl w:val="0A907C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316EFF"/>
    <w:multiLevelType w:val="multilevel"/>
    <w:tmpl w:val="6908BC7C"/>
    <w:lvl w:ilvl="0">
      <w:start w:val="1"/>
      <w:numFmt w:val="decimal"/>
      <w:lvlText w:val="%1."/>
      <w:lvlJc w:val="left"/>
      <w:pPr>
        <w:tabs>
          <w:tab w:val="num" w:pos="720"/>
        </w:tabs>
        <w:ind w:left="720" w:hanging="360"/>
      </w:pPr>
      <w:rPr>
        <w:rFonts w:ascii="Times New Roman" w:eastAsiaTheme="minorEastAsia" w:hAnsi="Times New Roman"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3EE4B08"/>
    <w:multiLevelType w:val="multilevel"/>
    <w:tmpl w:val="7744D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25143E"/>
    <w:multiLevelType w:val="hybridMultilevel"/>
    <w:tmpl w:val="9716ABAA"/>
    <w:lvl w:ilvl="0" w:tplc="AEB28AA6">
      <w:start w:val="1"/>
      <w:numFmt w:val="decimal"/>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54D12D5D"/>
    <w:multiLevelType w:val="hybridMultilevel"/>
    <w:tmpl w:val="529A735C"/>
    <w:lvl w:ilvl="0" w:tplc="E610B57E">
      <w:start w:val="1"/>
      <w:numFmt w:val="decimal"/>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55F60D02"/>
    <w:multiLevelType w:val="multilevel"/>
    <w:tmpl w:val="19B22D22"/>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9D808AA"/>
    <w:multiLevelType w:val="multilevel"/>
    <w:tmpl w:val="3ED6FD0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B0B7694"/>
    <w:multiLevelType w:val="hybridMultilevel"/>
    <w:tmpl w:val="9C420C30"/>
    <w:lvl w:ilvl="0" w:tplc="8FD666F0">
      <w:start w:val="1"/>
      <w:numFmt w:val="decimal"/>
      <w:lvlText w:val="%1."/>
      <w:lvlJc w:val="left"/>
      <w:pPr>
        <w:ind w:left="800" w:hanging="360"/>
      </w:pPr>
      <w:rPr>
        <w:rFonts w:hint="default"/>
      </w:rPr>
    </w:lvl>
    <w:lvl w:ilvl="1" w:tplc="04090019" w:tentative="1">
      <w:start w:val="1"/>
      <w:numFmt w:val="low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low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lowerLetter"/>
      <w:lvlText w:val="%8)"/>
      <w:lvlJc w:val="left"/>
      <w:pPr>
        <w:ind w:left="3960" w:hanging="440"/>
      </w:pPr>
    </w:lvl>
    <w:lvl w:ilvl="8" w:tplc="0409001B" w:tentative="1">
      <w:start w:val="1"/>
      <w:numFmt w:val="lowerRoman"/>
      <w:lvlText w:val="%9."/>
      <w:lvlJc w:val="right"/>
      <w:pPr>
        <w:ind w:left="4400" w:hanging="440"/>
      </w:pPr>
    </w:lvl>
  </w:abstractNum>
  <w:abstractNum w:abstractNumId="13" w15:restartNumberingAfterBreak="0">
    <w:nsid w:val="65750F35"/>
    <w:multiLevelType w:val="hybridMultilevel"/>
    <w:tmpl w:val="420C3FBE"/>
    <w:lvl w:ilvl="0" w:tplc="87900C60">
      <w:start w:val="1"/>
      <w:numFmt w:val="decimal"/>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65AA73C5"/>
    <w:multiLevelType w:val="multilevel"/>
    <w:tmpl w:val="1B726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245FDF"/>
    <w:multiLevelType w:val="multilevel"/>
    <w:tmpl w:val="54166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6369877">
    <w:abstractNumId w:val="14"/>
  </w:num>
  <w:num w:numId="2" w16cid:durableId="873420032">
    <w:abstractNumId w:val="5"/>
  </w:num>
  <w:num w:numId="3" w16cid:durableId="1712681103">
    <w:abstractNumId w:val="9"/>
  </w:num>
  <w:num w:numId="4" w16cid:durableId="965543740">
    <w:abstractNumId w:val="7"/>
  </w:num>
  <w:num w:numId="5" w16cid:durableId="1023047802">
    <w:abstractNumId w:val="11"/>
  </w:num>
  <w:num w:numId="6" w16cid:durableId="1544094811">
    <w:abstractNumId w:val="12"/>
  </w:num>
  <w:num w:numId="7" w16cid:durableId="1355040811">
    <w:abstractNumId w:val="0"/>
  </w:num>
  <w:num w:numId="8" w16cid:durableId="2031292808">
    <w:abstractNumId w:val="1"/>
  </w:num>
  <w:num w:numId="9" w16cid:durableId="1794442895">
    <w:abstractNumId w:val="10"/>
  </w:num>
  <w:num w:numId="10" w16cid:durableId="1970473536">
    <w:abstractNumId w:val="6"/>
  </w:num>
  <w:num w:numId="11" w16cid:durableId="890846188">
    <w:abstractNumId w:val="4"/>
  </w:num>
  <w:num w:numId="12" w16cid:durableId="2146850586">
    <w:abstractNumId w:val="15"/>
  </w:num>
  <w:num w:numId="13" w16cid:durableId="1245605545">
    <w:abstractNumId w:val="2"/>
  </w:num>
  <w:num w:numId="14" w16cid:durableId="1035352764">
    <w:abstractNumId w:val="3"/>
  </w:num>
  <w:num w:numId="15" w16cid:durableId="1911380075">
    <w:abstractNumId w:val="8"/>
  </w:num>
  <w:num w:numId="16" w16cid:durableId="1804356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BCA"/>
    <w:rsid w:val="00096DFB"/>
    <w:rsid w:val="000D0969"/>
    <w:rsid w:val="00172F0E"/>
    <w:rsid w:val="0031456E"/>
    <w:rsid w:val="003D6CA2"/>
    <w:rsid w:val="006F5818"/>
    <w:rsid w:val="00731DBC"/>
    <w:rsid w:val="00756C0B"/>
    <w:rsid w:val="007D4438"/>
    <w:rsid w:val="007D745D"/>
    <w:rsid w:val="0080692C"/>
    <w:rsid w:val="00866A66"/>
    <w:rsid w:val="00893BCE"/>
    <w:rsid w:val="00A03939"/>
    <w:rsid w:val="00B64C4A"/>
    <w:rsid w:val="00C12C32"/>
    <w:rsid w:val="00D15BCA"/>
    <w:rsid w:val="00F61434"/>
    <w:rsid w:val="00F71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474265"/>
  <w15:chartTrackingRefBased/>
  <w15:docId w15:val="{D1F5A125-47A0-4508-B10C-472827AEF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D15BCA"/>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D15BCA"/>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D15BCA"/>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D15BCA"/>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D15BCA"/>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D15BCA"/>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D15BCA"/>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15BCA"/>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D15BCA"/>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15BCA"/>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D15BCA"/>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D15BCA"/>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D15BCA"/>
    <w:rPr>
      <w:rFonts w:cstheme="majorBidi"/>
      <w:color w:val="2F5496" w:themeColor="accent1" w:themeShade="BF"/>
      <w:sz w:val="28"/>
      <w:szCs w:val="28"/>
    </w:rPr>
  </w:style>
  <w:style w:type="character" w:customStyle="1" w:styleId="50">
    <w:name w:val="标题 5 字符"/>
    <w:basedOn w:val="a0"/>
    <w:link w:val="5"/>
    <w:uiPriority w:val="9"/>
    <w:semiHidden/>
    <w:rsid w:val="00D15BCA"/>
    <w:rPr>
      <w:rFonts w:cstheme="majorBidi"/>
      <w:color w:val="2F5496" w:themeColor="accent1" w:themeShade="BF"/>
      <w:sz w:val="24"/>
    </w:rPr>
  </w:style>
  <w:style w:type="character" w:customStyle="1" w:styleId="60">
    <w:name w:val="标题 6 字符"/>
    <w:basedOn w:val="a0"/>
    <w:link w:val="6"/>
    <w:uiPriority w:val="9"/>
    <w:semiHidden/>
    <w:rsid w:val="00D15BCA"/>
    <w:rPr>
      <w:rFonts w:cstheme="majorBidi"/>
      <w:b/>
      <w:bCs/>
      <w:color w:val="2F5496" w:themeColor="accent1" w:themeShade="BF"/>
    </w:rPr>
  </w:style>
  <w:style w:type="character" w:customStyle="1" w:styleId="70">
    <w:name w:val="标题 7 字符"/>
    <w:basedOn w:val="a0"/>
    <w:link w:val="7"/>
    <w:uiPriority w:val="9"/>
    <w:semiHidden/>
    <w:rsid w:val="00D15BCA"/>
    <w:rPr>
      <w:rFonts w:cstheme="majorBidi"/>
      <w:b/>
      <w:bCs/>
      <w:color w:val="595959" w:themeColor="text1" w:themeTint="A6"/>
    </w:rPr>
  </w:style>
  <w:style w:type="character" w:customStyle="1" w:styleId="80">
    <w:name w:val="标题 8 字符"/>
    <w:basedOn w:val="a0"/>
    <w:link w:val="8"/>
    <w:uiPriority w:val="9"/>
    <w:semiHidden/>
    <w:rsid w:val="00D15BCA"/>
    <w:rPr>
      <w:rFonts w:cstheme="majorBidi"/>
      <w:color w:val="595959" w:themeColor="text1" w:themeTint="A6"/>
    </w:rPr>
  </w:style>
  <w:style w:type="character" w:customStyle="1" w:styleId="90">
    <w:name w:val="标题 9 字符"/>
    <w:basedOn w:val="a0"/>
    <w:link w:val="9"/>
    <w:uiPriority w:val="9"/>
    <w:semiHidden/>
    <w:rsid w:val="00D15BCA"/>
    <w:rPr>
      <w:rFonts w:eastAsiaTheme="majorEastAsia" w:cstheme="majorBidi"/>
      <w:color w:val="595959" w:themeColor="text1" w:themeTint="A6"/>
    </w:rPr>
  </w:style>
  <w:style w:type="paragraph" w:styleId="a3">
    <w:name w:val="Title"/>
    <w:basedOn w:val="a"/>
    <w:next w:val="a"/>
    <w:link w:val="a4"/>
    <w:uiPriority w:val="10"/>
    <w:qFormat/>
    <w:rsid w:val="00D15BC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15BC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15BC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15BC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15BCA"/>
    <w:pPr>
      <w:spacing w:before="160"/>
      <w:jc w:val="center"/>
    </w:pPr>
    <w:rPr>
      <w:i/>
      <w:iCs/>
      <w:color w:val="404040" w:themeColor="text1" w:themeTint="BF"/>
    </w:rPr>
  </w:style>
  <w:style w:type="character" w:customStyle="1" w:styleId="a8">
    <w:name w:val="引用 字符"/>
    <w:basedOn w:val="a0"/>
    <w:link w:val="a7"/>
    <w:uiPriority w:val="29"/>
    <w:rsid w:val="00D15BCA"/>
    <w:rPr>
      <w:i/>
      <w:iCs/>
      <w:color w:val="404040" w:themeColor="text1" w:themeTint="BF"/>
    </w:rPr>
  </w:style>
  <w:style w:type="paragraph" w:styleId="a9">
    <w:name w:val="List Paragraph"/>
    <w:basedOn w:val="a"/>
    <w:uiPriority w:val="34"/>
    <w:qFormat/>
    <w:rsid w:val="00D15BCA"/>
    <w:pPr>
      <w:ind w:left="720"/>
      <w:contextualSpacing/>
    </w:pPr>
  </w:style>
  <w:style w:type="character" w:styleId="aa">
    <w:name w:val="Intense Emphasis"/>
    <w:basedOn w:val="a0"/>
    <w:uiPriority w:val="21"/>
    <w:qFormat/>
    <w:rsid w:val="00D15BCA"/>
    <w:rPr>
      <w:i/>
      <w:iCs/>
      <w:color w:val="2F5496" w:themeColor="accent1" w:themeShade="BF"/>
    </w:rPr>
  </w:style>
  <w:style w:type="paragraph" w:styleId="ab">
    <w:name w:val="Intense Quote"/>
    <w:basedOn w:val="a"/>
    <w:next w:val="a"/>
    <w:link w:val="ac"/>
    <w:uiPriority w:val="30"/>
    <w:qFormat/>
    <w:rsid w:val="00D15B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D15BCA"/>
    <w:rPr>
      <w:i/>
      <w:iCs/>
      <w:color w:val="2F5496" w:themeColor="accent1" w:themeShade="BF"/>
    </w:rPr>
  </w:style>
  <w:style w:type="character" w:styleId="ad">
    <w:name w:val="Intense Reference"/>
    <w:basedOn w:val="a0"/>
    <w:uiPriority w:val="32"/>
    <w:qFormat/>
    <w:rsid w:val="00D15BCA"/>
    <w:rPr>
      <w:b/>
      <w:bCs/>
      <w:smallCaps/>
      <w:color w:val="2F5496" w:themeColor="accent1" w:themeShade="BF"/>
      <w:spacing w:val="5"/>
    </w:rPr>
  </w:style>
  <w:style w:type="paragraph" w:styleId="ae">
    <w:name w:val="header"/>
    <w:basedOn w:val="a"/>
    <w:link w:val="af"/>
    <w:uiPriority w:val="99"/>
    <w:unhideWhenUsed/>
    <w:rsid w:val="00866A66"/>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866A66"/>
    <w:rPr>
      <w:sz w:val="18"/>
      <w:szCs w:val="18"/>
    </w:rPr>
  </w:style>
  <w:style w:type="paragraph" w:styleId="af0">
    <w:name w:val="footer"/>
    <w:basedOn w:val="a"/>
    <w:link w:val="af1"/>
    <w:uiPriority w:val="99"/>
    <w:unhideWhenUsed/>
    <w:rsid w:val="00866A66"/>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866A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600927">
      <w:bodyDiv w:val="1"/>
      <w:marLeft w:val="0"/>
      <w:marRight w:val="0"/>
      <w:marTop w:val="0"/>
      <w:marBottom w:val="0"/>
      <w:divBdr>
        <w:top w:val="none" w:sz="0" w:space="0" w:color="auto"/>
        <w:left w:val="none" w:sz="0" w:space="0" w:color="auto"/>
        <w:bottom w:val="none" w:sz="0" w:space="0" w:color="auto"/>
        <w:right w:val="none" w:sz="0" w:space="0" w:color="auto"/>
      </w:divBdr>
      <w:divsChild>
        <w:div w:id="1876386673">
          <w:marLeft w:val="0"/>
          <w:marRight w:val="0"/>
          <w:marTop w:val="0"/>
          <w:marBottom w:val="0"/>
          <w:divBdr>
            <w:top w:val="none" w:sz="0" w:space="0" w:color="auto"/>
            <w:left w:val="none" w:sz="0" w:space="0" w:color="auto"/>
            <w:bottom w:val="none" w:sz="0" w:space="0" w:color="auto"/>
            <w:right w:val="none" w:sz="0" w:space="0" w:color="auto"/>
          </w:divBdr>
        </w:div>
        <w:div w:id="149367410">
          <w:marLeft w:val="0"/>
          <w:marRight w:val="0"/>
          <w:marTop w:val="0"/>
          <w:marBottom w:val="0"/>
          <w:divBdr>
            <w:top w:val="none" w:sz="0" w:space="0" w:color="auto"/>
            <w:left w:val="none" w:sz="0" w:space="0" w:color="auto"/>
            <w:bottom w:val="none" w:sz="0" w:space="0" w:color="auto"/>
            <w:right w:val="none" w:sz="0" w:space="0" w:color="auto"/>
          </w:divBdr>
        </w:div>
        <w:div w:id="1517423332">
          <w:marLeft w:val="0"/>
          <w:marRight w:val="0"/>
          <w:marTop w:val="0"/>
          <w:marBottom w:val="0"/>
          <w:divBdr>
            <w:top w:val="none" w:sz="0" w:space="0" w:color="auto"/>
            <w:left w:val="none" w:sz="0" w:space="0" w:color="auto"/>
            <w:bottom w:val="none" w:sz="0" w:space="0" w:color="auto"/>
            <w:right w:val="none" w:sz="0" w:space="0" w:color="auto"/>
          </w:divBdr>
        </w:div>
        <w:div w:id="1542786825">
          <w:marLeft w:val="0"/>
          <w:marRight w:val="0"/>
          <w:marTop w:val="0"/>
          <w:marBottom w:val="0"/>
          <w:divBdr>
            <w:top w:val="none" w:sz="0" w:space="0" w:color="auto"/>
            <w:left w:val="none" w:sz="0" w:space="0" w:color="auto"/>
            <w:bottom w:val="none" w:sz="0" w:space="0" w:color="auto"/>
            <w:right w:val="none" w:sz="0" w:space="0" w:color="auto"/>
          </w:divBdr>
        </w:div>
        <w:div w:id="1593008623">
          <w:marLeft w:val="0"/>
          <w:marRight w:val="0"/>
          <w:marTop w:val="0"/>
          <w:marBottom w:val="0"/>
          <w:divBdr>
            <w:top w:val="none" w:sz="0" w:space="0" w:color="auto"/>
            <w:left w:val="none" w:sz="0" w:space="0" w:color="auto"/>
            <w:bottom w:val="none" w:sz="0" w:space="0" w:color="auto"/>
            <w:right w:val="none" w:sz="0" w:space="0" w:color="auto"/>
          </w:divBdr>
        </w:div>
        <w:div w:id="823542921">
          <w:marLeft w:val="0"/>
          <w:marRight w:val="0"/>
          <w:marTop w:val="0"/>
          <w:marBottom w:val="0"/>
          <w:divBdr>
            <w:top w:val="none" w:sz="0" w:space="0" w:color="auto"/>
            <w:left w:val="none" w:sz="0" w:space="0" w:color="auto"/>
            <w:bottom w:val="none" w:sz="0" w:space="0" w:color="auto"/>
            <w:right w:val="none" w:sz="0" w:space="0" w:color="auto"/>
          </w:divBdr>
        </w:div>
        <w:div w:id="1346326765">
          <w:marLeft w:val="0"/>
          <w:marRight w:val="0"/>
          <w:marTop w:val="0"/>
          <w:marBottom w:val="0"/>
          <w:divBdr>
            <w:top w:val="none" w:sz="0" w:space="0" w:color="auto"/>
            <w:left w:val="none" w:sz="0" w:space="0" w:color="auto"/>
            <w:bottom w:val="none" w:sz="0" w:space="0" w:color="auto"/>
            <w:right w:val="none" w:sz="0" w:space="0" w:color="auto"/>
          </w:divBdr>
        </w:div>
        <w:div w:id="680937961">
          <w:marLeft w:val="0"/>
          <w:marRight w:val="0"/>
          <w:marTop w:val="0"/>
          <w:marBottom w:val="0"/>
          <w:divBdr>
            <w:top w:val="none" w:sz="0" w:space="0" w:color="auto"/>
            <w:left w:val="none" w:sz="0" w:space="0" w:color="auto"/>
            <w:bottom w:val="none" w:sz="0" w:space="0" w:color="auto"/>
            <w:right w:val="none" w:sz="0" w:space="0" w:color="auto"/>
          </w:divBdr>
        </w:div>
      </w:divsChild>
    </w:div>
    <w:div w:id="168713012">
      <w:bodyDiv w:val="1"/>
      <w:marLeft w:val="0"/>
      <w:marRight w:val="0"/>
      <w:marTop w:val="0"/>
      <w:marBottom w:val="0"/>
      <w:divBdr>
        <w:top w:val="none" w:sz="0" w:space="0" w:color="auto"/>
        <w:left w:val="none" w:sz="0" w:space="0" w:color="auto"/>
        <w:bottom w:val="none" w:sz="0" w:space="0" w:color="auto"/>
        <w:right w:val="none" w:sz="0" w:space="0" w:color="auto"/>
      </w:divBdr>
    </w:div>
    <w:div w:id="234701487">
      <w:bodyDiv w:val="1"/>
      <w:marLeft w:val="0"/>
      <w:marRight w:val="0"/>
      <w:marTop w:val="0"/>
      <w:marBottom w:val="0"/>
      <w:divBdr>
        <w:top w:val="none" w:sz="0" w:space="0" w:color="auto"/>
        <w:left w:val="none" w:sz="0" w:space="0" w:color="auto"/>
        <w:bottom w:val="none" w:sz="0" w:space="0" w:color="auto"/>
        <w:right w:val="none" w:sz="0" w:space="0" w:color="auto"/>
      </w:divBdr>
      <w:divsChild>
        <w:div w:id="1779788309">
          <w:marLeft w:val="0"/>
          <w:marRight w:val="0"/>
          <w:marTop w:val="0"/>
          <w:marBottom w:val="0"/>
          <w:divBdr>
            <w:top w:val="none" w:sz="0" w:space="0" w:color="auto"/>
            <w:left w:val="none" w:sz="0" w:space="0" w:color="auto"/>
            <w:bottom w:val="none" w:sz="0" w:space="0" w:color="auto"/>
            <w:right w:val="none" w:sz="0" w:space="0" w:color="auto"/>
          </w:divBdr>
        </w:div>
        <w:div w:id="1265574384">
          <w:marLeft w:val="0"/>
          <w:marRight w:val="0"/>
          <w:marTop w:val="0"/>
          <w:marBottom w:val="0"/>
          <w:divBdr>
            <w:top w:val="none" w:sz="0" w:space="0" w:color="auto"/>
            <w:left w:val="none" w:sz="0" w:space="0" w:color="auto"/>
            <w:bottom w:val="none" w:sz="0" w:space="0" w:color="auto"/>
            <w:right w:val="none" w:sz="0" w:space="0" w:color="auto"/>
          </w:divBdr>
        </w:div>
      </w:divsChild>
    </w:div>
    <w:div w:id="245385709">
      <w:bodyDiv w:val="1"/>
      <w:marLeft w:val="0"/>
      <w:marRight w:val="0"/>
      <w:marTop w:val="0"/>
      <w:marBottom w:val="0"/>
      <w:divBdr>
        <w:top w:val="none" w:sz="0" w:space="0" w:color="auto"/>
        <w:left w:val="none" w:sz="0" w:space="0" w:color="auto"/>
        <w:bottom w:val="none" w:sz="0" w:space="0" w:color="auto"/>
        <w:right w:val="none" w:sz="0" w:space="0" w:color="auto"/>
      </w:divBdr>
      <w:divsChild>
        <w:div w:id="1766684003">
          <w:marLeft w:val="0"/>
          <w:marRight w:val="0"/>
          <w:marTop w:val="0"/>
          <w:marBottom w:val="0"/>
          <w:divBdr>
            <w:top w:val="none" w:sz="0" w:space="0" w:color="auto"/>
            <w:left w:val="none" w:sz="0" w:space="0" w:color="auto"/>
            <w:bottom w:val="none" w:sz="0" w:space="0" w:color="auto"/>
            <w:right w:val="none" w:sz="0" w:space="0" w:color="auto"/>
          </w:divBdr>
        </w:div>
      </w:divsChild>
    </w:div>
    <w:div w:id="271399550">
      <w:bodyDiv w:val="1"/>
      <w:marLeft w:val="0"/>
      <w:marRight w:val="0"/>
      <w:marTop w:val="0"/>
      <w:marBottom w:val="0"/>
      <w:divBdr>
        <w:top w:val="none" w:sz="0" w:space="0" w:color="auto"/>
        <w:left w:val="none" w:sz="0" w:space="0" w:color="auto"/>
        <w:bottom w:val="none" w:sz="0" w:space="0" w:color="auto"/>
        <w:right w:val="none" w:sz="0" w:space="0" w:color="auto"/>
      </w:divBdr>
      <w:divsChild>
        <w:div w:id="915147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8959738">
      <w:bodyDiv w:val="1"/>
      <w:marLeft w:val="0"/>
      <w:marRight w:val="0"/>
      <w:marTop w:val="0"/>
      <w:marBottom w:val="0"/>
      <w:divBdr>
        <w:top w:val="none" w:sz="0" w:space="0" w:color="auto"/>
        <w:left w:val="none" w:sz="0" w:space="0" w:color="auto"/>
        <w:bottom w:val="none" w:sz="0" w:space="0" w:color="auto"/>
        <w:right w:val="none" w:sz="0" w:space="0" w:color="auto"/>
      </w:divBdr>
      <w:divsChild>
        <w:div w:id="7173225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8377707">
      <w:bodyDiv w:val="1"/>
      <w:marLeft w:val="0"/>
      <w:marRight w:val="0"/>
      <w:marTop w:val="0"/>
      <w:marBottom w:val="0"/>
      <w:divBdr>
        <w:top w:val="none" w:sz="0" w:space="0" w:color="auto"/>
        <w:left w:val="none" w:sz="0" w:space="0" w:color="auto"/>
        <w:bottom w:val="none" w:sz="0" w:space="0" w:color="auto"/>
        <w:right w:val="none" w:sz="0" w:space="0" w:color="auto"/>
      </w:divBdr>
    </w:div>
    <w:div w:id="985430154">
      <w:bodyDiv w:val="1"/>
      <w:marLeft w:val="0"/>
      <w:marRight w:val="0"/>
      <w:marTop w:val="0"/>
      <w:marBottom w:val="0"/>
      <w:divBdr>
        <w:top w:val="none" w:sz="0" w:space="0" w:color="auto"/>
        <w:left w:val="none" w:sz="0" w:space="0" w:color="auto"/>
        <w:bottom w:val="none" w:sz="0" w:space="0" w:color="auto"/>
        <w:right w:val="none" w:sz="0" w:space="0" w:color="auto"/>
      </w:divBdr>
      <w:divsChild>
        <w:div w:id="1771848703">
          <w:marLeft w:val="0"/>
          <w:marRight w:val="0"/>
          <w:marTop w:val="0"/>
          <w:marBottom w:val="0"/>
          <w:divBdr>
            <w:top w:val="none" w:sz="0" w:space="0" w:color="auto"/>
            <w:left w:val="none" w:sz="0" w:space="0" w:color="auto"/>
            <w:bottom w:val="none" w:sz="0" w:space="0" w:color="auto"/>
            <w:right w:val="none" w:sz="0" w:space="0" w:color="auto"/>
          </w:divBdr>
        </w:div>
      </w:divsChild>
    </w:div>
    <w:div w:id="1310359287">
      <w:bodyDiv w:val="1"/>
      <w:marLeft w:val="0"/>
      <w:marRight w:val="0"/>
      <w:marTop w:val="0"/>
      <w:marBottom w:val="0"/>
      <w:divBdr>
        <w:top w:val="none" w:sz="0" w:space="0" w:color="auto"/>
        <w:left w:val="none" w:sz="0" w:space="0" w:color="auto"/>
        <w:bottom w:val="none" w:sz="0" w:space="0" w:color="auto"/>
        <w:right w:val="none" w:sz="0" w:space="0" w:color="auto"/>
      </w:divBdr>
      <w:divsChild>
        <w:div w:id="10380422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8062077">
      <w:bodyDiv w:val="1"/>
      <w:marLeft w:val="0"/>
      <w:marRight w:val="0"/>
      <w:marTop w:val="0"/>
      <w:marBottom w:val="0"/>
      <w:divBdr>
        <w:top w:val="none" w:sz="0" w:space="0" w:color="auto"/>
        <w:left w:val="none" w:sz="0" w:space="0" w:color="auto"/>
        <w:bottom w:val="none" w:sz="0" w:space="0" w:color="auto"/>
        <w:right w:val="none" w:sz="0" w:space="0" w:color="auto"/>
      </w:divBdr>
      <w:divsChild>
        <w:div w:id="1088115989">
          <w:marLeft w:val="0"/>
          <w:marRight w:val="0"/>
          <w:marTop w:val="0"/>
          <w:marBottom w:val="0"/>
          <w:divBdr>
            <w:top w:val="none" w:sz="0" w:space="0" w:color="auto"/>
            <w:left w:val="none" w:sz="0" w:space="0" w:color="auto"/>
            <w:bottom w:val="none" w:sz="0" w:space="0" w:color="auto"/>
            <w:right w:val="none" w:sz="0" w:space="0" w:color="auto"/>
          </w:divBdr>
        </w:div>
        <w:div w:id="378628556">
          <w:marLeft w:val="0"/>
          <w:marRight w:val="0"/>
          <w:marTop w:val="0"/>
          <w:marBottom w:val="0"/>
          <w:divBdr>
            <w:top w:val="none" w:sz="0" w:space="0" w:color="auto"/>
            <w:left w:val="none" w:sz="0" w:space="0" w:color="auto"/>
            <w:bottom w:val="none" w:sz="0" w:space="0" w:color="auto"/>
            <w:right w:val="none" w:sz="0" w:space="0" w:color="auto"/>
          </w:divBdr>
        </w:div>
      </w:divsChild>
    </w:div>
    <w:div w:id="1527408077">
      <w:bodyDiv w:val="1"/>
      <w:marLeft w:val="0"/>
      <w:marRight w:val="0"/>
      <w:marTop w:val="0"/>
      <w:marBottom w:val="0"/>
      <w:divBdr>
        <w:top w:val="none" w:sz="0" w:space="0" w:color="auto"/>
        <w:left w:val="none" w:sz="0" w:space="0" w:color="auto"/>
        <w:bottom w:val="none" w:sz="0" w:space="0" w:color="auto"/>
        <w:right w:val="none" w:sz="0" w:space="0" w:color="auto"/>
      </w:divBdr>
      <w:divsChild>
        <w:div w:id="6589698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4881427">
      <w:bodyDiv w:val="1"/>
      <w:marLeft w:val="0"/>
      <w:marRight w:val="0"/>
      <w:marTop w:val="0"/>
      <w:marBottom w:val="0"/>
      <w:divBdr>
        <w:top w:val="none" w:sz="0" w:space="0" w:color="auto"/>
        <w:left w:val="none" w:sz="0" w:space="0" w:color="auto"/>
        <w:bottom w:val="none" w:sz="0" w:space="0" w:color="auto"/>
        <w:right w:val="none" w:sz="0" w:space="0" w:color="auto"/>
      </w:divBdr>
      <w:divsChild>
        <w:div w:id="304287005">
          <w:marLeft w:val="0"/>
          <w:marRight w:val="0"/>
          <w:marTop w:val="0"/>
          <w:marBottom w:val="0"/>
          <w:divBdr>
            <w:top w:val="none" w:sz="0" w:space="0" w:color="auto"/>
            <w:left w:val="none" w:sz="0" w:space="0" w:color="auto"/>
            <w:bottom w:val="none" w:sz="0" w:space="0" w:color="auto"/>
            <w:right w:val="none" w:sz="0" w:space="0" w:color="auto"/>
          </w:divBdr>
        </w:div>
        <w:div w:id="290021649">
          <w:marLeft w:val="0"/>
          <w:marRight w:val="0"/>
          <w:marTop w:val="0"/>
          <w:marBottom w:val="0"/>
          <w:divBdr>
            <w:top w:val="none" w:sz="0" w:space="0" w:color="auto"/>
            <w:left w:val="none" w:sz="0" w:space="0" w:color="auto"/>
            <w:bottom w:val="none" w:sz="0" w:space="0" w:color="auto"/>
            <w:right w:val="none" w:sz="0" w:space="0" w:color="auto"/>
          </w:divBdr>
        </w:div>
      </w:divsChild>
    </w:div>
    <w:div w:id="1948851101">
      <w:bodyDiv w:val="1"/>
      <w:marLeft w:val="0"/>
      <w:marRight w:val="0"/>
      <w:marTop w:val="0"/>
      <w:marBottom w:val="0"/>
      <w:divBdr>
        <w:top w:val="none" w:sz="0" w:space="0" w:color="auto"/>
        <w:left w:val="none" w:sz="0" w:space="0" w:color="auto"/>
        <w:bottom w:val="none" w:sz="0" w:space="0" w:color="auto"/>
        <w:right w:val="none" w:sz="0" w:space="0" w:color="auto"/>
      </w:divBdr>
      <w:divsChild>
        <w:div w:id="7122650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51887061">
      <w:bodyDiv w:val="1"/>
      <w:marLeft w:val="0"/>
      <w:marRight w:val="0"/>
      <w:marTop w:val="0"/>
      <w:marBottom w:val="0"/>
      <w:divBdr>
        <w:top w:val="none" w:sz="0" w:space="0" w:color="auto"/>
        <w:left w:val="none" w:sz="0" w:space="0" w:color="auto"/>
        <w:bottom w:val="none" w:sz="0" w:space="0" w:color="auto"/>
        <w:right w:val="none" w:sz="0" w:space="0" w:color="auto"/>
      </w:divBdr>
      <w:divsChild>
        <w:div w:id="11242769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7391473">
      <w:bodyDiv w:val="1"/>
      <w:marLeft w:val="0"/>
      <w:marRight w:val="0"/>
      <w:marTop w:val="0"/>
      <w:marBottom w:val="0"/>
      <w:divBdr>
        <w:top w:val="none" w:sz="0" w:space="0" w:color="auto"/>
        <w:left w:val="none" w:sz="0" w:space="0" w:color="auto"/>
        <w:bottom w:val="none" w:sz="0" w:space="0" w:color="auto"/>
        <w:right w:val="none" w:sz="0" w:space="0" w:color="auto"/>
      </w:divBdr>
      <w:divsChild>
        <w:div w:id="9565242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7758536">
      <w:bodyDiv w:val="1"/>
      <w:marLeft w:val="0"/>
      <w:marRight w:val="0"/>
      <w:marTop w:val="0"/>
      <w:marBottom w:val="0"/>
      <w:divBdr>
        <w:top w:val="none" w:sz="0" w:space="0" w:color="auto"/>
        <w:left w:val="none" w:sz="0" w:space="0" w:color="auto"/>
        <w:bottom w:val="none" w:sz="0" w:space="0" w:color="auto"/>
        <w:right w:val="none" w:sz="0" w:space="0" w:color="auto"/>
      </w:divBdr>
      <w:divsChild>
        <w:div w:id="5978330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2867715">
      <w:bodyDiv w:val="1"/>
      <w:marLeft w:val="0"/>
      <w:marRight w:val="0"/>
      <w:marTop w:val="0"/>
      <w:marBottom w:val="0"/>
      <w:divBdr>
        <w:top w:val="none" w:sz="0" w:space="0" w:color="auto"/>
        <w:left w:val="none" w:sz="0" w:space="0" w:color="auto"/>
        <w:bottom w:val="none" w:sz="0" w:space="0" w:color="auto"/>
        <w:right w:val="none" w:sz="0" w:space="0" w:color="auto"/>
      </w:divBdr>
      <w:divsChild>
        <w:div w:id="424352226">
          <w:marLeft w:val="0"/>
          <w:marRight w:val="0"/>
          <w:marTop w:val="0"/>
          <w:marBottom w:val="0"/>
          <w:divBdr>
            <w:top w:val="none" w:sz="0" w:space="0" w:color="auto"/>
            <w:left w:val="none" w:sz="0" w:space="0" w:color="auto"/>
            <w:bottom w:val="none" w:sz="0" w:space="0" w:color="auto"/>
            <w:right w:val="none" w:sz="0" w:space="0" w:color="auto"/>
          </w:divBdr>
        </w:div>
        <w:div w:id="248583204">
          <w:marLeft w:val="0"/>
          <w:marRight w:val="0"/>
          <w:marTop w:val="0"/>
          <w:marBottom w:val="0"/>
          <w:divBdr>
            <w:top w:val="none" w:sz="0" w:space="0" w:color="auto"/>
            <w:left w:val="none" w:sz="0" w:space="0" w:color="auto"/>
            <w:bottom w:val="none" w:sz="0" w:space="0" w:color="auto"/>
            <w:right w:val="none" w:sz="0" w:space="0" w:color="auto"/>
          </w:divBdr>
        </w:div>
        <w:div w:id="1092432178">
          <w:marLeft w:val="0"/>
          <w:marRight w:val="0"/>
          <w:marTop w:val="0"/>
          <w:marBottom w:val="0"/>
          <w:divBdr>
            <w:top w:val="none" w:sz="0" w:space="0" w:color="auto"/>
            <w:left w:val="none" w:sz="0" w:space="0" w:color="auto"/>
            <w:bottom w:val="none" w:sz="0" w:space="0" w:color="auto"/>
            <w:right w:val="none" w:sz="0" w:space="0" w:color="auto"/>
          </w:divBdr>
        </w:div>
        <w:div w:id="1627390660">
          <w:marLeft w:val="0"/>
          <w:marRight w:val="0"/>
          <w:marTop w:val="0"/>
          <w:marBottom w:val="0"/>
          <w:divBdr>
            <w:top w:val="none" w:sz="0" w:space="0" w:color="auto"/>
            <w:left w:val="none" w:sz="0" w:space="0" w:color="auto"/>
            <w:bottom w:val="none" w:sz="0" w:space="0" w:color="auto"/>
            <w:right w:val="none" w:sz="0" w:space="0" w:color="auto"/>
          </w:divBdr>
        </w:div>
        <w:div w:id="808978621">
          <w:marLeft w:val="0"/>
          <w:marRight w:val="0"/>
          <w:marTop w:val="0"/>
          <w:marBottom w:val="0"/>
          <w:divBdr>
            <w:top w:val="none" w:sz="0" w:space="0" w:color="auto"/>
            <w:left w:val="none" w:sz="0" w:space="0" w:color="auto"/>
            <w:bottom w:val="none" w:sz="0" w:space="0" w:color="auto"/>
            <w:right w:val="none" w:sz="0" w:space="0" w:color="auto"/>
          </w:divBdr>
        </w:div>
        <w:div w:id="907542895">
          <w:marLeft w:val="0"/>
          <w:marRight w:val="0"/>
          <w:marTop w:val="0"/>
          <w:marBottom w:val="0"/>
          <w:divBdr>
            <w:top w:val="none" w:sz="0" w:space="0" w:color="auto"/>
            <w:left w:val="none" w:sz="0" w:space="0" w:color="auto"/>
            <w:bottom w:val="none" w:sz="0" w:space="0" w:color="auto"/>
            <w:right w:val="none" w:sz="0" w:space="0" w:color="auto"/>
          </w:divBdr>
        </w:div>
        <w:div w:id="313488941">
          <w:marLeft w:val="0"/>
          <w:marRight w:val="0"/>
          <w:marTop w:val="0"/>
          <w:marBottom w:val="0"/>
          <w:divBdr>
            <w:top w:val="none" w:sz="0" w:space="0" w:color="auto"/>
            <w:left w:val="none" w:sz="0" w:space="0" w:color="auto"/>
            <w:bottom w:val="none" w:sz="0" w:space="0" w:color="auto"/>
            <w:right w:val="none" w:sz="0" w:space="0" w:color="auto"/>
          </w:divBdr>
        </w:div>
        <w:div w:id="15169941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6</Pages>
  <Words>1484</Words>
  <Characters>8970</Characters>
  <Application>Microsoft Office Word</Application>
  <DocSecurity>0</DocSecurity>
  <Lines>163</Lines>
  <Paragraphs>87</Paragraphs>
  <ScaleCrop>false</ScaleCrop>
  <Company/>
  <LinksUpToDate>false</LinksUpToDate>
  <CharactersWithSpaces>10367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zihao liu</dc:creator>
  <cp:keywords/>
  <dc:description/>
  <cp:lastModifiedBy>zihao liu</cp:lastModifiedBy>
  <cp:revision>20</cp:revision>
  <dcterms:created xsi:type="dcterms:W3CDTF">2025-06-05T09:11:00Z</dcterms:created>
  <dcterms:modified xsi:type="dcterms:W3CDTF">2025-06-09T01:58:00Z</dcterms:modified>
</cp:coreProperties>
</file>