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text" w:horzAnchor="page" w:tblpXSpec="center" w:tblpY="314"/>
        <w:tblOverlap w:val="never"/>
        <w:tblW w:w="1093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9"/>
        <w:gridCol w:w="1658"/>
        <w:gridCol w:w="1626"/>
        <w:gridCol w:w="1625"/>
        <w:gridCol w:w="1571"/>
        <w:gridCol w:w="1560"/>
        <w:gridCol w:w="829"/>
      </w:tblGrid>
      <w:tr w14:paraId="55117E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0938" w:type="dxa"/>
            <w:gridSpan w:val="7"/>
            <w:tcBorders>
              <w:top w:val="nil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15FD84B2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Table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S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 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Demographic characteristics of the study participants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in UKB</w:t>
            </w:r>
          </w:p>
        </w:tc>
      </w:tr>
      <w:tr w14:paraId="39FE0D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2069" w:type="dxa"/>
            <w:vMerge w:val="restart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617B2F9E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Characteristic</w:t>
            </w:r>
          </w:p>
        </w:tc>
        <w:tc>
          <w:tcPr>
            <w:tcW w:w="1658" w:type="dxa"/>
            <w:vMerge w:val="restart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4DDEBA1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382" w:type="dxa"/>
            <w:gridSpan w:val="4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</w:tcPr>
          <w:p w14:paraId="749590D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MET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S-V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829" w:type="dxa"/>
            <w:vMerge w:val="restart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28E37B4D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</w:p>
        </w:tc>
      </w:tr>
      <w:tr w14:paraId="21FCB4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2069" w:type="dxa"/>
            <w:vMerge w:val="continue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624A1110">
            <w:pPr>
              <w:widowControl/>
              <w:snapToGrid/>
              <w:spacing w:after="0" w:afterLines="0" w:line="300" w:lineRule="exact"/>
              <w:textAlignment w:val="center"/>
            </w:pPr>
          </w:p>
        </w:tc>
        <w:tc>
          <w:tcPr>
            <w:tcW w:w="1658" w:type="dxa"/>
            <w:vMerge w:val="continue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4E7D727F">
            <w:pPr>
              <w:widowControl/>
              <w:snapToGrid/>
              <w:spacing w:after="0" w:afterLines="0" w:line="300" w:lineRule="exact"/>
              <w:textAlignment w:val="center"/>
            </w:pPr>
          </w:p>
        </w:tc>
        <w:tc>
          <w:tcPr>
            <w:tcW w:w="1626" w:type="dxa"/>
            <w:tcBorders>
              <w:top w:val="single" w:color="000000" w:sz="8" w:space="0"/>
              <w:bottom w:val="single" w:color="000000" w:sz="8" w:space="0"/>
            </w:tcBorders>
            <w:noWrap/>
          </w:tcPr>
          <w:p w14:paraId="3D9E4A41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 xml:space="preserve">Q1 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&lt;6.916)</w:t>
            </w:r>
          </w:p>
        </w:tc>
        <w:tc>
          <w:tcPr>
            <w:tcW w:w="1625" w:type="dxa"/>
            <w:tcBorders>
              <w:top w:val="single" w:color="000000" w:sz="8" w:space="0"/>
              <w:bottom w:val="single" w:color="000000" w:sz="8" w:space="0"/>
            </w:tcBorders>
            <w:noWrap/>
          </w:tcPr>
          <w:p w14:paraId="7C936A77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 xml:space="preserve">Q2 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6.916-7.207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1" w:type="dxa"/>
            <w:tcBorders>
              <w:top w:val="single" w:color="000000" w:sz="8" w:space="0"/>
              <w:bottom w:val="single" w:color="000000" w:sz="8" w:space="0"/>
            </w:tcBorders>
            <w:noWrap/>
          </w:tcPr>
          <w:p w14:paraId="3E6842AE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 xml:space="preserve">Q3 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7.207-7.449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560" w:type="dxa"/>
            <w:tcBorders>
              <w:top w:val="single" w:color="000000" w:sz="8" w:space="0"/>
              <w:bottom w:val="single" w:color="000000" w:sz="8" w:space="0"/>
            </w:tcBorders>
            <w:noWrap/>
          </w:tcPr>
          <w:p w14:paraId="40D2D2F8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  <w:t xml:space="preserve">Q4 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&gt;7.449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829" w:type="dxa"/>
            <w:vMerge w:val="continue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72F4520D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4EC24F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76A0F09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Participants</w:t>
            </w:r>
          </w:p>
        </w:tc>
        <w:tc>
          <w:tcPr>
            <w:tcW w:w="1658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173A944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n=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101292</w:t>
            </w:r>
          </w:p>
        </w:tc>
        <w:tc>
          <w:tcPr>
            <w:tcW w:w="1626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3D57C70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n=25323</w:t>
            </w:r>
          </w:p>
        </w:tc>
        <w:tc>
          <w:tcPr>
            <w:tcW w:w="1625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6B7A4F5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n=25323</w:t>
            </w:r>
          </w:p>
        </w:tc>
        <w:tc>
          <w:tcPr>
            <w:tcW w:w="1571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4E41F47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n=25323</w:t>
            </w:r>
          </w:p>
        </w:tc>
        <w:tc>
          <w:tcPr>
            <w:tcW w:w="1560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534BBCC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n=25323</w:t>
            </w:r>
          </w:p>
        </w:tc>
        <w:tc>
          <w:tcPr>
            <w:tcW w:w="829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1B956EA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72A42F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0F6A743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Age, years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01F8C03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57.826±7.684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3EF1CE5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56.615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7.856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5D860F2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57.346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7.856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7B009F2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57.801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7.593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61E5FC9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59.543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6.916</w:t>
            </w:r>
          </w:p>
        </w:tc>
        <w:tc>
          <w:tcPr>
            <w:tcW w:w="8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184F3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142B35F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1FB19EC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Gender, male, n (%)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7C25B16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50469 (49.83)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4D14A11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5356 (21.15)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2B74471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9482 (37.44)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26D9355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15297 (60.41)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75E05CF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20334 (80.30)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3B5A599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F169A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58C13AB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BMI, kg/m2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F641F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31.069±4.855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0D4E7A0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26.956±2.888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16AB2BD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29.967±3.052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3FBDA8C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31.931±3.673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6A00B3A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35.421±5.033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37FA0EC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1515F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71276F0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Height, cm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10DC003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168.708±9.578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63021F1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166.34±8.443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63709E8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167.294±10.196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727DCE8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169.986±10.05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5F69AB3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171.214±8.673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73DA85F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B8899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49C56E7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WC, cm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362AF39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100.799±11.77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28CEC79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87.673±6.309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1FCB8B0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96.993±5.068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5EA1549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104.199±5.201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6E374F3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114.33±8.955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5AE7D94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1A05F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1268EEE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SBP, mmHg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5EA2A79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149.1±18.224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2103BC6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147.677±18.7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2760450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148.237±18.206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3345674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149.54±17.818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0896DB3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150.963±17.983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1E63B19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DAD39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3072BD9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DBP, mmHg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3CE1260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89.011±9.769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247D776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87.836±9.635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7C5B34A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88.693±9.634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51FF393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89.689±9.626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4742D15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89.834±10.041</w:t>
            </w:r>
          </w:p>
        </w:tc>
        <w:tc>
          <w:tcPr>
            <w:tcW w:w="8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64DE3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AE1A65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597817D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HbA1c, (%)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6F387E4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5.537 (5.281-5.857)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655179C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5.464 (5.226-5.729)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01BAB22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5.509 (5.271-5.802)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72520FC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5.537 (5.281-5.857)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5133742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5.656 (5.363-6.141)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3DFBAB2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AB4E3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3DB874F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Hypertention, n (%)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686CC5B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70417 (69.52)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2FEA7D2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16282 (64.30)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51CF784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16784 (66.28)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1F45864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17996 (71.07)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493DD0E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19355 (76.43)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6384DA3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6FF772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0896C51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Education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level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, n (%)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1B12FC1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425E9D5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42C6939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57187C7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616BCA0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7F33595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E3957C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02E29B9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College or above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4A77682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26615 (26.28)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61E2EBB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7489 (29.57)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5979DCF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6781 (26.78)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331FCC5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6547 (25.85)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65F0390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5798 (22.90)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4BC84CD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7683BB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58EA69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others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33DA800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74677 (73.72)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606DECF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17834 (70.43)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7429E0C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18542 (73.22)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05A132F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18776 (74.15)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142C431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19525 (77.10)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011750C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488CF5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36B0FDCD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Race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3F056CE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4E30969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390D03A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4352FD3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61C9A42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0FABB00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199C6AE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62AF49BB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79AC788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95017 (93.81)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6899AF7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23563 (93.05)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6AED0D9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23552 (93.01)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233058B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23715 (93.65)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10C92BB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24187 (95.51)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109E07C3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0C0A23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20BD0591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Latin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0E8B5EA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524 (0.52)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13B9D68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150 (0.59)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5B67A79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124 (0.49)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3294848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133 (0.53)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06ACE58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117 (0.46)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31EDD4D1">
            <w:pPr>
              <w:spacing w:after="156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2EF49D8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7C11184E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36DE670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4077 (4.02)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0D23CA7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1213 (4.79)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311B1D4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1153 (4.55)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783F3C2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1015 (4.01)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2CF2AA3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696 (2.75)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7477B200">
            <w:pPr>
              <w:spacing w:after="156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6F31DA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794C9491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Asian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09EC6BE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1674 (1.65)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4DF5104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397 (1.57)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4D7E61F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494 (1.95)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04800E7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460 (1.82)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3FB8337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323 (1.28)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189A36B7">
            <w:pPr>
              <w:spacing w:after="156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594B176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66A99FA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Smoking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status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, n (%))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145DA70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67DC77B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0FE9F46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1D5231D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754DF85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4B3C09A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61EC49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30CE563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Never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76CE367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51616 (50.96)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600DA10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14462 (57.11)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05E7127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13749 (54.29)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0CBC03F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12517 (49.43)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23F034E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10888 (43.00)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512A6187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3787233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40C0ABC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Former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3A8AB60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38374 (37.88)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76750D7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7907 (31.22)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03937F6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8820 (34.83)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4C8B6A2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9974 (39.39)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1B74754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11673 (46.10)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5DC3B1C1">
            <w:pPr>
              <w:spacing w:after="156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1B8E5A1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565EB03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Now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099C54B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11302 (11.16)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4D6B365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2954 (11.67)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251182F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2754 (10.88)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2BDA679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2832 (11.18)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74C5039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2762 (10.91)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45279BBC">
            <w:pPr>
              <w:spacing w:after="156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788216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3F22A8D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Alcohol consumption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status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2FB4892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3BFDEAA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17206BA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51CDBA3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5C6E52D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0F6D8B3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242549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3196662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Never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71D9619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5708 (5.64)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3B82015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1520 (6.00)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057A9A5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1629 (6.43)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4B808BE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1410 (5.57)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1D83AD2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1149 (4.54)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5F97812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69C30E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55B2F64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Former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4D9EACB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4339 (4.28)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5B55387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965 (3.81)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6F64A98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1031 (4.07)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03C7F6D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1065 (4.21)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2955271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1278 (5.05)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42CA664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51113C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7B02F63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Now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3BAD569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91245 (90.08)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03E0471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22838 (90.19)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4E12E09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22663 (89.50)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453FE2E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22848 (90.23)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3EF0285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22896 (90.42)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1E48271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4DA409C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1D38D71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Frequency of m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oderated physical activity, n (%)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28A0ABE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36EFA43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227CCAD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287F998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423121E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71EDDF7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C86CE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29177D2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Never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0528BF3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16515 (16.30)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073CABD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3333 (13.16)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3D98876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3884 (15.34)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1F8E8A4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4275 (16.88)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3A5A965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5023 (19.84)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4045457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21B627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1AA28BC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&lt;3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68D8D25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38934 (38.44)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610A424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9796 (38.68)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619D5C2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9885 (39.04)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6CE462F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9775 (38.60)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10B6473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9478 (37.43)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3BD6278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7365C80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640D971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&gt;3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786A7EC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45843 (45.26)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288EC3A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12194 (48.15)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07F4C76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11554 (45.63)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54922C7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11273 (44.52)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06C14CC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10822 (42.74)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40AACC2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5DBD56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22B8B886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Lipid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lowing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medication, n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238BB4D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34413 (33.97)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41A54C8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7745 (30.58)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7D74FE1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8199 (32.38)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0C45145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8541 (33.73)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512A593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9928 (39.21)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ACBC3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17993D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43B7177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lood pressure medication, n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620BFDC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39439 (38.94)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0113BB6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8280 (32.70)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6D09E8E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9027 (35.65)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303A1CB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9921 (39.18)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406BD86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12211 (48.22)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5A4F1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ABC24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6CE606B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Aspir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in, n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658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F9CA1B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18017 (17.79)</w:t>
            </w:r>
          </w:p>
        </w:tc>
        <w:tc>
          <w:tcPr>
            <w:tcW w:w="1626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6F5312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3424 (13.52)</w:t>
            </w:r>
          </w:p>
        </w:tc>
        <w:tc>
          <w:tcPr>
            <w:tcW w:w="1625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76BF4D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3873 (15.29)</w:t>
            </w:r>
          </w:p>
        </w:tc>
        <w:tc>
          <w:tcPr>
            <w:tcW w:w="1571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139DD5F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4542 (17.94)</w:t>
            </w:r>
          </w:p>
        </w:tc>
        <w:tc>
          <w:tcPr>
            <w:tcW w:w="1560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2926657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6178 (24.40)</w:t>
            </w:r>
          </w:p>
        </w:tc>
        <w:tc>
          <w:tcPr>
            <w:tcW w:w="829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10F15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6E20D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1EDB1DB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Insulin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n (%)</w:t>
            </w:r>
          </w:p>
        </w:tc>
        <w:tc>
          <w:tcPr>
            <w:tcW w:w="1658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570EC27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2398 (2.37)</w:t>
            </w:r>
          </w:p>
        </w:tc>
        <w:tc>
          <w:tcPr>
            <w:tcW w:w="1626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6C479E7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525 (2.07)</w:t>
            </w:r>
          </w:p>
        </w:tc>
        <w:tc>
          <w:tcPr>
            <w:tcW w:w="1625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1297BE8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453 (1.79)</w:t>
            </w:r>
          </w:p>
        </w:tc>
        <w:tc>
          <w:tcPr>
            <w:tcW w:w="1571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627640C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501 (1.98)</w:t>
            </w:r>
          </w:p>
        </w:tc>
        <w:tc>
          <w:tcPr>
            <w:tcW w:w="1560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6D9EE68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919 (3.63)</w:t>
            </w:r>
          </w:p>
        </w:tc>
        <w:tc>
          <w:tcPr>
            <w:tcW w:w="829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03FFC98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9B590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69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2926944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A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nticoagulant </w:t>
            </w:r>
          </w:p>
        </w:tc>
        <w:tc>
          <w:tcPr>
            <w:tcW w:w="1658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4813412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130 (0.13)</w:t>
            </w:r>
          </w:p>
        </w:tc>
        <w:tc>
          <w:tcPr>
            <w:tcW w:w="1626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25B8764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28 (0.11)</w:t>
            </w:r>
          </w:p>
        </w:tc>
        <w:tc>
          <w:tcPr>
            <w:tcW w:w="1625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309F33B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20 (0.08)</w:t>
            </w:r>
          </w:p>
        </w:tc>
        <w:tc>
          <w:tcPr>
            <w:tcW w:w="1571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6690328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32 (0.13)</w:t>
            </w:r>
          </w:p>
        </w:tc>
        <w:tc>
          <w:tcPr>
            <w:tcW w:w="1560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44F005B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50 (0.20)</w:t>
            </w:r>
          </w:p>
        </w:tc>
        <w:tc>
          <w:tcPr>
            <w:tcW w:w="829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47191E8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0.002</w:t>
            </w:r>
          </w:p>
        </w:tc>
      </w:tr>
      <w:tr w14:paraId="05F959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35678028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Labora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tory </w:t>
            </w:r>
            <w:r>
              <w:rPr>
                <w:rFonts w:hint="eastAsia"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assessments</w:t>
            </w:r>
          </w:p>
        </w:tc>
        <w:tc>
          <w:tcPr>
            <w:tcW w:w="1658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5EAC5885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14CCC5EE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25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0ED1E640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257ACDDD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73385BFE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542E0EC4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14:paraId="6B27D9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69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49F8180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Scr,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umol/L</w:t>
            </w:r>
          </w:p>
        </w:tc>
        <w:tc>
          <w:tcPr>
            <w:tcW w:w="1658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4DBF4BC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71.6 (62.1-82.3)</w:t>
            </w:r>
          </w:p>
        </w:tc>
        <w:tc>
          <w:tcPr>
            <w:tcW w:w="1626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3ECA7C0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65.9 (58.5-75.2)</w:t>
            </w:r>
          </w:p>
        </w:tc>
        <w:tc>
          <w:tcPr>
            <w:tcW w:w="1625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790468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69.3 (60.5-79.9)</w:t>
            </w:r>
          </w:p>
        </w:tc>
        <w:tc>
          <w:tcPr>
            <w:tcW w:w="1571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3935D8B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74.3 (64.3-84.4)</w:t>
            </w:r>
          </w:p>
        </w:tc>
        <w:tc>
          <w:tcPr>
            <w:tcW w:w="1560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61C7C6B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77.2 (67.9-87.1)</w:t>
            </w:r>
          </w:p>
        </w:tc>
        <w:tc>
          <w:tcPr>
            <w:tcW w:w="829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481F12FA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55E04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72BD19E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eGFR, ml/min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5B97E6F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86.964 (77.129-96.338)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6D84A48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90.003 (80.235-99.334)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14A82F6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87.588 (77.735-96.96)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1330299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86.514 (76.784-95.58)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39B73F4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83.727 (74.192-92.628)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4604131C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8C348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22DE4DA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Ua, umol/L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4554F1C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337.5 (285.8-393.3)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2E0300A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296.2 </w:t>
            </w:r>
          </w:p>
          <w:p w14:paraId="66CB51E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(252.8-344)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2111EE2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327.2 (280.3-378.05)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47E907F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354.1 (306.3-405.3)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51E4178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374.2 (323.6-426.8)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36676CB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7D5719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B5DFEA">
            <w:pPr>
              <w:widowControl/>
              <w:spacing w:after="156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Cys-C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7A5BD27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0.935 (0.849-1.035)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2FA73EB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0.882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(0.803-0.973)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3E1D873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0.919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(0.84-1.013)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0DD9EE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0.947 (0.867-1.043)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7CA7241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0.993 (0.905-1.099)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331F6E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D08AD9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32731CE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TC, mmol/L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052961A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5.569 (4.763-6.437)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1F93137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5.748 (4.976-6.608)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1E5A15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5.697</w:t>
            </w:r>
          </w:p>
          <w:p w14:paraId="685D812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(4.892-6.57)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662FE03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5.564 (4.773-6.421)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55B8DF1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5.246 (4.432-6.102)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30544C87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1EE807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40F82577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TG, m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0AC2152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196.736 (156.645-261.872)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52B1771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186.292 (154.167-240.499)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7D32A0F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193.284 (155.672-255.234)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1A562E5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201.869 (158.327-270.368)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773CE7A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209.037 (160.274-283.51)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7690751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D05E3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46701E55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LDL-C, mmol/L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564873A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3.532 (2.893-4.194)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3489A02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3.645 (3.008-4.3)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1ED2449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3.623 (2.983-4.287)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039D82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3.535 (2.912-4.196)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4CAA5D4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3.326 (2.692-3.976)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3EC8EBA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671C0F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l2br w:val="nil"/>
              <w:tr2bl w:val="nil"/>
            </w:tcBorders>
            <w:noWrap/>
            <w:vAlign w:val="center"/>
          </w:tcPr>
          <w:p w14:paraId="25F674CE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HDL-C, m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</w:t>
            </w:r>
          </w:p>
        </w:tc>
        <w:tc>
          <w:tcPr>
            <w:tcW w:w="1658" w:type="dxa"/>
            <w:tcBorders>
              <w:tl2br w:val="nil"/>
              <w:tr2bl w:val="nil"/>
            </w:tcBorders>
            <w:noWrap/>
            <w:vAlign w:val="center"/>
          </w:tcPr>
          <w:p w14:paraId="7AEBD69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46.056 (39.25-53.519)</w:t>
            </w:r>
          </w:p>
        </w:tc>
        <w:tc>
          <w:tcPr>
            <w:tcW w:w="1626" w:type="dxa"/>
            <w:tcBorders>
              <w:tl2br w:val="nil"/>
              <w:tr2bl w:val="nil"/>
            </w:tcBorders>
            <w:noWrap/>
            <w:vAlign w:val="center"/>
          </w:tcPr>
          <w:p w14:paraId="4494D4F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48.956 (43.117-58.198)</w:t>
            </w:r>
          </w:p>
        </w:tc>
        <w:tc>
          <w:tcPr>
            <w:tcW w:w="1625" w:type="dxa"/>
            <w:tcBorders>
              <w:tl2br w:val="nil"/>
              <w:tr2bl w:val="nil"/>
            </w:tcBorders>
            <w:noWrap/>
            <w:vAlign w:val="center"/>
          </w:tcPr>
          <w:p w14:paraId="1CBC08A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47.525 (40.758-55.491)</w:t>
            </w:r>
          </w:p>
        </w:tc>
        <w:tc>
          <w:tcPr>
            <w:tcW w:w="1571" w:type="dxa"/>
            <w:tcBorders>
              <w:tl2br w:val="nil"/>
              <w:tr2bl w:val="nil"/>
            </w:tcBorders>
            <w:noWrap/>
            <w:vAlign w:val="center"/>
          </w:tcPr>
          <w:p w14:paraId="74A4326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45.399 (38.902-52.398)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5A2F57F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41.996 (36.504-48.415)</w:t>
            </w:r>
          </w:p>
        </w:tc>
        <w:tc>
          <w:tcPr>
            <w:tcW w:w="829" w:type="dxa"/>
            <w:tcBorders>
              <w:tl2br w:val="nil"/>
              <w:tr2bl w:val="nil"/>
            </w:tcBorders>
            <w:noWrap/>
            <w:vAlign w:val="center"/>
          </w:tcPr>
          <w:p w14:paraId="654D720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A4D22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  <w:jc w:val="center"/>
        </w:trPr>
        <w:tc>
          <w:tcPr>
            <w:tcW w:w="2069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3A99A0A0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GLU,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dL</w:t>
            </w:r>
          </w:p>
        </w:tc>
        <w:tc>
          <w:tcPr>
            <w:tcW w:w="1658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32B3DFF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93.15 (85.338-105.084)</w:t>
            </w:r>
          </w:p>
        </w:tc>
        <w:tc>
          <w:tcPr>
            <w:tcW w:w="1626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39A39E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93.438 (85.446-105.03)</w:t>
            </w:r>
          </w:p>
        </w:tc>
        <w:tc>
          <w:tcPr>
            <w:tcW w:w="1625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5515040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92.394 (85.05-103.662)</w:t>
            </w:r>
          </w:p>
        </w:tc>
        <w:tc>
          <w:tcPr>
            <w:tcW w:w="1571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2247514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92.43 (84.978-103.77)</w:t>
            </w:r>
          </w:p>
        </w:tc>
        <w:tc>
          <w:tcPr>
            <w:tcW w:w="1560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25063CD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94.446 (86.004-109.386)</w:t>
            </w:r>
          </w:p>
        </w:tc>
        <w:tc>
          <w:tcPr>
            <w:tcW w:w="829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7B586CA6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FC0E6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069" w:type="dxa"/>
            <w:tcBorders>
              <w:top w:val="nil"/>
              <w:left w:val="nil"/>
              <w:bottom w:val="single" w:color="000000" w:sz="8" w:space="0"/>
            </w:tcBorders>
            <w:noWrap/>
            <w:vAlign w:val="center"/>
          </w:tcPr>
          <w:p w14:paraId="4C230F5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S-V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  <w:tc>
          <w:tcPr>
            <w:tcW w:w="1658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7810AE7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7.158±0.420</w:t>
            </w:r>
          </w:p>
        </w:tc>
        <w:tc>
          <w:tcPr>
            <w:tcW w:w="1626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3302AD2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6.602±0.319</w:t>
            </w:r>
          </w:p>
        </w:tc>
        <w:tc>
          <w:tcPr>
            <w:tcW w:w="1625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08B89BF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7.069±0.083</w:t>
            </w:r>
          </w:p>
        </w:tc>
        <w:tc>
          <w:tcPr>
            <w:tcW w:w="1571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2D44F9F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7.328±0.069</w:t>
            </w:r>
          </w:p>
        </w:tc>
        <w:tc>
          <w:tcPr>
            <w:tcW w:w="1560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4A35AC3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7.634±0.145</w:t>
            </w:r>
          </w:p>
        </w:tc>
        <w:tc>
          <w:tcPr>
            <w:tcW w:w="829" w:type="dxa"/>
            <w:tcBorders>
              <w:top w:val="nil"/>
              <w:bottom w:val="single" w:color="000000" w:sz="8" w:space="0"/>
              <w:right w:val="nil"/>
            </w:tcBorders>
            <w:noWrap/>
            <w:vAlign w:val="center"/>
          </w:tcPr>
          <w:p w14:paraId="081D1BD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4815606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938" w:type="dxa"/>
            <w:gridSpan w:val="7"/>
            <w:tcBorders>
              <w:top w:val="single" w:color="000000" w:sz="8" w:space="0"/>
              <w:bottom w:val="nil"/>
            </w:tcBorders>
            <w:noWrap/>
            <w:vAlign w:val="center"/>
          </w:tcPr>
          <w:p w14:paraId="1E04C286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>The chi-square test was used for the comparison of categorical variables; the t-test was employed to compare variates with normal distribution, and the rank-sum test was conducted for variates with skewed distribution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. 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Abbreviations: METS-VF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;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 xml:space="preserve">BMI: body mass index; WC: waist circumference; SBP: systolic blood pressure; DBP: diastolic blood pressure;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eGFR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>estimated 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glomerular filtration rate; Ua: uric acid ; BUN: blood urea nitrogen;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 xml:space="preserve">TC: total cholesterol;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TG: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>HDL-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 xml:space="preserve">: high-density lipoprotein cholesterol;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LDL-C:low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>-density lipoprotein cholesterol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; GLU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>: glucose;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 xml:space="preserve">Scr: serum creatinine;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Cys-C: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Cystatin C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.</w:t>
            </w:r>
          </w:p>
        </w:tc>
      </w:tr>
    </w:tbl>
    <w:p w14:paraId="74297E8E"/>
    <w:p w14:paraId="7BD236A9"/>
    <w:p w14:paraId="45667CD7"/>
    <w:p w14:paraId="6782889B"/>
    <w:p w14:paraId="49F4D3F0"/>
    <w:p w14:paraId="216CA53E"/>
    <w:p w14:paraId="3426214E"/>
    <w:p w14:paraId="4CAFB006"/>
    <w:p w14:paraId="0E6A3436"/>
    <w:p w14:paraId="2CEB721B"/>
    <w:p w14:paraId="1AEC8EB6"/>
    <w:tbl>
      <w:tblPr>
        <w:tblStyle w:val="2"/>
        <w:tblpPr w:leftFromText="180" w:rightFromText="180" w:vertAnchor="text" w:horzAnchor="page" w:tblpXSpec="center" w:tblpY="314"/>
        <w:tblOverlap w:val="never"/>
        <w:tblW w:w="10956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8"/>
        <w:gridCol w:w="1615"/>
        <w:gridCol w:w="1560"/>
        <w:gridCol w:w="1614"/>
        <w:gridCol w:w="1582"/>
        <w:gridCol w:w="1604"/>
        <w:gridCol w:w="803"/>
      </w:tblGrid>
      <w:tr w14:paraId="04F7548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10956" w:type="dxa"/>
            <w:gridSpan w:val="7"/>
            <w:tcBorders>
              <w:top w:val="nil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37F8D561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b/>
                <w:bCs/>
                <w:i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Table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S2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Demographic characteristics of the study participants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in CHARLS</w:t>
            </w:r>
          </w:p>
        </w:tc>
      </w:tr>
      <w:tr w14:paraId="061A7B2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2178" w:type="dxa"/>
            <w:vMerge w:val="restart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4D0202A1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Characteristic</w:t>
            </w:r>
          </w:p>
        </w:tc>
        <w:tc>
          <w:tcPr>
            <w:tcW w:w="1615" w:type="dxa"/>
            <w:vMerge w:val="restart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612BA63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Total</w:t>
            </w:r>
          </w:p>
        </w:tc>
        <w:tc>
          <w:tcPr>
            <w:tcW w:w="6360" w:type="dxa"/>
            <w:gridSpan w:val="4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</w:tcPr>
          <w:p w14:paraId="6295648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S-V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  <w:tc>
          <w:tcPr>
            <w:tcW w:w="803" w:type="dxa"/>
            <w:vMerge w:val="restart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183D6363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 w14:paraId="359A27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2178" w:type="dxa"/>
            <w:vMerge w:val="continue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40F229E8">
            <w:pPr>
              <w:widowControl/>
              <w:snapToGrid/>
              <w:spacing w:after="0" w:afterLines="0" w:line="300" w:lineRule="exact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5" w:type="dxa"/>
            <w:vMerge w:val="continue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253E745D">
            <w:pPr>
              <w:widowControl/>
              <w:snapToGrid/>
              <w:spacing w:after="0" w:afterLines="0" w:line="300" w:lineRule="exact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tcBorders>
              <w:top w:val="single" w:color="000000" w:sz="8" w:space="0"/>
              <w:bottom w:val="single" w:color="000000" w:sz="8" w:space="0"/>
            </w:tcBorders>
            <w:noWrap/>
          </w:tcPr>
          <w:p w14:paraId="6802C769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Q1 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&lt;6.800)</w:t>
            </w:r>
          </w:p>
        </w:tc>
        <w:tc>
          <w:tcPr>
            <w:tcW w:w="1614" w:type="dxa"/>
            <w:tcBorders>
              <w:top w:val="single" w:color="000000" w:sz="8" w:space="0"/>
              <w:bottom w:val="single" w:color="000000" w:sz="8" w:space="0"/>
            </w:tcBorders>
            <w:noWrap/>
          </w:tcPr>
          <w:p w14:paraId="4DA8E6C1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Q2 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6.800-7.011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582" w:type="dxa"/>
            <w:tcBorders>
              <w:top w:val="single" w:color="000000" w:sz="8" w:space="0"/>
              <w:bottom w:val="single" w:color="000000" w:sz="8" w:space="0"/>
            </w:tcBorders>
            <w:noWrap/>
          </w:tcPr>
          <w:p w14:paraId="63A94B42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Q3 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7.011-7.192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604" w:type="dxa"/>
            <w:tcBorders>
              <w:top w:val="single" w:color="000000" w:sz="8" w:space="0"/>
              <w:bottom w:val="single" w:color="000000" w:sz="8" w:space="0"/>
            </w:tcBorders>
            <w:noWrap/>
          </w:tcPr>
          <w:p w14:paraId="70B91850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Q4 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&gt;7.192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803" w:type="dxa"/>
            <w:vMerge w:val="continue"/>
            <w:tcBorders>
              <w:top w:val="single" w:color="000000" w:sz="8" w:space="0"/>
              <w:bottom w:val="single" w:color="000000" w:sz="8" w:space="0"/>
              <w:tl2br w:val="nil"/>
              <w:tr2bl w:val="nil"/>
            </w:tcBorders>
            <w:noWrap/>
            <w:vAlign w:val="center"/>
          </w:tcPr>
          <w:p w14:paraId="07E6A024">
            <w:pPr>
              <w:widowControl/>
              <w:snapToGrid/>
              <w:spacing w:after="0" w:afterLines="0" w:line="300" w:lineRule="exac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F5218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2178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75FA4DF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Participants</w:t>
            </w:r>
          </w:p>
        </w:tc>
        <w:tc>
          <w:tcPr>
            <w:tcW w:w="1615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1E8DF6A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n=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1680</w:t>
            </w:r>
          </w:p>
        </w:tc>
        <w:tc>
          <w:tcPr>
            <w:tcW w:w="1560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473BB96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n=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420</w:t>
            </w:r>
          </w:p>
        </w:tc>
        <w:tc>
          <w:tcPr>
            <w:tcW w:w="1614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5945B89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n=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420</w:t>
            </w:r>
          </w:p>
        </w:tc>
        <w:tc>
          <w:tcPr>
            <w:tcW w:w="1582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62C6FD2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n=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420</w:t>
            </w:r>
          </w:p>
        </w:tc>
        <w:tc>
          <w:tcPr>
            <w:tcW w:w="1604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06E99C0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n=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420</w:t>
            </w:r>
          </w:p>
        </w:tc>
        <w:tc>
          <w:tcPr>
            <w:tcW w:w="803" w:type="dxa"/>
            <w:tcBorders>
              <w:top w:val="single" w:color="000000" w:sz="8" w:space="0"/>
              <w:tl2br w:val="nil"/>
              <w:tr2bl w:val="nil"/>
            </w:tcBorders>
            <w:noWrap/>
            <w:vAlign w:val="center"/>
          </w:tcPr>
          <w:p w14:paraId="4B13857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E606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4513B0A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Age, years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6BC4A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59 (52-65)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04638B3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55 (49-61)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79E17DD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58 (52-64)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5AA4D93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60 (54-66)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012F3EC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63 (57-70)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86FEB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 w14:paraId="2BA81D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6099E9A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Gender, male, n (%)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0BA6927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445 (26.49)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104D9DB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80 (19.05)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0CA8886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68 (16.19)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38862BE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99 (23.57)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0E4F8EF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198 (47.14)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1D2B92B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344210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6B8CC2A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BMI, kg/m2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135CF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26.212 (23.825-28.463)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0BE1B49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23.368 (21.476-25.333)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6CDAB8C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25.506 (23.606-27.439)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1DF0CBD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26.908 (25.116-28.644)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39C9E86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28.846 (26.829-30.863)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11E6833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534A7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77B4F4A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Height, cm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741A409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156.358±9.141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2E2DF62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157.161±10.489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3448AFF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155.488±7.168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6392D43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155.452±8.28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12E3509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157.331±10.084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359877B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7D5421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178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00230C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WC, cm</w:t>
            </w:r>
          </w:p>
        </w:tc>
        <w:tc>
          <w:tcPr>
            <w:tcW w:w="1615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2F16F26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92.83±10.533</w:t>
            </w:r>
          </w:p>
        </w:tc>
        <w:tc>
          <w:tcPr>
            <w:tcW w:w="1560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1E5F242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82.514±10.533</w:t>
            </w:r>
          </w:p>
        </w:tc>
        <w:tc>
          <w:tcPr>
            <w:tcW w:w="1614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2FABCD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91.389±4.496</w:t>
            </w:r>
          </w:p>
        </w:tc>
        <w:tc>
          <w:tcPr>
            <w:tcW w:w="1582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282C5C2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95.742±4.698</w:t>
            </w:r>
          </w:p>
        </w:tc>
        <w:tc>
          <w:tcPr>
            <w:tcW w:w="1604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8D907C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101.676±9.78</w:t>
            </w:r>
          </w:p>
        </w:tc>
        <w:tc>
          <w:tcPr>
            <w:tcW w:w="803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90C70E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62C042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78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1F8EDA4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SBP, mmHg</w:t>
            </w:r>
          </w:p>
        </w:tc>
        <w:tc>
          <w:tcPr>
            <w:tcW w:w="1615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46586B9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140.667 (125.667-153.333)</w:t>
            </w:r>
          </w:p>
        </w:tc>
        <w:tc>
          <w:tcPr>
            <w:tcW w:w="1560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4924A0F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138 (122.167-151.5)</w:t>
            </w:r>
          </w:p>
        </w:tc>
        <w:tc>
          <w:tcPr>
            <w:tcW w:w="1614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1D3F785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138.667 (124.667-151)</w:t>
            </w:r>
          </w:p>
        </w:tc>
        <w:tc>
          <w:tcPr>
            <w:tcW w:w="1582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26F8C1A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141.333 (128.667-154.083)</w:t>
            </w:r>
          </w:p>
        </w:tc>
        <w:tc>
          <w:tcPr>
            <w:tcW w:w="1604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3029FCE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142.167 (129.417-158.75)</w:t>
            </w:r>
          </w:p>
        </w:tc>
        <w:tc>
          <w:tcPr>
            <w:tcW w:w="803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55D836E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316C2F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04D03D8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DBP, mmHg</w:t>
            </w:r>
          </w:p>
        </w:tc>
        <w:tc>
          <w:tcPr>
            <w:tcW w:w="1615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43D4D8E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80.667 (72.333-89)</w:t>
            </w:r>
          </w:p>
        </w:tc>
        <w:tc>
          <w:tcPr>
            <w:tcW w:w="1560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5791071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80.167 (71.667-90)</w:t>
            </w:r>
          </w:p>
        </w:tc>
        <w:tc>
          <w:tcPr>
            <w:tcW w:w="1614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71CA68B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80.333 (73-88)</w:t>
            </w:r>
          </w:p>
        </w:tc>
        <w:tc>
          <w:tcPr>
            <w:tcW w:w="1582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7D1FAFA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80.833 (73-89.25)</w:t>
            </w:r>
          </w:p>
        </w:tc>
        <w:tc>
          <w:tcPr>
            <w:tcW w:w="1604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43A3B4C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80.667 (72.333-89.333)</w:t>
            </w:r>
          </w:p>
        </w:tc>
        <w:tc>
          <w:tcPr>
            <w:tcW w:w="803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A5BE96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0.902</w:t>
            </w:r>
          </w:p>
        </w:tc>
      </w:tr>
      <w:tr w14:paraId="272711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0B42DCA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HbA1c, (%)</w:t>
            </w:r>
          </w:p>
        </w:tc>
        <w:tc>
          <w:tcPr>
            <w:tcW w:w="1615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1F17680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5.3 (5-5.7)</w:t>
            </w:r>
          </w:p>
        </w:tc>
        <w:tc>
          <w:tcPr>
            <w:tcW w:w="1560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5FFEB65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5.2 (4.9-5.6)</w:t>
            </w:r>
          </w:p>
        </w:tc>
        <w:tc>
          <w:tcPr>
            <w:tcW w:w="1614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49A5699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5.2 (4.9-5.625)</w:t>
            </w:r>
          </w:p>
        </w:tc>
        <w:tc>
          <w:tcPr>
            <w:tcW w:w="1582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69CFAA3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5.3 (5-5.8)</w:t>
            </w:r>
          </w:p>
        </w:tc>
        <w:tc>
          <w:tcPr>
            <w:tcW w:w="1604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5EC2690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5.4 (5.1-5.9)</w:t>
            </w:r>
          </w:p>
        </w:tc>
        <w:tc>
          <w:tcPr>
            <w:tcW w:w="803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634347D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0.077</w:t>
            </w:r>
          </w:p>
        </w:tc>
      </w:tr>
      <w:tr w14:paraId="4EE562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20E3403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Hypertention, n (%)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4922534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1243 (73.99)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44E246A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292 (69.52)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37BC54E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286 (68.10)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4F12B1A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314 (74.76)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1B37592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351 (83.57)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3563C0B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4159BA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088A00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Dyslipidemia (%)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4FA3107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284 (17.38)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3DBAB537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63 (15.52)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3EC6C39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55 (13.38)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6A4B468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60 (14.71)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64DEC4B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106 (25.92)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2CDE5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16A88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5CF0E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Diabetes (%)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4A92690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727 (43.27)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6DD49B6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198 (47.14)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105A47B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165 (39.29)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727DD8A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167 (39.76)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60EE2A3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197 (46.90)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D6FB1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0.022</w:t>
            </w:r>
          </w:p>
        </w:tc>
      </w:tr>
      <w:tr w14:paraId="41667F7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78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1F09417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Education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level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, n (%)</w:t>
            </w:r>
          </w:p>
        </w:tc>
        <w:tc>
          <w:tcPr>
            <w:tcW w:w="1615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121412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33CC731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14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5682CF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8920A59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25A3D38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18F6715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4D1084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178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14345A1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S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enior high school or above</w:t>
            </w:r>
          </w:p>
        </w:tc>
        <w:tc>
          <w:tcPr>
            <w:tcW w:w="1615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3771BD4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1470 (87.50)</w:t>
            </w:r>
          </w:p>
        </w:tc>
        <w:tc>
          <w:tcPr>
            <w:tcW w:w="1560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21768C0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366 (87.14)</w:t>
            </w:r>
          </w:p>
        </w:tc>
        <w:tc>
          <w:tcPr>
            <w:tcW w:w="1614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5BE7D15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359 (85.48)</w:t>
            </w:r>
          </w:p>
        </w:tc>
        <w:tc>
          <w:tcPr>
            <w:tcW w:w="1582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675627A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370 (88.10)</w:t>
            </w:r>
          </w:p>
        </w:tc>
        <w:tc>
          <w:tcPr>
            <w:tcW w:w="1604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6F3B3A7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375 (89.29)</w:t>
            </w:r>
          </w:p>
        </w:tc>
        <w:tc>
          <w:tcPr>
            <w:tcW w:w="803" w:type="dxa"/>
            <w:tcBorders>
              <w:top w:val="nil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E3E74B8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0.394</w:t>
            </w:r>
          </w:p>
        </w:tc>
      </w:tr>
      <w:tr w14:paraId="067D9E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0DCAEF6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others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3D4FD255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210 (12.50)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3A44E76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54 (12.86)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006D9903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61 (14.52)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0793A59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50 (11.90)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4645413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45 (10.71)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69E4B84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6E5EF8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1C28563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Smoking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status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, n (%))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528164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4906373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0E80174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630A261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1764CAC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10C4F10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C16BA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4C6D3C7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Never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or former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15B6B85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1269 (75.63)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1DC9CFA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340 (81.15)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622FCD1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344 (81.90)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5EDB2D7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317 (75.48)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196C06B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268 (63.96)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604AAE8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0515B1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7F0FD04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Now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1CB6FEC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409 (24.37)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3357F16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79 (18.85)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4FD5CF1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76 (18.10)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5876A6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103 (24.52)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5AD12F9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151 (36.04)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261B6C4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318CD0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2C34BC6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Alcohol consumption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status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7E2C55A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05DE647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3FC04A9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4EFA999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7EE3E13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074307B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0.00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</w:t>
            </w:r>
          </w:p>
        </w:tc>
      </w:tr>
      <w:tr w14:paraId="47C6DF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021750C2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Never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or former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5381CC8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355 (21.13)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358F939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86 (20.48)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601EA63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75 (17.86)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12DC081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80 (19.05)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1E3022D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114 (27.14)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37B577EF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7E1185E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33882664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Now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093587C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1325 (78.87)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65A6684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334 (79.52)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3BFC6D1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345 (82.14)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5DF14B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340 (80.95)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0CEDC9F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306 (72.86)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1969774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002630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014AE815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Lipid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lowing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medication, n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31B6162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170 (10.12)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317D2D5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36 (8.57)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2A42218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34 (8.10)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460D77A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33 (7.86)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0DB4DD1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67 (15.95)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925DD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AE741E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541BEE0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lood pressure medication, n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4E868F9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644 (38.33)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1B3FFD1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117 (27.86)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00DDDF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147 (35.00)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5ADFCA5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160 (38.10)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5663142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220 (52.38)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09BEBE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54E71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D94F88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Medicine for diabetes (%)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2FCCE8DA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160 (9.52)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630DC1DE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27 (6.43)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21D35737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40 (9.52)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43C58C3B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39 (9.29)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0CA19691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54 (12.86)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2E19F8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0.018</w:t>
            </w:r>
          </w:p>
        </w:tc>
      </w:tr>
      <w:tr w14:paraId="2F3C43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1D5C871D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Laboratory </w:t>
            </w:r>
            <w:r>
              <w:rPr>
                <w:rFonts w:hint="eastAsia"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assessments</w:t>
            </w:r>
          </w:p>
        </w:tc>
        <w:tc>
          <w:tcPr>
            <w:tcW w:w="1615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01B8209B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0FC78F3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14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75CDC73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7261379D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169F74C1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7E4EC72F">
            <w:pPr>
              <w:widowControl/>
              <w:snapToGrid/>
              <w:spacing w:after="0" w:afterLines="0" w:line="30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14:paraId="25C82E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178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35EF7456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Scr,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umol/L</w:t>
            </w:r>
          </w:p>
        </w:tc>
        <w:tc>
          <w:tcPr>
            <w:tcW w:w="1615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3E4ECF06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0.735 (0.644-0.859)</w:t>
            </w:r>
          </w:p>
        </w:tc>
        <w:tc>
          <w:tcPr>
            <w:tcW w:w="1560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7068F377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0.712 (0.61-0.802)</w:t>
            </w:r>
          </w:p>
        </w:tc>
        <w:tc>
          <w:tcPr>
            <w:tcW w:w="1614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055117B7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0.723 (0.644-0.831)</w:t>
            </w:r>
          </w:p>
        </w:tc>
        <w:tc>
          <w:tcPr>
            <w:tcW w:w="1582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13078826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0.74 (0.641-0.87)</w:t>
            </w:r>
          </w:p>
        </w:tc>
        <w:tc>
          <w:tcPr>
            <w:tcW w:w="1604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22FEC3EB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0.78 (0.655-0.927)</w:t>
            </w:r>
          </w:p>
        </w:tc>
        <w:tc>
          <w:tcPr>
            <w:tcW w:w="803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22AEC4FF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4AAE5F9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0B9C54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eGFR, ml/min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0768B55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84.913 (71.577-99.073)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5702355B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94.294 (81.154-104.346)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0AC5C0F9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86.06 (73.207-98.782)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5F88CCE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84.596 (71.027-96.455)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1E2A69FB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74.905 (63.41-89.472)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5C307968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669510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1E96621A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Ua, umol/L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0A3E3A0B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4.501 (3.708-5.384)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10456D20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4.14 (3.499-5.032)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52780FC8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4.423 (3.641-5.192)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63025D78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4.655 (3.72-5.316)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6CC8C16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4.927 (4.119-5.952)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6CB13D99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A4F93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bottom w:val="nil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F953A67">
            <w:pPr>
              <w:widowControl/>
              <w:spacing w:after="156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Cys-C, mmol/L</w:t>
            </w:r>
          </w:p>
        </w:tc>
        <w:tc>
          <w:tcPr>
            <w:tcW w:w="1615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1AEE7B67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0.95 (0.81-1.098)</w:t>
            </w:r>
          </w:p>
        </w:tc>
        <w:tc>
          <w:tcPr>
            <w:tcW w:w="1560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4A00ED2B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0.86 (0.75-0.99)</w:t>
            </w:r>
          </w:p>
        </w:tc>
        <w:tc>
          <w:tcPr>
            <w:tcW w:w="1614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209760CA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0.92 (0.81-1.05)</w:t>
            </w:r>
          </w:p>
        </w:tc>
        <w:tc>
          <w:tcPr>
            <w:tcW w:w="1582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6A68FAE0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0.96 (0.83-1.1)</w:t>
            </w:r>
          </w:p>
        </w:tc>
        <w:tc>
          <w:tcPr>
            <w:tcW w:w="1604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586D46E1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1.03 (0.903-1.19)</w:t>
            </w:r>
          </w:p>
        </w:tc>
        <w:tc>
          <w:tcPr>
            <w:tcW w:w="803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734507F7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333CF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19EBCFF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TC, m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</w:t>
            </w:r>
          </w:p>
        </w:tc>
        <w:tc>
          <w:tcPr>
            <w:tcW w:w="1615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0696AFF2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199.486 (173.97-228.094)</w:t>
            </w:r>
          </w:p>
        </w:tc>
        <w:tc>
          <w:tcPr>
            <w:tcW w:w="1560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5DE88FA2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196.2 (174.26-225.774)</w:t>
            </w:r>
          </w:p>
        </w:tc>
        <w:tc>
          <w:tcPr>
            <w:tcW w:w="1614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3DDB26F3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198.326 (171.264-226.548)</w:t>
            </w:r>
          </w:p>
        </w:tc>
        <w:tc>
          <w:tcPr>
            <w:tcW w:w="1582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1B71FDBD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203.738 (177.063-230.51)</w:t>
            </w:r>
          </w:p>
        </w:tc>
        <w:tc>
          <w:tcPr>
            <w:tcW w:w="1604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7F1FFDBE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199.486 (172.617-225.388)</w:t>
            </w:r>
          </w:p>
        </w:tc>
        <w:tc>
          <w:tcPr>
            <w:tcW w:w="803" w:type="dxa"/>
            <w:tcBorders>
              <w:top w:val="nil"/>
              <w:bottom w:val="nil"/>
              <w:tl2br w:val="nil"/>
              <w:tr2bl w:val="nil"/>
            </w:tcBorders>
            <w:noWrap/>
            <w:vAlign w:val="center"/>
          </w:tcPr>
          <w:p w14:paraId="09566A2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0.615</w:t>
            </w:r>
          </w:p>
        </w:tc>
      </w:tr>
      <w:tr w14:paraId="30CACD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059D36B3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TG, m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</w:t>
            </w:r>
          </w:p>
        </w:tc>
        <w:tc>
          <w:tcPr>
            <w:tcW w:w="1615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7B48161D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188.505 (146.025-259.526)</w:t>
            </w:r>
          </w:p>
        </w:tc>
        <w:tc>
          <w:tcPr>
            <w:tcW w:w="1560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1785535E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196.912 (160.185-260.411)</w:t>
            </w:r>
          </w:p>
        </w:tc>
        <w:tc>
          <w:tcPr>
            <w:tcW w:w="1614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746726DD">
            <w:pPr>
              <w:widowControl/>
              <w:snapToGrid/>
              <w:spacing w:after="0" w:afterLines="0" w:line="240" w:lineRule="auto"/>
              <w:jc w:val="left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83.195</w:t>
            </w:r>
          </w:p>
          <w:p w14:paraId="70DC084D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(136.069-248.685)</w:t>
            </w:r>
          </w:p>
        </w:tc>
        <w:tc>
          <w:tcPr>
            <w:tcW w:w="1582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443752EE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184.08 (136.29-258.862)</w:t>
            </w:r>
          </w:p>
        </w:tc>
        <w:tc>
          <w:tcPr>
            <w:tcW w:w="1604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1975501A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189.39 (141.821-265.942)</w:t>
            </w:r>
          </w:p>
        </w:tc>
        <w:tc>
          <w:tcPr>
            <w:tcW w:w="803" w:type="dxa"/>
            <w:tcBorders>
              <w:top w:val="nil"/>
              <w:tl2br w:val="nil"/>
              <w:tr2bl w:val="nil"/>
            </w:tcBorders>
            <w:noWrap/>
            <w:vAlign w:val="center"/>
          </w:tcPr>
          <w:p w14:paraId="448EAE8A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0.089</w:t>
            </w:r>
          </w:p>
        </w:tc>
      </w:tr>
      <w:tr w14:paraId="25021A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6F426FF8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LDL-C, m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62CE676A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39.047 (33.248-45.619)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2362441F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39.82 (34.021-44.846)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0BDC2159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39.82 (34.407-46.779)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16F7FCC5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39.047 (33.248-46.102)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42A8D633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37.114 (30.928-43.686)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622E4B0D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A61B5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l2br w:val="nil"/>
              <w:tr2bl w:val="nil"/>
            </w:tcBorders>
            <w:noWrap/>
            <w:vAlign w:val="center"/>
          </w:tcPr>
          <w:p w14:paraId="5CBE6B3F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HDL-C, m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noWrap/>
            <w:vAlign w:val="center"/>
          </w:tcPr>
          <w:p w14:paraId="1025412E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114.434 (90.464-141.012)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 w14:paraId="00424DC4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111.341 (89.305-137.243)</w:t>
            </w:r>
          </w:p>
        </w:tc>
        <w:tc>
          <w:tcPr>
            <w:tcW w:w="1614" w:type="dxa"/>
            <w:tcBorders>
              <w:tl2br w:val="nil"/>
              <w:tr2bl w:val="nil"/>
            </w:tcBorders>
            <w:noWrap/>
            <w:vAlign w:val="center"/>
          </w:tcPr>
          <w:p w14:paraId="0AAE19B2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115.98 (89.498-143.042)</w:t>
            </w:r>
          </w:p>
        </w:tc>
        <w:tc>
          <w:tcPr>
            <w:tcW w:w="1582" w:type="dxa"/>
            <w:tcBorders>
              <w:tl2br w:val="nil"/>
              <w:tr2bl w:val="nil"/>
            </w:tcBorders>
            <w:noWrap/>
            <w:vAlign w:val="center"/>
          </w:tcPr>
          <w:p w14:paraId="541C6BB3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117.526 (92.784-143.429)</w:t>
            </w:r>
          </w:p>
        </w:tc>
        <w:tc>
          <w:tcPr>
            <w:tcW w:w="1604" w:type="dxa"/>
            <w:tcBorders>
              <w:tl2br w:val="nil"/>
              <w:tr2bl w:val="nil"/>
            </w:tcBorders>
            <w:noWrap/>
            <w:vAlign w:val="center"/>
          </w:tcPr>
          <w:p w14:paraId="615C966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114.047 (86.598-138.016)</w:t>
            </w:r>
          </w:p>
        </w:tc>
        <w:tc>
          <w:tcPr>
            <w:tcW w:w="803" w:type="dxa"/>
            <w:tcBorders>
              <w:tl2br w:val="nil"/>
              <w:tr2bl w:val="nil"/>
            </w:tcBorders>
            <w:noWrap/>
            <w:vAlign w:val="center"/>
          </w:tcPr>
          <w:p w14:paraId="38038713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0.056</w:t>
            </w:r>
          </w:p>
        </w:tc>
      </w:tr>
      <w:tr w14:paraId="757CA1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117FA1C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GLU,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</w:t>
            </w:r>
          </w:p>
        </w:tc>
        <w:tc>
          <w:tcPr>
            <w:tcW w:w="1615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686EB70B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113.04 (101.16-139.14)</w:t>
            </w:r>
          </w:p>
        </w:tc>
        <w:tc>
          <w:tcPr>
            <w:tcW w:w="1560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7A711A14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114.48 (100.98-139.59)</w:t>
            </w:r>
          </w:p>
        </w:tc>
        <w:tc>
          <w:tcPr>
            <w:tcW w:w="1614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60025F7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110.07 (100.08-135.945)</w:t>
            </w:r>
          </w:p>
        </w:tc>
        <w:tc>
          <w:tcPr>
            <w:tcW w:w="1582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5615F961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111.96 (100.62-138.96)</w:t>
            </w:r>
          </w:p>
        </w:tc>
        <w:tc>
          <w:tcPr>
            <w:tcW w:w="1604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240CD635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117.09 (103.32-144.18)</w:t>
            </w:r>
          </w:p>
        </w:tc>
        <w:tc>
          <w:tcPr>
            <w:tcW w:w="803" w:type="dxa"/>
            <w:tcBorders>
              <w:bottom w:val="nil"/>
              <w:tl2br w:val="nil"/>
              <w:tr2bl w:val="nil"/>
            </w:tcBorders>
            <w:noWrap/>
            <w:vAlign w:val="center"/>
          </w:tcPr>
          <w:p w14:paraId="1B826C2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0.555</w:t>
            </w:r>
          </w:p>
        </w:tc>
      </w:tr>
      <w:tr w14:paraId="1912D8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8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49453EEC">
            <w:pPr>
              <w:widowControl/>
              <w:snapToGrid/>
              <w:spacing w:after="0" w:afterLines="0" w:line="30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S-V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  <w:tc>
          <w:tcPr>
            <w:tcW w:w="1615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008BBAE1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6.966±0.382</w:t>
            </w:r>
          </w:p>
        </w:tc>
        <w:tc>
          <w:tcPr>
            <w:tcW w:w="1560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0B8D06BC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6.478±0.363</w:t>
            </w:r>
          </w:p>
        </w:tc>
        <w:tc>
          <w:tcPr>
            <w:tcW w:w="1614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3C48083B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6.919±0.06</w:t>
            </w:r>
          </w:p>
        </w:tc>
        <w:tc>
          <w:tcPr>
            <w:tcW w:w="1582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32708BAD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7.102±0.054</w:t>
            </w:r>
          </w:p>
        </w:tc>
        <w:tc>
          <w:tcPr>
            <w:tcW w:w="1604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22AB2B8A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7.364±0.17</w:t>
            </w:r>
          </w:p>
        </w:tc>
        <w:tc>
          <w:tcPr>
            <w:tcW w:w="803" w:type="dxa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1BB20FBF">
            <w:pPr>
              <w:widowControl/>
              <w:snapToGrid/>
              <w:spacing w:after="0" w:afterLines="0" w:line="240" w:lineRule="auto"/>
              <w:jc w:val="left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9089F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956" w:type="dxa"/>
            <w:gridSpan w:val="7"/>
            <w:tcBorders>
              <w:top w:val="single" w:color="000000" w:sz="8" w:space="0"/>
              <w:bottom w:val="nil"/>
            </w:tcBorders>
            <w:noWrap/>
            <w:vAlign w:val="center"/>
          </w:tcPr>
          <w:p w14:paraId="6BF31632">
            <w:pPr>
              <w:widowControl/>
              <w:snapToGrid/>
              <w:spacing w:after="0" w:afterLines="0" w:line="240" w:lineRule="auto"/>
              <w:jc w:val="left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The chi-square test was used for the comparison of categorical variables; the t-test was employed to compare variates with normal distribution, and the rank-sum test was conducted for variates with skewed distribution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. Abbreviations: METS-VF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: metabolism score for visceral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;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BMI: body mass index; WC: waist circumference; SBP: systolic blood pressure; DBP: diastolic blood pressure;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Ua: uric acid ;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TC: total cholesterol;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TG: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HDL-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C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: high-density lipoprotein cholesterol;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LDL-C:low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-density lipoprotein cholesterol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; GLU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: glucose;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Scr: serum creatinine;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eGFR: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Cys-C: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Cystatin C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</w:tr>
    </w:tbl>
    <w:p w14:paraId="63A13EC0"/>
    <w:p w14:paraId="5B759342"/>
    <w:p w14:paraId="7E8ED455"/>
    <w:p w14:paraId="230BF60E"/>
    <w:p w14:paraId="1090C1CA"/>
    <w:p w14:paraId="0E7CA3F1"/>
    <w:p w14:paraId="580E363E"/>
    <w:p w14:paraId="374CD574"/>
    <w:p w14:paraId="7CFD84BC"/>
    <w:p w14:paraId="4B12B9D6"/>
    <w:p w14:paraId="2DE82D21"/>
    <w:p w14:paraId="13575F1E"/>
    <w:p w14:paraId="605D1773"/>
    <w:p w14:paraId="44A71C58"/>
    <w:p w14:paraId="559C94C3"/>
    <w:p w14:paraId="73E3B431"/>
    <w:p w14:paraId="680AEE1F"/>
    <w:p w14:paraId="3819993C"/>
    <w:p w14:paraId="20AD6D9E"/>
    <w:p w14:paraId="3D9ECCB1"/>
    <w:tbl>
      <w:tblPr>
        <w:tblStyle w:val="2"/>
        <w:tblpPr w:leftFromText="180" w:rightFromText="180" w:vertAnchor="text" w:horzAnchor="page" w:tblpX="1547" w:tblpY="397"/>
        <w:tblOverlap w:val="never"/>
        <w:tblW w:w="94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766"/>
        <w:gridCol w:w="2416"/>
        <w:gridCol w:w="1866"/>
        <w:gridCol w:w="1080"/>
        <w:gridCol w:w="1092"/>
      </w:tblGrid>
      <w:tr w14:paraId="7D51D4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400" w:type="dxa"/>
            <w:gridSpan w:val="6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00028FC3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bidi="ar"/>
              </w:rPr>
              <w:t>Table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bidi="ar"/>
              </w:rPr>
              <w:t xml:space="preserve"> S3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bidi="ar"/>
              </w:rPr>
              <w:t xml:space="preserve">Associations of METS-VF with IHD, Angina, MI, stroke, ISS, hemorrhagic 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bidi="ar"/>
              </w:rPr>
              <w:t>stroke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bidi="ar"/>
              </w:rPr>
              <w:t>, AF and HF in UK Biobank</w:t>
            </w:r>
          </w:p>
        </w:tc>
      </w:tr>
      <w:tr w14:paraId="262EC8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741CB7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Variable</w:t>
            </w:r>
          </w:p>
        </w:tc>
        <w:tc>
          <w:tcPr>
            <w:tcW w:w="176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228B2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Characteristics</w:t>
            </w:r>
          </w:p>
        </w:tc>
        <w:tc>
          <w:tcPr>
            <w:tcW w:w="241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E6089B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Cases/Total(%)</w:t>
            </w:r>
          </w:p>
        </w:tc>
        <w:tc>
          <w:tcPr>
            <w:tcW w:w="186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88FF52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HR (95%CI)</w:t>
            </w:r>
          </w:p>
        </w:tc>
        <w:tc>
          <w:tcPr>
            <w:tcW w:w="108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55BC40B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  <w:tc>
          <w:tcPr>
            <w:tcW w:w="1092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20C8A9F">
            <w:pPr>
              <w:widowControl/>
              <w:snapToGrid/>
              <w:spacing w:after="0" w:afterLines="0" w:line="240" w:lineRule="auto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P for trend</w:t>
            </w:r>
          </w:p>
        </w:tc>
      </w:tr>
      <w:tr w14:paraId="6B098A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2856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IHD</w:t>
            </w:r>
          </w:p>
        </w:tc>
        <w:tc>
          <w:tcPr>
            <w:tcW w:w="176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54B9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295A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537A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432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6BF6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15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EEC2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7701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2D70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11019/101292 (10.88)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EF5E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2.28 (2.17-240)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BEBF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84F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6045D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87A6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C2CB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D23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1859/25323 (7.34)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410F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BB8F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3782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51A022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DCF2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1697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86AC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2312/25323 (9.13)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4244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1.26 (1.19-1.34)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0EAD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F4B7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1C7EB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5C54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D5A6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3058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2868/25323 (11.33)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8D90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1.59 (1.50-1.69)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A9D1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A248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258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4A25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4AA6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A710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3980/25323 (15.72)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E450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2.31 (1.19-2.44)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AD53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2773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81D6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FC42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3F35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A2F4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11019/101292 (10.88)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4DA9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1.66 (1.57-1.76)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288E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9F8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21C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DEA2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CC7A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3A09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1859/25323 (7.34)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49BB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7AE8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F42A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3B9EE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BB25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5CBB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4D49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2312/25323 (9.13)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D808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1.14 (1.07-1.22)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8675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0C2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29C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2B10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E454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5095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2868/25323 (11.33)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51AB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1.27 (1.20-1.36)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DACF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1CC5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9D828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73AE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A6BF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D566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3980/25323 (15.72)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8553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1.67 (1.57-1.77)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9970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42AB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A2A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44F1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B0F9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2768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11019/101292 (10.88)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96B3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1.44 (1.36-1.52)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1E3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4025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DD6A0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8F5F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078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208A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1859/25323 (7.34)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36C1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5FA9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AEC4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4576EA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2D55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F961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ECE1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2312/25323 (9.13)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6513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1.10 (1.04-1.17)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61ED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A0DF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1D6E5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17FB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E3EF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16FE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2868/25323 (11.33)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ECE4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1.19 (1.12-1.27)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C6E7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651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4850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F965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7F20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DEA9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3980/25323 (15.72)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C6A3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1.45 (1.36-1.55)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4440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3B93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83E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F834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Angina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C17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637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14F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70B1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0D31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7CC50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1726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E8E8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F3C0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E574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1.85 (1.73-1.98)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6C8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7FAC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B6B3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A5E0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5438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B57F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5673/101292 (5.60)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BAAF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A19E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05C6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5400C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7F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A587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10FF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1038/25323 (4.10)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E7A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1.21 (1.11-1.31)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3FAC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994D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3B857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F68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5B48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C8B1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1243/25323 (4.91)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1EE8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1.46 (1.36-1.59)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8180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E380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3E81C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23B2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4EE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FD8A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1494/25323 (5.90)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78B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1.92 (1.78-2.07)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0CCD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EBFF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E276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5477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2BF9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C381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1898/25323 (7.50)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125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1.53 (1.42-1.65)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DC53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389B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6129A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F7B2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3938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07E0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5673/101292 (5.60)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F013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FA4A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C818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12C3E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9F9E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5956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21D0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1038/25323 (4.10)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0C31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1.14 (1.05-1.24)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8A3D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162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170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B62E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CF93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1F55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1243/25323 (4.91)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E1D0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1.29 (1.19-1.41)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D69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094B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52614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E10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C76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1A07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1494/25323 (5.90)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5AAA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1.59 (1.45-1.72)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0B60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5652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9780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C9C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D460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4662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1898/25323 (7.50)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F46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1.38 (1.28-1.49)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52FE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BB19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BDBB3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DFC8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ECA6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86E3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5673/101292 (5.60)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9442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8053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C537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45135D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A03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B739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E31B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1038/25323 (4.10)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6D6E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1.11 (1.02-1.21)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E70E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0.012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ED8E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BF996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3D3B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E31B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69E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1243/25323 (4.91)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7127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1.23 (1.13-1.34)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AF75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F248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AF9C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F9A9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9A66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2D0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1494/25323 (5.90)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6D3F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1.43 (1.32-1.56)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D728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09FA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72778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82C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MI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0B37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2237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7656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9B36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341F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2211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84F1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E518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9DE9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3860/101292 (3.81)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E069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2.03 (1.87-2.21)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F119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1AB2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7D0C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8AE1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BC6D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7937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668/25323 (2.64)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073E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C1A1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10F9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5BCAF0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C06E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10A3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161A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839/25323 (3.31)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B375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1.27 (1.14-1.40)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6632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801D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E6165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2262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E47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FFFA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1041/25323 (4.11)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F7AA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1.59 (1.44-1.75)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1B32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2F8D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95EA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4B44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5556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9EDB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1312/25323 (5.18)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1603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2.06 (1.88-2.26)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51CE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2E4F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2C814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737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88EC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AF94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3860/101292 (3.81)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927F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1.35 (1.23-1.48)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E805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EC5D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02C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EE5E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676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D622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668/25323 (2.64)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B35E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FC08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AAEB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D816A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9FC7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7B17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FB54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839/25323 (3.31)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9AA6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1.11 (1.00-1.23)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BDE5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0.049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D285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42196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707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2F07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042C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1041/25323 (4.11)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F7B1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1.18 (1.07-1.31)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1887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DA4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B1D0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88D2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B7E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418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1312/25323 (5.18)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E03A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1.34 (1.21-1.49)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F0D3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BA26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79BC0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E7BF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5A6D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E5B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3860/101292 (3.81)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E80B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1.20 (1.09-1.32)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D7CC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86E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7F26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EDCB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65D8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FDA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668/25323 (2.64)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B442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30C5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D8D4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6130E3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84BC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00B8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6112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839/25323 (3.31)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CF57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1.07 (0.96-1.18)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27A9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0.218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636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35D8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C43A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D541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F9CB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1041/25323 (4.11)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C18A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1.11 (1.00-1.23)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BC35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0.056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1012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063F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F2EC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22A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0E43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1312/25323 (5.18)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0F5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1.20 (1.08-1.33)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65F2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D03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092B2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779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Stroke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8AF3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6D2A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D47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FC3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F4DA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E568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FC58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9F92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7313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3093/101292 (3.05)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8F1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1.84 (1.67-2.01)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8EE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1F59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6E205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04CB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C7CD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D6AC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589/25323 (2.33)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6B3C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CB961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0AC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14A763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8D0F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AF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480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716/25323 (2.83)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3230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1.22 (1.10-1.37)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3F5F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F316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FC76B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42E2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C9FD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D8C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751/25323 (2.97)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91D4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1.30 (1.16-1.44)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4297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6DB4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9C73F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5317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6AA4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EFA5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1037/25323 (4.10)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6132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1.85 (1.67-2.04)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9803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83E3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F5829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1158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3903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F91D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3093/101292 (3.05)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A26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1.66 (1.50-1.84)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FA2E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8F97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BDB71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CB4F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855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613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589/25323 (2.33)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33DD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76E3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D08E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5DCED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7481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63BF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6DB2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716/25323 (2.83)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1528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1.19 (1.06-1.33)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7370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7777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99DD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D5FD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1B8A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5D5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751/25323 (2.97)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8127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1.20 (1.07-1.34)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9DF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0B93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A0BA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51C8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3AF2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30B5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1037/25323 (4.10)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5D2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1.64 (1.46-1.83)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BB5A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3E88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3A34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711E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66E8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A55C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3093/101292 (3.05)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9AA5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1.42 (1.28-1.58)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930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9DEE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1CB6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24BE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5911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CDCF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589/25323 (2.33)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63BB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C92B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691F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05F31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8E3E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AD3A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782B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716/25323 (2.83)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F864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1.15 (1.03-1.29)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ED75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0.012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7E90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DCB40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931A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2A9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A4C3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751/25323 (2.97)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B7D4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1.12 (1.00-1.25)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2D53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0.057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A0AC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22665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6921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041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2377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1037/25323 (4.10)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7C89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1.41 (1.25-1.58)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757A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B1D0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BD63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04C3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ISS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8AA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D21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1A88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B55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17A8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A900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C4CA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5DD0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CB26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2591/101292 (2.56)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4EBF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1.99 (1.80-2.21)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E293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F266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5B733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344A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E97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2721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482/25323 (1.90)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F3D4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DFE91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BE89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1757A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855F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6864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AF9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575/25323 (2.27)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F53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1.20 (1.06-1.36)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A9C0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13DA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3F78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D67E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6D70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46C3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637/25323 (2.52)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8E5D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1.34 (1.19-1.51)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6D4E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293A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8AA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1E55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7271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2C4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897/25323 (3.54)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45EC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1.95 (1.75-2.18)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42F7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DAC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4220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9BE0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D27D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DDCD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2591/101292 (2.56)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CE78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1.75 (1.56-1.97)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A5F2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1882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E952E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6C81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695B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A36E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482/25323 (1.90)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99A0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600E4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CED3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692905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CFE5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6DB7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E98D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575/25323 (2.27)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90D9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1.15 (1.02-1.30)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B7C9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0.022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7E78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1AFED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B238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E72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6A88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637/25323 (2.52)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CAB5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1.22 (1.08-1.38)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545E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866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E75B4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BD97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3330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96A3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897/25323 (3.54)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D5FB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1.68 (1.49-1.90)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D696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1C5F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9F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F36A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0D05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505A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2591/101292 (2.56)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78B8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1.49 (1.32-1.67)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1619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893C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FC481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6AB9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24C2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11F4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482/25323 (1.90)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9EB3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08F11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D57F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57EA8E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99A8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AB5D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ECFC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575/25323 (2.27)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6A50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1.12 (0.99-1.26)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5777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0.076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541D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8C24F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3FCF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CBB6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DCA7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637/25323 (2.52)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DEB1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1.13 (1.00-1.29)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178E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6EB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8AE6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DABA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E50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7DDB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897/25323 (3.54)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2B72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1.43 (1.26-1.63)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88FF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7867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7E5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A03A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hemorrhagic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stroke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A85E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04BF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EC9B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CADB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24A6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2ADD3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6E9F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9517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6FB5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651/101292 (0.64)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488B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1.15 (1.16-1.24)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E1EC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FEF5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E4226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9F38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16E0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615A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139/25323 (0.55)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8D45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5C4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D17A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14:paraId="0E9DCF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8467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3FF2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120D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168/25323 (0.66)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49FA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1.33 (1.20-1.47)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CDC0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29C2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56EC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B017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3796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67D4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146/25323 (0.58)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1D4F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1.82 (1.65-2.00)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46B2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F10A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F2C3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F52B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5F54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0603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198/25323 (0.78)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8F92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3.44 (3.16-3.76)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A08D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2A2C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522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C967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4BE7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C1C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651/101292 (0.64)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EB36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1.17 (1.07-1.28)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4C1A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69BC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F848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92B2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A2B1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532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139/25323 (0.55)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FB93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23EC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EA45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14:paraId="4A5B7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D6A9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EC65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D08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168/25323 (0.66)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C7B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1.23 (0.98-1.55)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CF7F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0.069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0B5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E73D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0FD0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75FA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DD5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146/25323 (0.58)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4FFD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1.09 (0.86-1.39)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7BA3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0.477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EB08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32B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4C29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A2A0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BC6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198/25323 (0.78)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198C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1.52 (1.19-1.94)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F238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2909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A2163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94B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DF6A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B3B5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651/101292 (0.64)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FF23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1.11 (1.01-1.22)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CD72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0.027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656E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07991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819C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10D1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F9D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139/25323 (0.55)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5534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9BA0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20DD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0.075</w:t>
            </w:r>
          </w:p>
        </w:tc>
      </w:tr>
      <w:tr w14:paraId="114606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33B4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6A54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E95D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168/25323 (0.66)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83B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1.22 (1.16-1.24)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5D6A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0.088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996A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04F86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6F0F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7437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32EB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146/25323 (0.58)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465E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1.06 (0.97-1.52)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5D13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0.605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9034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E4991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4F45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DBE3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60D7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198/25323 (0.78)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F091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1.48 (1.19-1.83)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B7BB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54BC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CC787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EDAA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AF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6437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79C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12F0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687E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8404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47624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404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231B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9E6F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8999/101292 (8.88)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E4F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2.92 (2.76-3.10)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D42D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AA98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BC4F8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78EF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3DA0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0A2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1370/25323 (5.41)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E8A9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87DDA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105B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39C4B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DCC6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6E9D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61BA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1780/25323 (7.03)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F85C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1.31 (1.22-1.41)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BC7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1EED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B720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B4D4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155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8B5E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2254/25323 (8.90)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772E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1.68 (1.57-1.79)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FD7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6525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EF3EE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C896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0C80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5AB3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3595/25323 (14.20)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59F7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2.76 (2.59-2.94)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36D4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3F67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0CF5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E790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6B5A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3778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8999/101292 (8.88)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E125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2.54 (2.38-2.71)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1B32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3819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508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D96D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FF75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FB00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1370/25323 (5.41)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0A89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0EE4A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27E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62DFE1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87BF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989A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399E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1780/25323 (7.03)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4D80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1.26 (1.17-1.35)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0C14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3FCA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E1FD3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5990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D99F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9219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2254/25323 (8.90)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AEE9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1.52 (1.42-1.63)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08C1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B621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0387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FC39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0415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68DC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3595/25323 (14.20)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8E9F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2.35 (2.19-2.52)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4CC9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9EC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1B7EB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160C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AD67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245B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8999/101292 (8.88)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A011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2.18 (2.05-2.33)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9516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4F27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7F6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8F0F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FFDA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2F80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1370/25323 (5.41)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2059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E2ACB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C8C4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76D941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88E9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281F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064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1780/25323 (7.03)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418E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1.21 (1.13-1.30)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CCC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9E81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8CF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636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1AF7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66F8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2254/25323 (8.90)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095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1.41 (1.31-1.51)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4C52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BF5AF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0EE39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0C44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6C9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89C8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3595/25323 (14.20)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9BE6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2.03 (1.89-2.18)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A940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E31EE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07B74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9F20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HF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6DE5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BB93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D737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423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8575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3143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A9E8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1272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7789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4790/101292 (4.73)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A94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3.98 (3.67-4.32)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747F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04C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829E5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6D1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56E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BC79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655/25323 (2.59)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599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2219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FF29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2FCB30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C4E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B2E5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E2DF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860/25323 (3.40)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5BB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1.33 (1.20-1.47)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3E48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3A69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630C2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9937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B996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97F8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1167/25323 (4.61)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D455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1.82 (1.65-2.00)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9ED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5573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1350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89EC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FA91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6695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2108/25323 (8.32)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3F8D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3.44 (3.16-3.76)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EE9F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34F4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890F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5C8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02C4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05A4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4790/101292 (4.73)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3C9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3.91 (3.56-4.29)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1BB4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A6BA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35F2C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7D1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2ABE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9DDA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655/25323 (2.59)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8A7C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A71C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B1D4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41657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B85D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B2D6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9922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860/25323 (3.40)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88B7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1.30 (1.18-1.44)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ABE3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F9B4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2384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9733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61F7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2A08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1167/25323 (4.61)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4412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1.77 (1.60-1.95)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3D8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A1DB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69619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3564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1625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5A1A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2108/25323 (8.32)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86B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3.26 (2.96-3.59)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D04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1DC1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BF1B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D42F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E635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6764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4790/101292 (4.73)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50C2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2.80 (2.55-3.08)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076D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B9F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57675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23D2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1EB7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2572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655/25323 (2.59)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6F5E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433E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7D30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58CB72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D3D0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BCEF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009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860/25323 (3.40)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CA53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1.21 (1.10-1.34)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C2EF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3763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55625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473C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9E2D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F6A1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1167/25323 (4.61)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6632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1.52 (1.37-1.68)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6A4B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AAAC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0D06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8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4F03D1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F64234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FAAFE3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2108/25323 (8.32)</w:t>
            </w:r>
          </w:p>
        </w:tc>
        <w:tc>
          <w:tcPr>
            <w:tcW w:w="186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DE660A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2.45 (2.22-2.70)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A1627F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7F07944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07494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400" w:type="dxa"/>
            <w:gridSpan w:val="6"/>
            <w:tcBorders>
              <w:top w:val="single" w:color="000000" w:sz="8" w:space="0"/>
            </w:tcBorders>
            <w:shd w:val="clear" w:color="auto" w:fill="auto"/>
          </w:tcPr>
          <w:p w14:paraId="35831B59">
            <w:pPr>
              <w:widowControl/>
              <w:snapToGrid/>
              <w:spacing w:after="0" w:afterLines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increased in 1-SD of METS-VF was 0.436 for UK Biobank</w:t>
            </w:r>
          </w:p>
          <w:p w14:paraId="01BCFB81">
            <w:pPr>
              <w:widowControl/>
              <w:snapToGrid/>
              <w:spacing w:after="0" w:afterLines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Model 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Unadjusted</w:t>
            </w:r>
          </w:p>
          <w:p w14:paraId="4A0932FE">
            <w:pPr>
              <w:widowControl/>
              <w:snapToGrid/>
              <w:spacing w:after="0" w:afterLines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Model 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Adjusted for age, gender, race, education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,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smoking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,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alcohol consumption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,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and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Moderated physical activity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  <w:p w14:paraId="5DF61DC7">
            <w:pPr>
              <w:widowControl/>
              <w:snapToGrid/>
              <w:spacing w:after="0" w:afterLines="0" w:line="240" w:lineRule="auto"/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Model 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included all variables from Model 2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, and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further adjusted for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ypertention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, diabetes, LDL, Ua and HbA1c. </w:t>
            </w:r>
          </w:p>
          <w:p w14:paraId="45E15487">
            <w:pPr>
              <w:widowControl/>
              <w:spacing w:after="156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Abbreviations: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METS-VF: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metabolism score for visceral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HR: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Hazard ratios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CI: confidence interval;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Ref: reference;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IHD: ischemic heart disease; MI: myocardial infarction; ISS: ischaemic stroke; AF: atrial fibrillation; HF: heart failure; LDL-C: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low-density lipoprotein cholesterol;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Ua: uric acid.</w:t>
            </w:r>
          </w:p>
        </w:tc>
      </w:tr>
    </w:tbl>
    <w:p w14:paraId="5DBFB155"/>
    <w:p w14:paraId="14B5CA13"/>
    <w:p w14:paraId="69CF54DF"/>
    <w:p w14:paraId="170A90A2"/>
    <w:p w14:paraId="3A46A535"/>
    <w:p w14:paraId="17ECCB52"/>
    <w:p w14:paraId="1138AE09"/>
    <w:p w14:paraId="0FAED943"/>
    <w:p w14:paraId="30ACF69C"/>
    <w:p w14:paraId="0779F7E9"/>
    <w:p w14:paraId="4341CA8C"/>
    <w:p w14:paraId="43C949D2"/>
    <w:p w14:paraId="46A0302B"/>
    <w:p w14:paraId="3157D63D"/>
    <w:p w14:paraId="3BF727D0"/>
    <w:p w14:paraId="2E8FD669"/>
    <w:p w14:paraId="2D733EEE"/>
    <w:p w14:paraId="1D3777D5"/>
    <w:p w14:paraId="7854D483"/>
    <w:p w14:paraId="07F5EB06"/>
    <w:p w14:paraId="7CFB3A4F"/>
    <w:tbl>
      <w:tblPr>
        <w:tblStyle w:val="2"/>
        <w:tblpPr w:leftFromText="180" w:rightFromText="180" w:vertAnchor="text" w:horzAnchor="page" w:tblpX="1547" w:tblpY="397"/>
        <w:tblOverlap w:val="never"/>
        <w:tblW w:w="946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1578"/>
        <w:gridCol w:w="2416"/>
        <w:gridCol w:w="1866"/>
        <w:gridCol w:w="1080"/>
        <w:gridCol w:w="1156"/>
      </w:tblGrid>
      <w:tr w14:paraId="0811DD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464" w:type="dxa"/>
            <w:gridSpan w:val="6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E031A39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Table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S4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Associations of METS-VF with heart disease and 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stroke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in CHARLS</w:t>
            </w:r>
          </w:p>
        </w:tc>
      </w:tr>
      <w:tr w14:paraId="2F193F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05A9F6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Variable</w:t>
            </w:r>
          </w:p>
        </w:tc>
        <w:tc>
          <w:tcPr>
            <w:tcW w:w="157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1FA3190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Characteristics</w:t>
            </w:r>
          </w:p>
        </w:tc>
        <w:tc>
          <w:tcPr>
            <w:tcW w:w="241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F03E1C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Cases/Total(%)</w:t>
            </w:r>
          </w:p>
        </w:tc>
        <w:tc>
          <w:tcPr>
            <w:tcW w:w="186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2F89C8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HR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(95%CI)</w:t>
            </w:r>
          </w:p>
        </w:tc>
        <w:tc>
          <w:tcPr>
            <w:tcW w:w="108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7698D03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  <w:tc>
          <w:tcPr>
            <w:tcW w:w="115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5F788F2B">
            <w:pPr>
              <w:widowControl/>
              <w:snapToGrid/>
              <w:spacing w:after="0" w:afterLines="0" w:line="240" w:lineRule="auto"/>
              <w:textAlignment w:val="center"/>
              <w:rPr>
                <w:rFonts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P for trend</w:t>
            </w:r>
          </w:p>
        </w:tc>
      </w:tr>
      <w:tr w14:paraId="59E45D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C04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Heart disease</w:t>
            </w:r>
          </w:p>
        </w:tc>
        <w:tc>
          <w:tcPr>
            <w:tcW w:w="1578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453C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EA7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21C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808A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5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0547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9D5B9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93C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E4BE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3922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361/1680 (21.49)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A877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3.80 (2.49-5.82)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C650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DAF2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4493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5468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095A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9AF8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65/420 (15.48)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FF76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24890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68DC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336765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5E8B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E8BA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05C3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70/420 (16.67)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E55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1.20 (0.80-1.79)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650E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0.388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A9FF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FB286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8F8F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383C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258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101/420 (24.05)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CD69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1.82 (1.25-2.65)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1337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F9F6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ECCA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678E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8523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5DE5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125/420 (29.76)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FA6D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2.35 (1.64-3.38)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F796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0C68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7D8AD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A2B6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05ED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4511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361/1680 (21.49)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72B5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3.52 (2.49-5.82)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719C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59BD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2F26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5B16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4112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25F8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65/420 (15.48)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89D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A876D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A3DB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55F036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B520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5B43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F547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70/420 (16.67)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8DCD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1.18 (0.79-1.78)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DA6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0.417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C3C4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81BDE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498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CAEA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5830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101/420 (24.05)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F8FA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1.86 (1.27-2.72)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624C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DA19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67D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EBE2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2B98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499E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125/420 (29.76)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12AB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2.52 (1.70-3.73)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10C6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63F7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1F97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52A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110F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3DF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361/1680 (21.49)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1703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2.51 (1.61-3.78)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A83B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BAA8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F79D0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C6A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A34B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5AF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65/420 (15.48)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957A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458F7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5D78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6FAA9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AC7A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A9CB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B487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70/420 (16.67)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8B0B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1.21 (0.82-1.83)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1078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0.361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A506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BF97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F116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B63D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173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101/420 (24.05)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A3F7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1.91 (1.30-2.80)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172E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1C40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6F439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6D19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3D3E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4AE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125/420 (29.76)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D8BB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2.58 (1.73-2.84)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500A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61FF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A12B1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5C1F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Stroke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E050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3CC8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997C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187F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AB9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FFE7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0261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2102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2932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159/1680 (9.46)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49AC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2.25 (1.41-3.60)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2D3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5141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8F44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0824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3A7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5752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30/420 (7.14)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C9EC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32B6D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5E2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0C8D2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985F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4795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F018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35/420 (8.33)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B51F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0.84 (0.52-1.38)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559F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0.508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9004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7EC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3F72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E0CD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F038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35/420 (8.33)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7E6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0.99 (0.62-1.59)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82D2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0.975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891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F4E04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356E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989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4713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59/420 (14.05)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7447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1.73 (1.14-2.63)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B212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4131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D39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40D5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1C5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3F24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159/1680 (9.46)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39CD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1.72 (1.05-2.81)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58D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0.031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D97E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1A305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65D9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032F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FAC1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30/420 (7.14)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97B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83C02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2E9D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317D5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1126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BE8E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3174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35/420 (8.33)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0B0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0.84 (0.52-1.38)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076A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0.494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436F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1572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FD6D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0A53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EAC3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35/420 (8.33)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151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0.99 (0.62-1.58)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C42E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0.954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F3D1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0F4E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24F0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FC5D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5CFA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59/420 (14.05)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D02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1.67 (1.08-2.57)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12E9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5FBA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510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7BC8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Model3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7D45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1 SD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9027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159/1680 (9.46)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05D4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1.82 (1.11-3.01)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85D8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0.018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8653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C216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589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E247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93A5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30/420 (7.14)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F676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DDD4A">
            <w:pPr>
              <w:spacing w:after="156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F2CB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334EF8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17B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E60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97B8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35/420 (8.33)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4C78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0.88 (0.54-1.43)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8607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0.596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877F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11E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1614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E13A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Q3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490F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35/420 (8.33)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9F61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0.99 (0.62-1.59)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3EB6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0.964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B079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F5457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36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AB787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5DDA96E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Q4</w:t>
            </w:r>
          </w:p>
        </w:tc>
        <w:tc>
          <w:tcPr>
            <w:tcW w:w="241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5DB37D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59/420 (14.05)</w:t>
            </w:r>
          </w:p>
        </w:tc>
        <w:tc>
          <w:tcPr>
            <w:tcW w:w="186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5F90CF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1.63 (105-2.53)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1E742B5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0.031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9B0666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9DBEA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464" w:type="dxa"/>
            <w:gridSpan w:val="6"/>
            <w:tcBorders>
              <w:top w:val="single" w:color="000000" w:sz="8" w:space="0"/>
            </w:tcBorders>
            <w:shd w:val="clear" w:color="auto" w:fill="auto"/>
          </w:tcPr>
          <w:p w14:paraId="51B469C7">
            <w:pPr>
              <w:widowControl/>
              <w:snapToGrid/>
              <w:spacing w:after="0" w:afterLines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Per increased in 1-SD of METS-VF was 0.384 for CHARLS</w:t>
            </w:r>
          </w:p>
          <w:p w14:paraId="114AE0A5">
            <w:pPr>
              <w:widowControl/>
              <w:snapToGrid/>
              <w:spacing w:after="0" w:afterLines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Model 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Unadjusted</w:t>
            </w:r>
          </w:p>
          <w:p w14:paraId="0098DC42">
            <w:pPr>
              <w:widowControl/>
              <w:snapToGrid/>
              <w:spacing w:after="0" w:afterLines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Model 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Adjusted for age, gender, education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,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smoking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,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and alcohol consumption</w:t>
            </w:r>
          </w:p>
          <w:p w14:paraId="1E4EB46E">
            <w:pPr>
              <w:widowControl/>
              <w:snapToGrid/>
              <w:spacing w:after="0" w:afterLines="0" w:line="240" w:lineRule="auto"/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Model 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included all variables from Model 2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, and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further adjusted for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ypertention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, diabetes, LDL, Ua and HbA1c. </w:t>
            </w:r>
          </w:p>
          <w:p w14:paraId="41C0BB3D">
            <w:pPr>
              <w:widowControl/>
              <w:spacing w:after="156"/>
              <w:jc w:val="left"/>
              <w:rPr>
                <w:rFonts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Abbreviations: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METS-VF: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metabolism score for visceral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HR: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Hazard ratios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CI: confidence interval;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Ref: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20"/>
                <w:szCs w:val="20"/>
                <w:lang w:bidi="ar"/>
              </w:rPr>
              <w:t xml:space="preserve">reference;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LDL-C: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low-density lipoprotein cholesterol;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Ua: uric acid.</w:t>
            </w:r>
          </w:p>
        </w:tc>
      </w:tr>
    </w:tbl>
    <w:tbl>
      <w:tblPr>
        <w:tblStyle w:val="2"/>
        <w:tblpPr w:leftFromText="180" w:rightFromText="180" w:vertAnchor="text" w:horzAnchor="page" w:tblpX="1711" w:tblpY="1774"/>
        <w:tblOverlap w:val="never"/>
        <w:tblW w:w="9315" w:type="dxa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5"/>
        <w:gridCol w:w="4780"/>
      </w:tblGrid>
      <w:tr w14:paraId="07AA12B5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55" w:hRule="atLeast"/>
        </w:trPr>
        <w:tc>
          <w:tcPr>
            <w:tcW w:w="5000" w:type="pct"/>
            <w:gridSpan w:val="2"/>
            <w:tcBorders>
              <w:top w:val="nil"/>
              <w:bottom w:val="single" w:color="000000" w:sz="8" w:space="0"/>
            </w:tcBorders>
            <w:noWrap/>
            <w:vAlign w:val="center"/>
          </w:tcPr>
          <w:p w14:paraId="3872875D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Table.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S5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Threshold effect analysis of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for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new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onset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CVD in UKB</w:t>
            </w:r>
          </w:p>
        </w:tc>
      </w:tr>
      <w:tr w14:paraId="7067AA8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434" w:type="pct"/>
            <w:tcBorders>
              <w:top w:val="single" w:color="000000" w:sz="8" w:space="0"/>
              <w:bottom w:val="single" w:color="000000" w:sz="8" w:space="0"/>
            </w:tcBorders>
            <w:noWrap/>
            <w:vAlign w:val="center"/>
          </w:tcPr>
          <w:p w14:paraId="77A92E9A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Variables</w:t>
            </w:r>
          </w:p>
        </w:tc>
        <w:tc>
          <w:tcPr>
            <w:tcW w:w="2565" w:type="pct"/>
            <w:tcBorders>
              <w:top w:val="single" w:color="000000" w:sz="8" w:space="0"/>
              <w:bottom w:val="single" w:color="000000" w:sz="8" w:space="0"/>
            </w:tcBorders>
            <w:noWrap/>
            <w:vAlign w:val="center"/>
          </w:tcPr>
          <w:p w14:paraId="0E4E0BE3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Adjusted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HR (95% CI), P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value</w:t>
            </w:r>
          </w:p>
        </w:tc>
      </w:tr>
      <w:tr w14:paraId="7C3F4099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434" w:type="pct"/>
            <w:tcBorders>
              <w:top w:val="single" w:color="000000" w:sz="8" w:space="0"/>
              <w:bottom w:val="nil"/>
            </w:tcBorders>
            <w:noWrap/>
            <w:vAlign w:val="center"/>
          </w:tcPr>
          <w:p w14:paraId="6F718B84">
            <w:pPr>
              <w:spacing w:after="156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CVD</w:t>
            </w:r>
          </w:p>
        </w:tc>
        <w:tc>
          <w:tcPr>
            <w:tcW w:w="2565" w:type="pct"/>
            <w:tcBorders>
              <w:top w:val="single" w:color="000000" w:sz="8" w:space="0"/>
              <w:bottom w:val="nil"/>
            </w:tcBorders>
            <w:noWrap/>
            <w:vAlign w:val="center"/>
          </w:tcPr>
          <w:p w14:paraId="3C5FD127">
            <w:pPr>
              <w:spacing w:after="156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38E88B2D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34" w:type="pct"/>
            <w:tcBorders>
              <w:top w:val="nil"/>
              <w:bottom w:val="nil"/>
            </w:tcBorders>
            <w:noWrap/>
            <w:vAlign w:val="center"/>
          </w:tcPr>
          <w:p w14:paraId="48681580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Standard 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Line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regression</w:t>
            </w:r>
          </w:p>
        </w:tc>
        <w:tc>
          <w:tcPr>
            <w:tcW w:w="2565" w:type="pct"/>
            <w:tcBorders>
              <w:top w:val="nil"/>
              <w:bottom w:val="nil"/>
            </w:tcBorders>
            <w:noWrap/>
            <w:vAlign w:val="center"/>
          </w:tcPr>
          <w:p w14:paraId="2DFA2C51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64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58-1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71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42391CF5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434" w:type="pct"/>
            <w:tcBorders>
              <w:top w:val="nil"/>
              <w:bottom w:val="nil"/>
            </w:tcBorders>
            <w:noWrap/>
            <w:vAlign w:val="center"/>
          </w:tcPr>
          <w:p w14:paraId="10C00B77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Model2 Two-piece wise linear regression</w:t>
            </w:r>
          </w:p>
        </w:tc>
        <w:tc>
          <w:tcPr>
            <w:tcW w:w="2565" w:type="pct"/>
            <w:tcBorders>
              <w:top w:val="nil"/>
              <w:bottom w:val="nil"/>
            </w:tcBorders>
            <w:noWrap/>
            <w:vAlign w:val="center"/>
          </w:tcPr>
          <w:p w14:paraId="2431E44E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37E0D07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434" w:type="pct"/>
            <w:tcBorders>
              <w:top w:val="nil"/>
              <w:bottom w:val="nil"/>
            </w:tcBorders>
            <w:noWrap/>
            <w:vAlign w:val="center"/>
          </w:tcPr>
          <w:p w14:paraId="1F48858E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Infection point</w:t>
            </w:r>
          </w:p>
        </w:tc>
        <w:tc>
          <w:tcPr>
            <w:tcW w:w="2565" w:type="pct"/>
            <w:tcBorders>
              <w:top w:val="nil"/>
              <w:bottom w:val="nil"/>
            </w:tcBorders>
            <w:noWrap/>
            <w:vAlign w:val="center"/>
          </w:tcPr>
          <w:p w14:paraId="490F36A9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7.285</w:t>
            </w:r>
          </w:p>
        </w:tc>
      </w:tr>
      <w:tr w14:paraId="6DC1C095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434" w:type="pct"/>
            <w:tcBorders>
              <w:top w:val="nil"/>
              <w:bottom w:val="nil"/>
            </w:tcBorders>
            <w:noWrap/>
            <w:vAlign w:val="center"/>
          </w:tcPr>
          <w:p w14:paraId="11EA88A9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7.285</w:t>
            </w:r>
          </w:p>
        </w:tc>
        <w:tc>
          <w:tcPr>
            <w:tcW w:w="2565" w:type="pct"/>
            <w:tcBorders>
              <w:top w:val="nil"/>
              <w:bottom w:val="nil"/>
            </w:tcBorders>
            <w:noWrap/>
            <w:vAlign w:val="center"/>
          </w:tcPr>
          <w:p w14:paraId="1CCB14B5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30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23-2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7B06009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434" w:type="pct"/>
            <w:tcBorders>
              <w:top w:val="nil"/>
              <w:bottom w:val="nil"/>
            </w:tcBorders>
            <w:noWrap/>
            <w:vAlign w:val="center"/>
          </w:tcPr>
          <w:p w14:paraId="3DAEA3FF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≥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7.285</w:t>
            </w:r>
          </w:p>
        </w:tc>
        <w:tc>
          <w:tcPr>
            <w:tcW w:w="2565" w:type="pct"/>
            <w:tcBorders>
              <w:top w:val="nil"/>
              <w:bottom w:val="nil"/>
            </w:tcBorders>
            <w:noWrap/>
            <w:vAlign w:val="center"/>
          </w:tcPr>
          <w:p w14:paraId="72E88E03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2.45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26-2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67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0F01E724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434" w:type="pct"/>
            <w:tcBorders>
              <w:top w:val="nil"/>
              <w:bottom w:val="nil"/>
            </w:tcBorders>
            <w:noWrap/>
            <w:vAlign w:val="center"/>
          </w:tcPr>
          <w:p w14:paraId="0BD39E78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Log-likelihood ratio test</w:t>
            </w:r>
          </w:p>
        </w:tc>
        <w:tc>
          <w:tcPr>
            <w:tcW w:w="2565" w:type="pct"/>
            <w:tcBorders>
              <w:top w:val="nil"/>
              <w:bottom w:val="nil"/>
            </w:tcBorders>
            <w:noWrap/>
            <w:vAlign w:val="center"/>
          </w:tcPr>
          <w:p w14:paraId="14F4C035">
            <w:pPr>
              <w:spacing w:after="156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15835E0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000" w:type="pct"/>
            <w:gridSpan w:val="2"/>
            <w:tcBorders>
              <w:top w:val="nil"/>
            </w:tcBorders>
            <w:noWrap/>
            <w:vAlign w:val="center"/>
          </w:tcPr>
          <w:p w14:paraId="3135BFC5">
            <w:pPr>
              <w:spacing w:after="156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IHD</w:t>
            </w:r>
          </w:p>
        </w:tc>
      </w:tr>
      <w:tr w14:paraId="348DD85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2434" w:type="pct"/>
            <w:noWrap/>
            <w:vAlign w:val="center"/>
          </w:tcPr>
          <w:p w14:paraId="77F0E735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Standard 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Line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regression</w:t>
            </w:r>
          </w:p>
        </w:tc>
        <w:tc>
          <w:tcPr>
            <w:tcW w:w="2565" w:type="pct"/>
            <w:noWrap/>
            <w:vAlign w:val="center"/>
          </w:tcPr>
          <w:p w14:paraId="5C744A5D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36-1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16D28C2D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794F784C">
            <w:pPr>
              <w:widowControl/>
              <w:spacing w:after="156"/>
              <w:jc w:val="left"/>
              <w:textAlignment w:val="center"/>
              <w:rPr>
                <w:rFonts w:hint="eastAsia"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Model2 Two-piece wise linear regression</w:t>
            </w:r>
          </w:p>
        </w:tc>
        <w:tc>
          <w:tcPr>
            <w:tcW w:w="2565" w:type="pct"/>
            <w:noWrap/>
            <w:vAlign w:val="center"/>
          </w:tcPr>
          <w:p w14:paraId="08E6BA30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6AD180A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4A6F173C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Infection point</w:t>
            </w:r>
          </w:p>
        </w:tc>
        <w:tc>
          <w:tcPr>
            <w:tcW w:w="2565" w:type="pct"/>
            <w:noWrap/>
            <w:vAlign w:val="center"/>
          </w:tcPr>
          <w:p w14:paraId="0065F184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7.224</w:t>
            </w:r>
          </w:p>
        </w:tc>
      </w:tr>
      <w:tr w14:paraId="0B4A7BAE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noWrap/>
            <w:vAlign w:val="center"/>
          </w:tcPr>
          <w:p w14:paraId="6AFF8CE3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7.224</w:t>
            </w:r>
          </w:p>
        </w:tc>
        <w:tc>
          <w:tcPr>
            <w:tcW w:w="2565" w:type="pct"/>
            <w:noWrap/>
            <w:vAlign w:val="center"/>
          </w:tcPr>
          <w:p w14:paraId="2A790729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1.19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09-1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4B9244DC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noWrap/>
            <w:vAlign w:val="center"/>
          </w:tcPr>
          <w:p w14:paraId="549CE1EC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≥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7.224</w:t>
            </w:r>
          </w:p>
        </w:tc>
        <w:tc>
          <w:tcPr>
            <w:tcW w:w="2565" w:type="pct"/>
            <w:noWrap/>
            <w:vAlign w:val="center"/>
          </w:tcPr>
          <w:p w14:paraId="4DB80962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1.87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69-2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252A4717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2434" w:type="pct"/>
            <w:noWrap/>
            <w:vAlign w:val="center"/>
          </w:tcPr>
          <w:p w14:paraId="3AB08CAD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Log-likelihood ratio test</w:t>
            </w:r>
          </w:p>
        </w:tc>
        <w:tc>
          <w:tcPr>
            <w:tcW w:w="2565" w:type="pct"/>
            <w:noWrap/>
            <w:vAlign w:val="center"/>
          </w:tcPr>
          <w:p w14:paraId="66ED12F9">
            <w:pPr>
              <w:spacing w:after="156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7967D90A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noWrap/>
            <w:vAlign w:val="center"/>
          </w:tcPr>
          <w:p w14:paraId="57A9727F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Angina</w:t>
            </w:r>
          </w:p>
        </w:tc>
        <w:tc>
          <w:tcPr>
            <w:tcW w:w="2565" w:type="pct"/>
            <w:noWrap/>
            <w:vAlign w:val="center"/>
          </w:tcPr>
          <w:p w14:paraId="5DEFFA69">
            <w:pPr>
              <w:spacing w:after="156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14:paraId="6131EDA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bottom w:val="nil"/>
            </w:tcBorders>
            <w:noWrap/>
            <w:vAlign w:val="center"/>
          </w:tcPr>
          <w:p w14:paraId="07C45C36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Standard 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Line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regression</w:t>
            </w:r>
          </w:p>
        </w:tc>
        <w:tc>
          <w:tcPr>
            <w:tcW w:w="2565" w:type="pct"/>
            <w:tcBorders>
              <w:bottom w:val="nil"/>
            </w:tcBorders>
            <w:noWrap/>
            <w:vAlign w:val="center"/>
          </w:tcPr>
          <w:p w14:paraId="05BAF487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32-1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7A903F5D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top w:val="nil"/>
              <w:bottom w:val="nil"/>
            </w:tcBorders>
            <w:noWrap/>
            <w:vAlign w:val="center"/>
          </w:tcPr>
          <w:p w14:paraId="7FA2CCB1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Model2 Two-piece wise linear regression</w:t>
            </w:r>
          </w:p>
        </w:tc>
        <w:tc>
          <w:tcPr>
            <w:tcW w:w="2565" w:type="pct"/>
            <w:tcBorders>
              <w:top w:val="nil"/>
              <w:bottom w:val="nil"/>
            </w:tcBorders>
            <w:noWrap/>
            <w:vAlign w:val="center"/>
          </w:tcPr>
          <w:p w14:paraId="017BF059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1187747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top w:val="nil"/>
            </w:tcBorders>
            <w:noWrap/>
            <w:vAlign w:val="center"/>
          </w:tcPr>
          <w:p w14:paraId="1DE4286E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Infection point</w:t>
            </w:r>
          </w:p>
        </w:tc>
        <w:tc>
          <w:tcPr>
            <w:tcW w:w="2565" w:type="pct"/>
            <w:tcBorders>
              <w:top w:val="nil"/>
            </w:tcBorders>
            <w:noWrap/>
            <w:vAlign w:val="center"/>
          </w:tcPr>
          <w:p w14:paraId="572FD2E9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7.193</w:t>
            </w:r>
          </w:p>
        </w:tc>
      </w:tr>
      <w:tr w14:paraId="270A71D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noWrap/>
            <w:vAlign w:val="center"/>
          </w:tcPr>
          <w:p w14:paraId="1DAD86D8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7.193</w:t>
            </w:r>
          </w:p>
        </w:tc>
        <w:tc>
          <w:tcPr>
            <w:tcW w:w="2565" w:type="pct"/>
            <w:noWrap/>
            <w:vAlign w:val="center"/>
          </w:tcPr>
          <w:p w14:paraId="58BAE859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24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10-1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5C8BAF85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noWrap/>
            <w:vAlign w:val="center"/>
          </w:tcPr>
          <w:p w14:paraId="28CDE932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≥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7.193</w:t>
            </w:r>
          </w:p>
        </w:tc>
        <w:tc>
          <w:tcPr>
            <w:tcW w:w="2565" w:type="pct"/>
            <w:noWrap/>
            <w:vAlign w:val="center"/>
          </w:tcPr>
          <w:p w14:paraId="35910F59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71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48-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.97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68D41A3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noWrap/>
            <w:vAlign w:val="center"/>
          </w:tcPr>
          <w:p w14:paraId="0BC0633F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Log-likelihood ratio test</w:t>
            </w:r>
          </w:p>
        </w:tc>
        <w:tc>
          <w:tcPr>
            <w:tcW w:w="2565" w:type="pct"/>
            <w:noWrap/>
            <w:vAlign w:val="center"/>
          </w:tcPr>
          <w:p w14:paraId="68C6B4AF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03</w:t>
            </w:r>
          </w:p>
        </w:tc>
      </w:tr>
      <w:tr w14:paraId="137A48AB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34" w:type="pct"/>
            <w:noWrap/>
            <w:vAlign w:val="center"/>
          </w:tcPr>
          <w:p w14:paraId="049F6142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Stroke</w:t>
            </w:r>
          </w:p>
        </w:tc>
        <w:tc>
          <w:tcPr>
            <w:tcW w:w="2565" w:type="pct"/>
            <w:noWrap/>
            <w:vAlign w:val="center"/>
          </w:tcPr>
          <w:p w14:paraId="498E0373">
            <w:pPr>
              <w:spacing w:after="156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14:paraId="153E035A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noWrap/>
            <w:vAlign w:val="center"/>
          </w:tcPr>
          <w:p w14:paraId="4D6F9885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Standard 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Line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regression</w:t>
            </w:r>
          </w:p>
        </w:tc>
        <w:tc>
          <w:tcPr>
            <w:tcW w:w="2565" w:type="pct"/>
            <w:noWrap/>
            <w:vAlign w:val="center"/>
          </w:tcPr>
          <w:p w14:paraId="24C9CD8E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28-1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091AD19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noWrap/>
            <w:vAlign w:val="center"/>
          </w:tcPr>
          <w:p w14:paraId="0B90E4B5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Model2 Two-piece wise linear regression</w:t>
            </w:r>
          </w:p>
        </w:tc>
        <w:tc>
          <w:tcPr>
            <w:tcW w:w="2565" w:type="pct"/>
            <w:noWrap/>
            <w:vAlign w:val="center"/>
          </w:tcPr>
          <w:p w14:paraId="7B9D306F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F05F374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noWrap/>
            <w:vAlign w:val="center"/>
          </w:tcPr>
          <w:p w14:paraId="6900DF6C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Infection point</w:t>
            </w:r>
          </w:p>
        </w:tc>
        <w:tc>
          <w:tcPr>
            <w:tcW w:w="2565" w:type="pct"/>
            <w:noWrap/>
            <w:vAlign w:val="center"/>
          </w:tcPr>
          <w:p w14:paraId="3B4CD7CD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7.213</w:t>
            </w:r>
          </w:p>
        </w:tc>
      </w:tr>
      <w:tr w14:paraId="62B9985E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bottom w:val="nil"/>
            </w:tcBorders>
            <w:noWrap/>
            <w:vAlign w:val="center"/>
          </w:tcPr>
          <w:p w14:paraId="6B7D1BD8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0.652</w:t>
            </w:r>
          </w:p>
        </w:tc>
        <w:tc>
          <w:tcPr>
            <w:tcW w:w="2565" w:type="pct"/>
            <w:tcBorders>
              <w:bottom w:val="nil"/>
            </w:tcBorders>
            <w:noWrap/>
            <w:vAlign w:val="center"/>
          </w:tcPr>
          <w:p w14:paraId="022AD890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21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04-1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0.015</w:t>
            </w:r>
          </w:p>
        </w:tc>
      </w:tr>
      <w:tr w14:paraId="0FC5648E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top w:val="nil"/>
            </w:tcBorders>
            <w:noWrap/>
            <w:vAlign w:val="center"/>
          </w:tcPr>
          <w:p w14:paraId="78BC4A7F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≥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0.652</w:t>
            </w:r>
          </w:p>
        </w:tc>
        <w:tc>
          <w:tcPr>
            <w:tcW w:w="2565" w:type="pct"/>
            <w:tcBorders>
              <w:top w:val="nil"/>
            </w:tcBorders>
            <w:noWrap/>
            <w:vAlign w:val="center"/>
          </w:tcPr>
          <w:p w14:paraId="4B9A1E42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1.79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46-2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2A642AF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bottom w:val="nil"/>
            </w:tcBorders>
            <w:noWrap/>
            <w:vAlign w:val="center"/>
          </w:tcPr>
          <w:p w14:paraId="70238882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Log-likelihood ratio test</w:t>
            </w:r>
          </w:p>
        </w:tc>
        <w:tc>
          <w:tcPr>
            <w:tcW w:w="2565" w:type="pct"/>
            <w:tcBorders>
              <w:bottom w:val="nil"/>
            </w:tcBorders>
            <w:noWrap/>
            <w:vAlign w:val="center"/>
          </w:tcPr>
          <w:p w14:paraId="5C9D623F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14:paraId="15E95475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top w:val="nil"/>
            </w:tcBorders>
            <w:shd w:val="clear" w:color="auto" w:fill="auto"/>
            <w:noWrap/>
            <w:vAlign w:val="center"/>
          </w:tcPr>
          <w:p w14:paraId="673F67C9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ISS</w:t>
            </w:r>
          </w:p>
        </w:tc>
        <w:tc>
          <w:tcPr>
            <w:tcW w:w="2565" w:type="pct"/>
            <w:tcBorders>
              <w:top w:val="nil"/>
            </w:tcBorders>
            <w:shd w:val="clear" w:color="auto" w:fill="auto"/>
            <w:noWrap/>
            <w:vAlign w:val="center"/>
          </w:tcPr>
          <w:p w14:paraId="77948EB4">
            <w:pPr>
              <w:spacing w:after="156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14:paraId="24A1846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43E61758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Standard 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Line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regression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4953ECE8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32-1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67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3473F8F8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4D1D8083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Model2 Two-piece wise linear regression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093EA10E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53D9A0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0491B0E2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Infection point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5D89B0A2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7.225</w:t>
            </w:r>
          </w:p>
        </w:tc>
      </w:tr>
      <w:tr w14:paraId="3CBD8A0D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099DEA4C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7.225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087E0CC3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24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05-1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14:paraId="29D1C4F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45C3C8C4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≥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7.225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3A46BCBB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1.91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54-2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38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7557C9C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0A1FD115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Log-likelihood ratio test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472FF75B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14:paraId="72536BFA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61E4B2B9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hemorrhagic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stroke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37DEC1C5">
            <w:pPr>
              <w:spacing w:after="156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14:paraId="747FCC2C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0D5CBA61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Standard 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Line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regression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2FE1E0A9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1.21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97-1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14:paraId="3903B75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7C5D29FA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Model2 Two-piece wise linear regression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512C84B9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59483E9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3297A86B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Infection point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47FA7DAB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6.928</w:t>
            </w:r>
          </w:p>
        </w:tc>
      </w:tr>
      <w:tr w14:paraId="617EA76D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noWrap/>
            <w:vAlign w:val="center"/>
          </w:tcPr>
          <w:p w14:paraId="161303B8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6.928</w:t>
            </w:r>
          </w:p>
        </w:tc>
        <w:tc>
          <w:tcPr>
            <w:tcW w:w="2565" w:type="pct"/>
            <w:shd w:val="clear" w:color="auto" w:fill="auto"/>
            <w:noWrap/>
            <w:vAlign w:val="center"/>
          </w:tcPr>
          <w:p w14:paraId="32F844EA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85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57-1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413</w:t>
            </w:r>
          </w:p>
        </w:tc>
      </w:tr>
      <w:tr w14:paraId="035FF50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02741F4A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≥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6.928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4A612229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1.56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12-2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009</w:t>
            </w:r>
          </w:p>
        </w:tc>
      </w:tr>
      <w:tr w14:paraId="5EFADDA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1116621F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Log-likelihood ratio test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40659CC1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14:paraId="25E29CC3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598B759D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AF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3DAF3977">
            <w:pPr>
              <w:spacing w:after="156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14:paraId="2A7EE992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4F15223D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Standard 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Line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regression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6033551A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2.18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04-2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06C65B20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7873F9BF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Model2 Two-piece wise linear regression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18B6EF2D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C238959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3EFA92B6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Infection point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3901CD46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7.361</w:t>
            </w:r>
          </w:p>
        </w:tc>
      </w:tr>
      <w:tr w14:paraId="439ADB57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69F60A84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7.361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2EEADFE2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60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46-1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74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64C1ABB4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bottom w:val="nil"/>
            </w:tcBorders>
            <w:shd w:val="clear" w:color="auto" w:fill="auto"/>
            <w:vAlign w:val="center"/>
          </w:tcPr>
          <w:p w14:paraId="77DC2EEA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≥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7.361</w:t>
            </w:r>
          </w:p>
        </w:tc>
        <w:tc>
          <w:tcPr>
            <w:tcW w:w="2565" w:type="pct"/>
            <w:tcBorders>
              <w:bottom w:val="nil"/>
            </w:tcBorders>
            <w:shd w:val="clear" w:color="auto" w:fill="auto"/>
            <w:vAlign w:val="center"/>
          </w:tcPr>
          <w:p w14:paraId="591B56C8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3.99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48-4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59FEFD50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EBEDEC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Log-likelihood ratio test</w:t>
            </w:r>
          </w:p>
        </w:tc>
        <w:tc>
          <w:tcPr>
            <w:tcW w:w="256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50B5F3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0A6559D7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top w:val="nil"/>
            </w:tcBorders>
            <w:shd w:val="clear" w:color="auto" w:fill="auto"/>
            <w:vAlign w:val="center"/>
          </w:tcPr>
          <w:p w14:paraId="2071481A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HF</w:t>
            </w:r>
          </w:p>
        </w:tc>
        <w:tc>
          <w:tcPr>
            <w:tcW w:w="2565" w:type="pct"/>
            <w:tcBorders>
              <w:top w:val="nil"/>
            </w:tcBorders>
            <w:shd w:val="clear" w:color="auto" w:fill="auto"/>
            <w:vAlign w:val="center"/>
          </w:tcPr>
          <w:p w14:paraId="3C9FB704">
            <w:pPr>
              <w:spacing w:after="156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14:paraId="34D77FD0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68382B10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Standard 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Line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regression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0EE944D0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80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55-3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6C03069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717E7C8D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Model2 Two-piece wise linear regression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0CF81ED2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6A16DD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26A5B301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Infection point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524D6165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7.440</w:t>
            </w:r>
          </w:p>
        </w:tc>
      </w:tr>
      <w:tr w14:paraId="2127DC9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1E7D6594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7.440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4A57BD23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1.89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68-2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4BC77A9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shd w:val="clear" w:color="auto" w:fill="auto"/>
            <w:vAlign w:val="center"/>
          </w:tcPr>
          <w:p w14:paraId="20FDED4D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≥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7.440</w:t>
            </w:r>
          </w:p>
        </w:tc>
        <w:tc>
          <w:tcPr>
            <w:tcW w:w="2565" w:type="pct"/>
            <w:shd w:val="clear" w:color="auto" w:fill="auto"/>
            <w:vAlign w:val="center"/>
          </w:tcPr>
          <w:p w14:paraId="035E3C84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6.99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69-8.57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6415789B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4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18737FBA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Log-likelihood ratio test</w:t>
            </w:r>
          </w:p>
        </w:tc>
        <w:tc>
          <w:tcPr>
            <w:tcW w:w="2565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216FFAB7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3450F98E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2"/>
            <w:tcBorders>
              <w:top w:val="single" w:color="000000" w:sz="8" w:space="0"/>
              <w:bottom w:val="nil"/>
            </w:tcBorders>
            <w:shd w:val="clear" w:color="auto" w:fill="auto"/>
            <w:vAlign w:val="center"/>
          </w:tcPr>
          <w:p w14:paraId="4869D806">
            <w:pPr>
              <w:spacing w:after="156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Abbreviations: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METS-VF: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metabolism score for visceral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HR: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Hazard ratios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CI: confidence interval;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Ref: reference;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LDL-C: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low-density lipoprotein cholesterol;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Ua: uric acid.</w:t>
            </w:r>
          </w:p>
        </w:tc>
      </w:tr>
    </w:tbl>
    <w:p w14:paraId="3BDA2038"/>
    <w:tbl>
      <w:tblPr>
        <w:tblStyle w:val="2"/>
        <w:tblpPr w:leftFromText="180" w:rightFromText="180" w:vertAnchor="text" w:horzAnchor="page" w:tblpX="1529" w:tblpY="669"/>
        <w:tblOverlap w:val="never"/>
        <w:tblW w:w="5478" w:type="pct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4"/>
        <w:gridCol w:w="4803"/>
      </w:tblGrid>
      <w:tr w14:paraId="5D4F6EA9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5000" w:type="pct"/>
            <w:gridSpan w:val="2"/>
            <w:tcBorders>
              <w:bottom w:val="single" w:color="000000" w:sz="8" w:space="0"/>
            </w:tcBorders>
            <w:noWrap/>
            <w:vAlign w:val="center"/>
          </w:tcPr>
          <w:p w14:paraId="5E437795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Table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S6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Threshold effect analysis of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for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new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onset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CVD in CHARLS</w:t>
            </w:r>
          </w:p>
        </w:tc>
      </w:tr>
      <w:tr w14:paraId="51CBD7DA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427" w:type="pct"/>
            <w:tcBorders>
              <w:top w:val="single" w:color="000000" w:sz="8" w:space="0"/>
              <w:bottom w:val="single" w:color="000000" w:sz="8" w:space="0"/>
            </w:tcBorders>
            <w:noWrap/>
            <w:vAlign w:val="center"/>
          </w:tcPr>
          <w:p w14:paraId="4B5539F0">
            <w:pPr>
              <w:widowControl/>
              <w:spacing w:after="156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Variables</w:t>
            </w:r>
          </w:p>
        </w:tc>
        <w:tc>
          <w:tcPr>
            <w:tcW w:w="2572" w:type="pct"/>
            <w:tcBorders>
              <w:top w:val="single" w:color="000000" w:sz="8" w:space="0"/>
              <w:bottom w:val="single" w:color="000000" w:sz="8" w:space="0"/>
            </w:tcBorders>
            <w:noWrap/>
            <w:vAlign w:val="center"/>
          </w:tcPr>
          <w:p w14:paraId="1F9C7F49">
            <w:pPr>
              <w:widowControl/>
              <w:spacing w:after="156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Adjusted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HR (95% CI), P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value</w:t>
            </w:r>
          </w:p>
        </w:tc>
      </w:tr>
      <w:tr w14:paraId="00DED435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27" w:type="pct"/>
            <w:tcBorders>
              <w:top w:val="single" w:color="000000" w:sz="8" w:space="0"/>
            </w:tcBorders>
            <w:noWrap/>
            <w:vAlign w:val="center"/>
          </w:tcPr>
          <w:p w14:paraId="1424B937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Stroke</w:t>
            </w:r>
          </w:p>
        </w:tc>
        <w:tc>
          <w:tcPr>
            <w:tcW w:w="2572" w:type="pct"/>
            <w:tcBorders>
              <w:top w:val="single" w:color="000000" w:sz="8" w:space="0"/>
            </w:tcBorders>
            <w:noWrap/>
            <w:vAlign w:val="center"/>
          </w:tcPr>
          <w:p w14:paraId="5FE21F7C">
            <w:pPr>
              <w:spacing w:after="156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14:paraId="7E209583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7" w:type="pct"/>
            <w:noWrap/>
            <w:vAlign w:val="center"/>
          </w:tcPr>
          <w:p w14:paraId="7F7FA7E7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Standard 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Line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regression</w:t>
            </w:r>
          </w:p>
        </w:tc>
        <w:tc>
          <w:tcPr>
            <w:tcW w:w="2572" w:type="pct"/>
            <w:noWrap/>
            <w:vAlign w:val="center"/>
          </w:tcPr>
          <w:p w14:paraId="5F594107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29-3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0.002</w:t>
            </w:r>
          </w:p>
        </w:tc>
      </w:tr>
      <w:tr w14:paraId="335E2D9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7" w:type="pct"/>
            <w:noWrap/>
            <w:vAlign w:val="center"/>
          </w:tcPr>
          <w:p w14:paraId="4314B8FA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Model2 Two-piece wise linear regression</w:t>
            </w:r>
          </w:p>
        </w:tc>
        <w:tc>
          <w:tcPr>
            <w:tcW w:w="2572" w:type="pct"/>
            <w:noWrap/>
            <w:vAlign w:val="center"/>
          </w:tcPr>
          <w:p w14:paraId="0D09285D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B472232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7" w:type="pct"/>
            <w:noWrap/>
            <w:vAlign w:val="center"/>
          </w:tcPr>
          <w:p w14:paraId="3F079701">
            <w:pPr>
              <w:widowControl/>
              <w:spacing w:after="156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Infection point</w:t>
            </w:r>
          </w:p>
        </w:tc>
        <w:tc>
          <w:tcPr>
            <w:tcW w:w="2572" w:type="pct"/>
            <w:noWrap/>
            <w:vAlign w:val="center"/>
          </w:tcPr>
          <w:p w14:paraId="2138CE18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7.068</w:t>
            </w:r>
          </w:p>
        </w:tc>
      </w:tr>
      <w:tr w14:paraId="787DF693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7" w:type="pct"/>
            <w:noWrap/>
            <w:vAlign w:val="center"/>
          </w:tcPr>
          <w:p w14:paraId="12F7A9D7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7.068</w:t>
            </w:r>
          </w:p>
        </w:tc>
        <w:tc>
          <w:tcPr>
            <w:tcW w:w="2572" w:type="pct"/>
            <w:noWrap/>
            <w:vAlign w:val="center"/>
          </w:tcPr>
          <w:p w14:paraId="423B5022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14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63-2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0.653</w:t>
            </w:r>
          </w:p>
        </w:tc>
      </w:tr>
      <w:tr w14:paraId="3D8ADF00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7" w:type="pct"/>
            <w:noWrap/>
            <w:vAlign w:val="center"/>
          </w:tcPr>
          <w:p w14:paraId="13695785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METS-VF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≥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7.068</w:t>
            </w:r>
          </w:p>
        </w:tc>
        <w:tc>
          <w:tcPr>
            <w:tcW w:w="2572" w:type="pct"/>
            <w:noWrap/>
            <w:vAlign w:val="center"/>
          </w:tcPr>
          <w:p w14:paraId="4B4F555E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 xml:space="preserve">5.54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51-12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,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P&lt;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026E8E77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7" w:type="pct"/>
            <w:tcBorders>
              <w:bottom w:val="single" w:color="000000" w:sz="8" w:space="0"/>
            </w:tcBorders>
            <w:noWrap/>
            <w:vAlign w:val="center"/>
          </w:tcPr>
          <w:p w14:paraId="1399D367">
            <w:pPr>
              <w:widowControl/>
              <w:spacing w:after="156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Log-likelihood ratio test</w:t>
            </w:r>
          </w:p>
        </w:tc>
        <w:tc>
          <w:tcPr>
            <w:tcW w:w="2572" w:type="pct"/>
            <w:tcBorders>
              <w:bottom w:val="single" w:color="000000" w:sz="8" w:space="0"/>
            </w:tcBorders>
            <w:noWrap/>
            <w:vAlign w:val="center"/>
          </w:tcPr>
          <w:p w14:paraId="0F4FC613">
            <w:pPr>
              <w:spacing w:after="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14:paraId="74021ABB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2"/>
            <w:tcBorders>
              <w:top w:val="single" w:color="000000" w:sz="8" w:space="0"/>
              <w:bottom w:val="nil"/>
            </w:tcBorders>
            <w:noWrap/>
            <w:vAlign w:val="center"/>
          </w:tcPr>
          <w:p w14:paraId="5334EF46">
            <w:pPr>
              <w:spacing w:after="156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Abbreviations: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METS-VF: 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metabolism score for visceral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CVD: c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ardiovascular disease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; HR:</w:t>
            </w:r>
            <w:r>
              <w:rPr>
                <w:rFonts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Hazard ratios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CI: confidence interval</w:t>
            </w:r>
            <w:r>
              <w:rPr>
                <w:rFonts w:hint="eastAsia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 xml:space="preserve">.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IHD: ischemic heart disease; MI: myocardial infarction; ISS: ischaemic stroke; AF: atrial fibrillation; HF: heart failure</w:t>
            </w:r>
          </w:p>
        </w:tc>
      </w:tr>
    </w:tbl>
    <w:p w14:paraId="233F1429"/>
    <w:p w14:paraId="3B82C4BB"/>
    <w:tbl>
      <w:tblPr>
        <w:tblStyle w:val="2"/>
        <w:tblW w:w="9305" w:type="dxa"/>
        <w:tblInd w:w="-26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1536"/>
        <w:gridCol w:w="1393"/>
        <w:gridCol w:w="2686"/>
        <w:gridCol w:w="1791"/>
      </w:tblGrid>
      <w:tr w14:paraId="438EC738">
        <w:trPr>
          <w:trHeight w:val="288" w:hRule="atLeast"/>
        </w:trPr>
        <w:tc>
          <w:tcPr>
            <w:tcW w:w="9305" w:type="dxa"/>
            <w:gridSpan w:val="5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7184BEF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Table 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S7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Joint association of METS-VF and PRS with new on-set CVD in UKB </w:t>
            </w:r>
          </w:p>
        </w:tc>
      </w:tr>
      <w:tr w14:paraId="7798F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7048D1E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153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312785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Genetic risk</w:t>
            </w:r>
          </w:p>
        </w:tc>
        <w:tc>
          <w:tcPr>
            <w:tcW w:w="139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0B13E7E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METS-VF</w:t>
            </w:r>
          </w:p>
        </w:tc>
        <w:tc>
          <w:tcPr>
            <w:tcW w:w="268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A6C24C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HR (95%CI)</w:t>
            </w:r>
          </w:p>
        </w:tc>
        <w:tc>
          <w:tcPr>
            <w:tcW w:w="179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9AEEF1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 value</w:t>
            </w:r>
          </w:p>
        </w:tc>
      </w:tr>
      <w:tr w14:paraId="76D159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89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2108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CVD</w:t>
            </w:r>
          </w:p>
        </w:tc>
        <w:tc>
          <w:tcPr>
            <w:tcW w:w="153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54F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DA48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06DE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Ref</w:t>
            </w:r>
          </w:p>
        </w:tc>
        <w:tc>
          <w:tcPr>
            <w:tcW w:w="179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CC4B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3E750F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0FD0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06E5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60B2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35D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1.10 (0.98-1.23)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62D1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0.108</w:t>
            </w:r>
          </w:p>
        </w:tc>
      </w:tr>
      <w:tr w14:paraId="212CAF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55D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688A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FD50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FEA2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1.25 (1.12-1.39)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6D27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C6854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1D1F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94D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24C5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D434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1.78 (1.61-1.97)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3062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64A6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B36C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02B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2557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129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1.20 (1.09-1.32)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CA23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67BE4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3E59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54ED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FA94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3ECF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1.37 (1.25-1.51)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FB3E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BFD8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C402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7BE0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FFDF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DAC4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1.58 (1.44-1.73)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7E77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1C5EC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5793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F292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0A41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789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1.99 (1.82-2.18)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CD7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63817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571C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A28D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39E7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46B0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1.52 (1.37-1.69)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4989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116F73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AE8E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1BD0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F956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EE0E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1.87 (1.69-2.07)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9E98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B84AD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3DF8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86B4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2A2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747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1.89 (1.70-2.09)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0408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2867C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DBC9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01F5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62BC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3BB4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2.36 (2.14-2.61)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BE89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1ED967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96FA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IHD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6E60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FAF8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0622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Ref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C9ABF">
            <w:pPr>
              <w:spacing w:after="156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4C27DE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5F4E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5814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4B51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44D7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1.00 (0.84-1.19)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D3A2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0.979</w:t>
            </w:r>
          </w:p>
        </w:tc>
      </w:tr>
      <w:tr w14:paraId="2B344E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7B5FC6E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4C9A162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69E0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FCEF3C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1.13 (0.96-1.34)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0DD7555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0.142</w:t>
            </w:r>
          </w:p>
        </w:tc>
      </w:tr>
      <w:tr w14:paraId="74DF8A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117C309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6974969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CDE92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2A40A0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1.62 (1.39-1.89)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43AE7F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74523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0421BC4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9FE30E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FEBA07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61A7E5B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1.40 (1.21-1.62)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BEB3B4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9EB70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329292C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436041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5C1862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35296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1.60 (1.39-2.06)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2E1B54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49189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FE0F33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4119AD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9E8FE8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652FD5E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1.79 (1.55-2.61)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152FC0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417B5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01E23AA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475098D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85464C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4E7918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2.16 (1.88-2.48)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92BEB0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70CA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899" w:type="dxa"/>
            <w:shd w:val="clear" w:color="auto" w:fill="auto"/>
            <w:vAlign w:val="center"/>
          </w:tcPr>
          <w:p w14:paraId="6E8926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941C52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8EB1F9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13F7FC4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2.32 (1.99-2.70)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328924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BF744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22F53E8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78937E2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189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6257A59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2.56 (2.20-2.97)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D8F0B7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10EB1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5A4D3C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588C411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9D5E96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BB6DF8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2.66 (2.29-3.09)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F2F36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4341B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6C646FB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0BEE55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AE1155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C7494D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3.05 (2.63-3.53)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B913A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63AE8A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899" w:type="dxa"/>
            <w:shd w:val="clear" w:color="auto" w:fill="auto"/>
            <w:vAlign w:val="center"/>
          </w:tcPr>
          <w:p w14:paraId="18E8EDE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Angina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2CE43EA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E32B22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6A8E8D5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Ref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54F7BE8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49A646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112A8EE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D1D991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787BE8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C9245D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1.07 (0.84-1.36)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2738BD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0.574</w:t>
            </w:r>
          </w:p>
        </w:tc>
      </w:tr>
      <w:tr w14:paraId="2D69A4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2A04AEB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59E4146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69399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1E56BF0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1.11 (0.88-1.39)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DA2E6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0.389</w:t>
            </w:r>
          </w:p>
        </w:tc>
      </w:tr>
      <w:tr w14:paraId="03FB55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5A83EB8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E08DBC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72619B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883CD1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1.42 (1.14-1.77)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5C1302C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0.002</w:t>
            </w:r>
          </w:p>
        </w:tc>
      </w:tr>
      <w:tr w14:paraId="0DEE7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BD0DF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4A5BB1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FB4C63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12014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1.40 (1.16-1.70)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85A6D5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14:paraId="4F53E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6F34010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03D783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94BD77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9DF6C3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1.56 (1.29-1.89)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16055E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ADBD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0F0E1B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1522F89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201FAF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5CB9AE7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1.85 (1.53-2.24)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60EF59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6471D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5E94D76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6A835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3D56AC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1341EF2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2.14 (1.77-2.59)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5AF565F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105E7E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7575F6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B11B5F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64F06D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43CE1E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2.26 (1.84-2.78)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5188AFB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463341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899" w:type="dxa"/>
            <w:shd w:val="clear" w:color="auto" w:fill="auto"/>
            <w:vAlign w:val="center"/>
          </w:tcPr>
          <w:p w14:paraId="4DD4DE5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5778BA4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08CBCD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4C8186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2.60 (2.13-3.19)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63C935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EC0F4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F8CA3C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6FBFA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58E283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5E88714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2.71 (2.21-3.31)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6B2E4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E1562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2C787A4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37F39F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C54CB5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7B109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3.04 (2.49-3.72)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26332C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651478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2CDD3C2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MI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519167A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4300E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6204C05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Ref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081C9D71">
            <w:pPr>
              <w:spacing w:after="156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15F763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64E9F30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EA5A3C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E0C439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2C75027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1.31 (0.95-1.81)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5DFD001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0.097</w:t>
            </w:r>
          </w:p>
        </w:tc>
      </w:tr>
      <w:tr w14:paraId="237451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7171165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169BBF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F69BB0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0FACE4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1.31 (0.96-1.79) 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17777C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0.094</w:t>
            </w:r>
          </w:p>
        </w:tc>
      </w:tr>
      <w:tr w14:paraId="5DAF02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157411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C72876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61270A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DAC615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1.62 (1.20-2.19)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B86305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0.002</w:t>
            </w:r>
          </w:p>
        </w:tc>
      </w:tr>
      <w:tr w14:paraId="47DD96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310C837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424A447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E10CB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6E63879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1.76 (1.35-2.30) 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B6F05F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F1111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77D174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21C7B3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F1D5B1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4B9A98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2.03 (1.56-2.65)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0B7427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10417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64AF32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D2044D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50245D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35132E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2.52 (1.94-3.27)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AA2A43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73158C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318DB3A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6210A3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C83431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1AE4FA6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3.20 (2.47-4.15)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D31635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824C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3C94881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176F93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69BCA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567D2C6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3.06 (2.32-4.04)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D26E32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27BB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28A816C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CCC685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3669A4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D8B3ED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3.73 (2.84-4.90)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43FD0F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6FAC36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3EFAED3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14C50D0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DA88B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297874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4.32 (3.29-5.67)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4F2C24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0184E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3BB3415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CE8F2D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0D64A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E83F40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4.43 (3.38-5.82)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4FA091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B3563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60D6787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ISS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109156C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0D211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692FD09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Ref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E26BE3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0B0C8B09">
        <w:trPr>
          <w:trHeight w:val="286" w:hRule="atLeast"/>
        </w:trPr>
        <w:tc>
          <w:tcPr>
            <w:tcW w:w="1899" w:type="dxa"/>
            <w:shd w:val="clear" w:color="auto" w:fill="auto"/>
            <w:vAlign w:val="center"/>
          </w:tcPr>
          <w:p w14:paraId="33947D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6ADE362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678F99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5BA2B0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1.04 (0.75-1.43)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415A9FA">
            <w:pPr>
              <w:spacing w:after="156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2F3A6A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10A19E7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668F67C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0B124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137F44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0.92 (0.66-1.27)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546CD6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0.832</w:t>
            </w:r>
          </w:p>
        </w:tc>
      </w:tr>
      <w:tr w14:paraId="79767A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0CF2D22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3EB859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FC75A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3E9FE7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1.53 (1.14-2.05)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743C81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0.611</w:t>
            </w:r>
          </w:p>
        </w:tc>
      </w:tr>
      <w:tr w14:paraId="231DB0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12268A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1692C9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E3A510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2EEFEE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1.25 (0.96-1.63)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84FB8C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0.005</w:t>
            </w:r>
          </w:p>
        </w:tc>
      </w:tr>
      <w:tr w14:paraId="2A3A3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5A6CF33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3B5BAF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E748B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49647E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1.43 (1.11-1.85)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17A2A9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0.096</w:t>
            </w:r>
          </w:p>
        </w:tc>
      </w:tr>
      <w:tr w14:paraId="522826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F82B47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AF4DDF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B3DF96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CAB86E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1.46 (1.13-1.89)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12ECAD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0.007</w:t>
            </w:r>
          </w:p>
        </w:tc>
      </w:tr>
      <w:tr w14:paraId="2AA05A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4BFB6A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344556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1E0AA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58699EA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1.78 (1.38-2.31)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928C11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0.004</w:t>
            </w:r>
          </w:p>
        </w:tc>
      </w:tr>
      <w:tr w14:paraId="5E21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899" w:type="dxa"/>
            <w:shd w:val="clear" w:color="auto" w:fill="auto"/>
            <w:vAlign w:val="center"/>
          </w:tcPr>
          <w:p w14:paraId="4C69802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563265C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2BA28F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00EBBE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1.77 (1.32-2.36)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E3716B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E13A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74F54A4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86AACF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214BDF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1762126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1.90 (1.43-2.52)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F5477C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E518B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792FEF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16F0163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D87CAD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2A6A10B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2.07 (1.56-2.73)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5EA7773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5E877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668BCF9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DD5A1C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A19B44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39D19B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2.34 (1.77-3.07)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41343C9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32254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899" w:type="dxa"/>
            <w:shd w:val="clear" w:color="auto" w:fill="auto"/>
            <w:vAlign w:val="center"/>
          </w:tcPr>
          <w:p w14:paraId="5E21752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AF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2A36965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619C7A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E2C549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Ref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CF62BC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763C5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899" w:type="dxa"/>
            <w:shd w:val="clear" w:color="auto" w:fill="auto"/>
            <w:vAlign w:val="center"/>
          </w:tcPr>
          <w:p w14:paraId="615D919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0B00DE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84E3A0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ABF46A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1.27 (1.01-1.59)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7EE087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0.039</w:t>
            </w:r>
          </w:p>
        </w:tc>
      </w:tr>
      <w:tr w14:paraId="392A80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37627C2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933154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CA720B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0CA5F00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1.41 (1.14-1.75)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444ECE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0.002</w:t>
            </w:r>
          </w:p>
        </w:tc>
      </w:tr>
      <w:tr w14:paraId="24071E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D6FA6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43F17EB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0872B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2F7C163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2.34 (1.92-2.85)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C76585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375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899" w:type="dxa"/>
            <w:shd w:val="clear" w:color="auto" w:fill="auto"/>
            <w:vAlign w:val="center"/>
          </w:tcPr>
          <w:p w14:paraId="6B14222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64E58EC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68AB82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253568E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1.88 (1.56-2.26)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85A4B9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9BE28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33CE67F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40606B3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93C8B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44B2C5B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2.27 (1.89-2.72)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56E5DE1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4EE5C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7DB52C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5FF2AF0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198FDC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5EAF39C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2.58 (2.15-3.09)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E5CCA0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477E20FB"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348CB3A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B7F6F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2B56F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77A1292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3.81 (3.18-4.56)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88C72E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61B3C4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253DDD5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3427F9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626123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468A944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3.41 (2.81-4.14)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593861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009A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0BDED86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19FC388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86EA52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Q2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1079D60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4.16 (3.44-5.03)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5E9A11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2A55C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shd w:val="clear" w:color="auto" w:fill="auto"/>
            <w:vAlign w:val="center"/>
          </w:tcPr>
          <w:p w14:paraId="42BEE51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FE7132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7A6B25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Q3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6CAE3FA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5.06 (4.20-6.09) 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449B6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01B965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99" w:type="dxa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15FC7AA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1C27DCE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393" w:type="dxa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725782E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Q4</w:t>
            </w:r>
          </w:p>
        </w:tc>
        <w:tc>
          <w:tcPr>
            <w:tcW w:w="2686" w:type="dxa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5A02713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 xml:space="preserve">6.72 (5.59-8.07) </w:t>
            </w:r>
          </w:p>
        </w:tc>
        <w:tc>
          <w:tcPr>
            <w:tcW w:w="1791" w:type="dxa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721E09C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14:paraId="3D3D8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9305" w:type="dxa"/>
            <w:gridSpan w:val="5"/>
            <w:tcBorders>
              <w:top w:val="single" w:color="000000" w:sz="8" w:space="0"/>
              <w:bottom w:val="nil"/>
            </w:tcBorders>
            <w:shd w:val="clear" w:color="auto" w:fill="auto"/>
            <w:vAlign w:val="center"/>
          </w:tcPr>
          <w:p w14:paraId="4C8B3C3C">
            <w:pPr>
              <w:widowControl/>
              <w:snapToGrid/>
              <w:spacing w:after="0" w:afterLines="0" w:line="240" w:lineRule="auto"/>
              <w:jc w:val="both"/>
              <w:textAlignment w:val="center"/>
              <w:rPr>
                <w:rFonts w:hint="default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Adjusted for age, gender, race, education, smoking, alcohol consumption, moderated physical activity, hypertention, diabetes, LDL, Ua and HbA1c. </w:t>
            </w:r>
            <w:r>
              <w:rPr>
                <w:rFonts w:hint="default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Abbreviations: METS-VF: metabolism score for visceral; CVD: cardiovascular disease;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PRS: polygenic risk score; HR: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MyriadPro-Regular" w:cs="Times New Roman"/>
                <w:color w:val="000000"/>
                <w:kern w:val="0"/>
                <w:sz w:val="18"/>
                <w:szCs w:val="18"/>
                <w:lang w:bidi="ar"/>
              </w:rPr>
              <w:t>Hazard ratios; CI: confidence interval; Ref: reference; IHD: ischemic heart disease; MI: myocardial infarction; ISS: ischaemic stroke; AF: atrial fibrillation.</w:t>
            </w:r>
          </w:p>
        </w:tc>
      </w:tr>
    </w:tbl>
    <w:p w14:paraId="06779BA9"/>
    <w:p w14:paraId="53EA340F"/>
    <w:p w14:paraId="6E80399E"/>
    <w:p w14:paraId="2355766E"/>
    <w:p w14:paraId="63FA1801"/>
    <w:p w14:paraId="3E6418A5"/>
    <w:p w14:paraId="0E11489C"/>
    <w:p w14:paraId="5BBD438D"/>
    <w:p w14:paraId="7D97E534"/>
    <w:p w14:paraId="6ED7632F"/>
    <w:p w14:paraId="7C3C0900"/>
    <w:p w14:paraId="404BCE2E"/>
    <w:p w14:paraId="57567E4E"/>
    <w:p w14:paraId="0E200978"/>
    <w:p w14:paraId="240FA096"/>
    <w:p w14:paraId="104D8993"/>
    <w:p w14:paraId="354CDC11"/>
    <w:p w14:paraId="222E4F81"/>
    <w:p w14:paraId="5BCEBE72"/>
    <w:p w14:paraId="33045A4A"/>
    <w:p w14:paraId="3AF6EECD"/>
    <w:tbl>
      <w:tblPr>
        <w:tblStyle w:val="3"/>
        <w:tblW w:w="9305" w:type="dxa"/>
        <w:tblInd w:w="-2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8"/>
        <w:gridCol w:w="1930"/>
        <w:gridCol w:w="1197"/>
        <w:gridCol w:w="1948"/>
        <w:gridCol w:w="1172"/>
      </w:tblGrid>
      <w:tr w14:paraId="4762C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9305" w:type="dxa"/>
            <w:gridSpan w:val="5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22FAE6B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 xml:space="preserve">Table S8 The predictive ability of METS-VF for the risk of new-onset CVD </w:t>
            </w:r>
          </w:p>
        </w:tc>
      </w:tr>
      <w:tr w14:paraId="23C68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305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vAlign w:val="center"/>
          </w:tcPr>
          <w:p w14:paraId="11D97FA2">
            <w:pPr>
              <w:widowControl/>
              <w:snapToGrid/>
              <w:spacing w:after="0" w:afterLines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Variables</w:t>
            </w:r>
          </w:p>
        </w:tc>
        <w:tc>
          <w:tcPr>
            <w:tcW w:w="193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vAlign w:val="center"/>
          </w:tcPr>
          <w:p w14:paraId="4D2330F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NRI (95% CI)</w:t>
            </w:r>
          </w:p>
        </w:tc>
        <w:tc>
          <w:tcPr>
            <w:tcW w:w="119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vAlign w:val="center"/>
          </w:tcPr>
          <w:p w14:paraId="356A75D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en-US" w:eastAsia="zh-CN"/>
              </w:rPr>
              <w:t xml:space="preserve">P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value</w:t>
            </w:r>
          </w:p>
        </w:tc>
        <w:tc>
          <w:tcPr>
            <w:tcW w:w="194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vAlign w:val="center"/>
          </w:tcPr>
          <w:p w14:paraId="77B0CB9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IDI (95% CI)</w:t>
            </w:r>
          </w:p>
        </w:tc>
        <w:tc>
          <w:tcPr>
            <w:tcW w:w="1172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vAlign w:val="center"/>
          </w:tcPr>
          <w:p w14:paraId="2BFCCD6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 xml:space="preserve"> value</w:t>
            </w:r>
          </w:p>
        </w:tc>
      </w:tr>
      <w:tr w14:paraId="03AC2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single" w:color="000000" w:sz="8" w:space="0"/>
              <w:left w:val="nil"/>
              <w:bottom w:val="nil"/>
              <w:right w:val="nil"/>
            </w:tcBorders>
          </w:tcPr>
          <w:p w14:paraId="107902A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UK biobank</w:t>
            </w:r>
          </w:p>
        </w:tc>
        <w:tc>
          <w:tcPr>
            <w:tcW w:w="1930" w:type="dxa"/>
            <w:tcBorders>
              <w:top w:val="single" w:color="000000" w:sz="8" w:space="0"/>
              <w:left w:val="nil"/>
              <w:bottom w:val="nil"/>
              <w:right w:val="nil"/>
            </w:tcBorders>
          </w:tcPr>
          <w:p w14:paraId="74C331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97" w:type="dxa"/>
            <w:tcBorders>
              <w:top w:val="single" w:color="000000" w:sz="8" w:space="0"/>
              <w:left w:val="nil"/>
              <w:bottom w:val="nil"/>
              <w:right w:val="nil"/>
            </w:tcBorders>
          </w:tcPr>
          <w:p w14:paraId="2DAA202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48" w:type="dxa"/>
            <w:tcBorders>
              <w:top w:val="single" w:color="000000" w:sz="8" w:space="0"/>
              <w:left w:val="nil"/>
              <w:bottom w:val="nil"/>
              <w:right w:val="nil"/>
            </w:tcBorders>
          </w:tcPr>
          <w:p w14:paraId="5DF567C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72" w:type="dxa"/>
            <w:tcBorders>
              <w:top w:val="single" w:color="000000" w:sz="8" w:space="0"/>
              <w:left w:val="nil"/>
              <w:bottom w:val="nil"/>
              <w:right w:val="nil"/>
            </w:tcBorders>
          </w:tcPr>
          <w:p w14:paraId="72455E7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036B5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1C5BE59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METS-IR（3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3A12180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0.165 (0.075-0.177)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14:paraId="356002C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14:paraId="7BAD0A9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0.003 (0.001-0.004)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14:paraId="53DFE2B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0B549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774DA6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BMI（3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6BAD39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0.164 (0.041-0.178)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76946D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04628F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0.004 (0.001-0.004)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869213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4F3D7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161A12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TyG（3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89E7AC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0.137 (0.033-0.152)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4C5D4A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303AB3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0.004 (0.001-0.004)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50EA30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4397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D51AA9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VAI（3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F8FA01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0.138 (0.007-0.148)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1A4C53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3A31D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0.004 (0-0.004)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F31695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53385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FE58F6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METS-IR（5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58097E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0.170 (0.041-0.180)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A833DE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748E73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0.006 (0.001-0.007)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911052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53BD2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7D4DE5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BMI（5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9A743D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 xml:space="preserve">0.167 (0.004-0.176)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158155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76F2BF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0.007 (0.002-0.007)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B129FE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4E83C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81F178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TyG（5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F0B9C6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0.142 (0.034-0.154)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1BB812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9362A1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0.007 (0.002-0.008)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4C95AB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2AB5C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544DA0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VAI（5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EB9331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0.140 (0.007-0.140)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A0EC03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F7A66E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0.007 (0-0.007)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9FA943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03F39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C7D520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METS-IR（8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57646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 xml:space="preserve">0.168 (0.041-0.174)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9671CC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15DCB4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0.011 (0.003-0.011)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210DCD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62B9F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CF1C47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BMI（8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5FF6B6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0.165 (0.041-0.168)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B380B5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3C5772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0.011 (0.003-0.012)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D5F711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291AE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C6A0A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TyG（8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228656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 xml:space="preserve">0.142 (0.035-0.146)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64BFE2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686143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0.012 (0.003-0.013)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9209B9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7AF45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A9C80A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VAI（8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79EFAD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0.141 (0.007-0.142)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45A3E0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3608C3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0.012 (0.001-0.012)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7A7420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3CC3C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920874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CHARLS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CBD00B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284CF7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3A3AE1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FFF505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53A8C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02ADD3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METS-IR（3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04B11E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0.173 (0.013-0.335)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ABA37B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03AEF1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0.006 (0.001-0.011)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272B3F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540C1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D9148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BMI（3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2D68AD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0.174 (0.013-0.335)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F95509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1AE51B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0.006 (0.001-0.011)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4991DC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1E9E0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AD9D7B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TyG（3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51337E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0.257 (0.017-0.339)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EA0285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E0B3A9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0.006 (0-0.01)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C7C34F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52779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C768B5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VAI（3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589AAC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0.174 (0.009-0.289)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4FAE66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289474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0.005 (0-0.008)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01FEEF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5735E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7304E8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METS-VF VS METS-IR（5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FB5599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0.150(0.019-0.258)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82CB6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665F82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0.005 (0-0.011)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7A54EC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 w14:paraId="0F078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3A9C1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METS-VF VS BMI（5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8A18040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0.150(0.019-0.258)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E79BA8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43A00C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0.005 (0-0.011)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222821B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 w14:paraId="64BF1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B3EFB8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METS-VF VS TyG（5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CFE046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0.169 (0.025-0.225)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9911DB8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48AE68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0.005 (0-0.01)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07153E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 w14:paraId="2AB65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9845B7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METS-VF VS VAI（5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59CD64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0.125 (0.008-0.213)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FFC2B5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AF2D9FE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0.004 (0-0.008)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077BEB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 w14:paraId="2A35F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0DD462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METS-VF VS METS-IR（8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67BDE69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0.147 (0.034-0.199)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ADC8CF7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741EA1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0.022 (0.004-0.03)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E870FB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 w14:paraId="0D1B9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5D0185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BMI（8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3185B5F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0.147 (0.034-0.199)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ED7E8B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488D39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0.022 (0.004-0.03)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296FD64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31438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F6B8CA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TyG（8 years）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010EAFD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0.163 (0.028-0.172)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AC0DBC5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B8BAA73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0.022 (0.003-0.029)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5D88A7C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66E4B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05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top"/>
          </w:tcPr>
          <w:p w14:paraId="06985596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METS-VF VS VAI（8 years）</w:t>
            </w:r>
          </w:p>
        </w:tc>
        <w:tc>
          <w:tcPr>
            <w:tcW w:w="193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top"/>
          </w:tcPr>
          <w:p w14:paraId="7DE8BA8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0.146 (0.001-0.158)</w:t>
            </w:r>
          </w:p>
        </w:tc>
        <w:tc>
          <w:tcPr>
            <w:tcW w:w="119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top"/>
          </w:tcPr>
          <w:p w14:paraId="12D6B422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top"/>
          </w:tcPr>
          <w:p w14:paraId="5A2913F1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0.02 (0.01-0.022)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top"/>
          </w:tcPr>
          <w:p w14:paraId="61C9F10A">
            <w:pPr>
              <w:widowControl/>
              <w:snapToGrid/>
              <w:spacing w:after="0" w:afterLines="0" w:line="240" w:lineRule="auto"/>
              <w:jc w:val="left"/>
              <w:textAlignment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&lt;0.001</w:t>
            </w:r>
          </w:p>
        </w:tc>
      </w:tr>
      <w:tr w14:paraId="39437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305" w:type="dxa"/>
            <w:gridSpan w:val="5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5E88598">
            <w:pPr>
              <w:widowControl/>
              <w:snapToGrid/>
              <w:spacing w:after="0" w:afterLines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Abbreviations: CI: confidence interval, IDI: integrated discrimination improvement, NRI: net reclassification improvement, CVD: Cardiovascular disease. METS-VF: Metabolic score for visceral fat, METS‐IR: Metabolic score for insulin resistance, BMI: Body mass index (BMI), TyG: Triglyceride-glucose index, VAI: Visceral adiposity index.</w:t>
            </w:r>
          </w:p>
        </w:tc>
      </w:tr>
    </w:tbl>
    <w:p w14:paraId="6BC9BEBB"/>
    <w:p w14:paraId="1060998D"/>
    <w:p w14:paraId="6D2B938D"/>
    <w:p w14:paraId="1C1734F8"/>
    <w:p w14:paraId="24D08756"/>
    <w:p w14:paraId="372317F4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522"/>
      </w:tblGrid>
      <w:tr w14:paraId="4EC29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14:paraId="30FB3EAE">
            <w:pPr>
              <w:rPr>
                <w:rFonts w:hint="eastAsia" w:eastAsia="微软雅黑"/>
                <w:vertAlign w:val="baseline"/>
                <w:lang w:eastAsia="zh-CN"/>
              </w:rPr>
            </w:pPr>
            <w:r>
              <w:rPr>
                <w:rFonts w:hint="eastAsia" w:eastAsia="微软雅黑"/>
                <w:vertAlign w:val="baseline"/>
                <w:lang w:eastAsia="zh-CN"/>
              </w:rPr>
              <w:drawing>
                <wp:inline distT="0" distB="0" distL="114300" distR="114300">
                  <wp:extent cx="5269230" cy="2990215"/>
                  <wp:effectExtent l="0" t="0" r="3810" b="12065"/>
                  <wp:docPr id="31" name="图片 3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9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C52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6" w:hRule="atLeast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14:paraId="2BF99DD5">
            <w:pPr>
              <w:rPr>
                <w:vertAlign w:val="baseline"/>
              </w:rPr>
            </w:pPr>
            <w:r>
              <w:rPr>
                <w:rFonts w:ascii="Times New Roman" w:hAnsi="Times New Roman" w:eastAsia="宋体" w:cs="Times New Roman"/>
                <w:b w:val="0"/>
                <w:bCs/>
                <w:sz w:val="18"/>
                <w:szCs w:val="18"/>
              </w:rPr>
              <w:t>F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18"/>
                <w:szCs w:val="18"/>
              </w:rPr>
              <w:t>ig</w:t>
            </w:r>
            <w:r>
              <w:rPr>
                <w:rFonts w:ascii="Times New Roman" w:hAnsi="Times New Roman" w:eastAsia="宋体" w:cs="Times New Roman"/>
                <w:b w:val="0"/>
                <w:bCs/>
                <w:sz w:val="18"/>
                <w:szCs w:val="18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18"/>
                <w:szCs w:val="18"/>
                <w:lang w:val="en-US" w:eastAsia="zh-CN"/>
              </w:rPr>
              <w:t>S</w:t>
            </w:r>
            <w:r>
              <w:rPr>
                <w:rFonts w:ascii="Times New Roman" w:hAnsi="Times New Roman" w:eastAsia="宋体" w:cs="Times New Roman"/>
                <w:b w:val="0"/>
                <w:bCs/>
                <w:sz w:val="18"/>
                <w:szCs w:val="18"/>
              </w:rPr>
              <w:t xml:space="preserve">1. 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 xml:space="preserve">Study workflow 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in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UK Biobank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 and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 xml:space="preserve"> CHARLS </w:t>
            </w:r>
          </w:p>
        </w:tc>
      </w:tr>
    </w:tbl>
    <w:p w14:paraId="6FA7E0FA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C6D6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14:paraId="0DB2A45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6055" cy="4989195"/>
                  <wp:effectExtent l="0" t="0" r="6985" b="9525"/>
                  <wp:docPr id="9" name="图片 9" descr="ukb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ukb_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498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051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14:paraId="74DC2551">
            <w:pPr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Fig. S2 Analysis of restricted cubic spline regression in UK biobank. (A) Non-linear relationship between the METS-VF with IHD. (B) Non-linear relationship between the METS-VF with angina. (C) Positive linear relationship between the METS-VF with MI. (D) (F) Non-linear relationship between the METS-VF with stroke. (E) Non-linear relationship between the METS-VF with ISS (F) Non-linear relationship between the METS-VF with Hemorrhagic stroke. (G) Non-linear relationship between the METS-VF with AF. (H) Non-linear relationship between the METS-VF with HF. Adjusted for age, gender, race, education level, smoking status, alcohol consumption 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status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 physical activity, hypertention, diabetes, LDL, Ua and HbA1c. Abbreviations: HR: Hazard ratios, CI: Confidence interval, METS-VF: Metabolic score for visceral fat, LDL-C: Low-density lipoprotein cholesterol; Ua: Uric acid, MI: Myocardial infarction; ISS: Ischaemic stroke, AF: Atrial fibrillation; HF: Heart failure.</w:t>
            </w:r>
          </w:p>
        </w:tc>
      </w:tr>
    </w:tbl>
    <w:p w14:paraId="1B082469"/>
    <w:p w14:paraId="24643D15"/>
    <w:p w14:paraId="7B8C8D93"/>
    <w:p w14:paraId="779ABCB4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FA3D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14:paraId="57C9095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171440" cy="2426970"/>
                  <wp:effectExtent l="0" t="0" r="10160" b="11430"/>
                  <wp:docPr id="32" name="图片 32" descr="CHARLSandCVD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HARLSandCVD_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440" cy="24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EB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14:paraId="1881577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Fig. S3 Analysis of restricted cubic spline regression in CHARLS. (A) Positive linear relationship between the METS-VF with Heart disease. (B) Non-linear relationship between the METS-VF with stroke. 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Adjusted for age, gender, race, education level, smoking status, alcohol consumption status, physical activity, hypertention, diabetes, LDL, Ua and HbA1c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. Abbreviations: HR: Hazard ratios, CI: Confidence interval, METS-VF: Metabolic score for visceral fat. AF: Atrial fibrillation; LDL-C: Low-density lipoprotein cholesterol; Ua: Uric acid. </w:t>
            </w:r>
          </w:p>
        </w:tc>
      </w:tr>
    </w:tbl>
    <w:p w14:paraId="5FF3FCEA"/>
    <w:p w14:paraId="7E509DC3"/>
    <w:p w14:paraId="7EDF2124"/>
    <w:p w14:paraId="70FE2BE8"/>
    <w:p w14:paraId="1D4EA97E">
      <w:pPr>
        <w:rPr>
          <w:rFonts w:hint="eastAsia" w:eastAsia="微软雅黑"/>
          <w:lang w:eastAsia="zh-CN"/>
        </w:rPr>
      </w:pPr>
    </w:p>
    <w:p w14:paraId="0E721E07"/>
    <w:p w14:paraId="2DD29093"/>
    <w:p w14:paraId="30CA355A">
      <w:bookmarkStart w:id="0" w:name="_GoBack"/>
      <w:bookmarkEnd w:id="0"/>
    </w:p>
    <w:p w14:paraId="385DF013"/>
    <w:p w14:paraId="698FF446"/>
    <w:p w14:paraId="19FAC22F"/>
    <w:p w14:paraId="3C81AF43"/>
    <w:p w14:paraId="55F93C43"/>
    <w:p w14:paraId="36079EFE"/>
    <w:p w14:paraId="36B5229D"/>
    <w:p w14:paraId="4FECCDAF"/>
    <w:p w14:paraId="1087AEE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yriadPro-Regula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330F40"/>
    <w:rsid w:val="1A173919"/>
    <w:rsid w:val="304932CD"/>
    <w:rsid w:val="68B95597"/>
    <w:rsid w:val="6B7E6624"/>
    <w:rsid w:val="7DFF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after="50" w:afterLines="50" w:line="312" w:lineRule="auto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2025-06-05T07:43:34Z</dcterms:created>
  <dc:creator>tanzhen</dc:creator>
  <cp:lastModifiedBy>Vaan</cp:lastModifiedBy>
  <dcterms:modified xsi:type="dcterms:W3CDTF">2025-06-05T08:34:06Z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eyJoZGlkIjoiZjdmM2IzMDRmMzc1MDkyODdlNmY2ZDFkNDk1ZmVmZjUiLCJ1c2VySWQiOiIzMzc5NzUzNTgifQ==</vt:lpwstr>
  </property>
  <property fmtid="{D5CDD505-2E9C-101B-9397-08002B2CF9AE}" pid="4" name="ICV">
    <vt:lpwstr>19A959D79081496289315A91B4B841DA_12</vt:lpwstr>
  </property>
</Properties>
</file>