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DD34F" w14:textId="77777777" w:rsidR="00913494" w:rsidRPr="00580741" w:rsidRDefault="00913494" w:rsidP="00913494">
      <w:pPr>
        <w:pStyle w:val="MDPI41tablecaption"/>
        <w:ind w:right="401"/>
        <w:jc w:val="left"/>
        <w:rPr>
          <w:bCs/>
        </w:rPr>
      </w:pPr>
      <w:r w:rsidRPr="00580741">
        <w:rPr>
          <w:b/>
        </w:rPr>
        <w:t>Table 1</w:t>
      </w:r>
      <w:r>
        <w:rPr>
          <w:b/>
        </w:rPr>
        <w:t>.</w:t>
      </w:r>
      <w:r w:rsidRPr="00580741">
        <w:rPr>
          <w:bCs/>
        </w:rPr>
        <w:t xml:space="preserve"> </w:t>
      </w:r>
      <w:r w:rsidRPr="003A09B5">
        <w:rPr>
          <w:bCs/>
        </w:rPr>
        <w:t>Comparative Analysis of the Existing Review Works and Proposed Systematic Review on IoT and Cloud Computing Issues, Challenges, and Opportunities in Biological Water Monitoring</w:t>
      </w:r>
    </w:p>
    <w:tbl>
      <w:tblPr>
        <w:tblStyle w:val="MDPI41threelinetable"/>
        <w:tblW w:w="10912" w:type="dxa"/>
        <w:tblLayout w:type="fixed"/>
        <w:tblLook w:val="04A0" w:firstRow="1" w:lastRow="0" w:firstColumn="1" w:lastColumn="0" w:noHBand="0" w:noVBand="1"/>
      </w:tblPr>
      <w:tblGrid>
        <w:gridCol w:w="1417"/>
        <w:gridCol w:w="566"/>
        <w:gridCol w:w="142"/>
        <w:gridCol w:w="567"/>
        <w:gridCol w:w="142"/>
        <w:gridCol w:w="3401"/>
        <w:gridCol w:w="142"/>
        <w:gridCol w:w="2267"/>
        <w:gridCol w:w="144"/>
        <w:gridCol w:w="706"/>
        <w:gridCol w:w="1138"/>
        <w:gridCol w:w="154"/>
        <w:gridCol w:w="126"/>
      </w:tblGrid>
      <w:tr w:rsidR="00913494" w14:paraId="3E02A547" w14:textId="77777777" w:rsidTr="00673C9A">
        <w:trPr>
          <w:gridAfter w:val="1"/>
          <w:cnfStyle w:val="100000000000" w:firstRow="1" w:lastRow="0" w:firstColumn="0" w:lastColumn="0" w:oddVBand="0" w:evenVBand="0" w:oddHBand="0" w:evenHBand="0" w:firstRowFirstColumn="0" w:firstRowLastColumn="0" w:lastRowFirstColumn="0" w:lastRowLastColumn="0"/>
          <w:wAfter w:w="126" w:type="dxa"/>
          <w:trHeight w:val="140"/>
        </w:trPr>
        <w:tc>
          <w:tcPr>
            <w:tcW w:w="1417" w:type="dxa"/>
            <w:vAlign w:val="top"/>
          </w:tcPr>
          <w:p w14:paraId="1DF0500C" w14:textId="77777777" w:rsidR="00913494" w:rsidRDefault="00913494" w:rsidP="00673C9A">
            <w:pPr>
              <w:pStyle w:val="MDPI41tablecaption"/>
              <w:spacing w:before="0" w:after="0"/>
              <w:ind w:left="0"/>
              <w:rPr>
                <w:snapToGrid w:val="0"/>
                <w:sz w:val="20"/>
                <w:lang w:val="en-GB"/>
              </w:rPr>
            </w:pPr>
            <w:r w:rsidRPr="004A7DC9">
              <w:rPr>
                <w:rFonts w:eastAsia="Palatino Linotype" w:cs="Palatino Linotype"/>
                <w:sz w:val="20"/>
                <w:szCs w:val="20"/>
              </w:rPr>
              <w:t xml:space="preserve">Ref </w:t>
            </w:r>
          </w:p>
        </w:tc>
        <w:tc>
          <w:tcPr>
            <w:tcW w:w="708" w:type="dxa"/>
            <w:gridSpan w:val="2"/>
            <w:vAlign w:val="top"/>
          </w:tcPr>
          <w:p w14:paraId="273BA7BD" w14:textId="77777777" w:rsidR="00913494" w:rsidRDefault="00913494" w:rsidP="00673C9A">
            <w:pPr>
              <w:pStyle w:val="MDPI41tablecaption"/>
              <w:spacing w:before="0" w:after="0"/>
              <w:ind w:left="0"/>
              <w:rPr>
                <w:snapToGrid w:val="0"/>
                <w:sz w:val="20"/>
                <w:lang w:val="en-GB"/>
              </w:rPr>
            </w:pPr>
            <w:r w:rsidRPr="004A7DC9">
              <w:rPr>
                <w:rFonts w:eastAsia="Palatino Linotype" w:cs="Palatino Linotype"/>
                <w:sz w:val="20"/>
                <w:szCs w:val="20"/>
              </w:rPr>
              <w:t xml:space="preserve">Cites </w:t>
            </w:r>
          </w:p>
        </w:tc>
        <w:tc>
          <w:tcPr>
            <w:tcW w:w="709" w:type="dxa"/>
            <w:gridSpan w:val="2"/>
            <w:vAlign w:val="top"/>
          </w:tcPr>
          <w:p w14:paraId="369ECD29" w14:textId="77777777" w:rsidR="00913494" w:rsidRDefault="00913494" w:rsidP="00673C9A">
            <w:pPr>
              <w:pStyle w:val="MDPI41tablecaption"/>
              <w:spacing w:before="0" w:after="0"/>
              <w:ind w:left="0"/>
              <w:rPr>
                <w:snapToGrid w:val="0"/>
                <w:sz w:val="20"/>
                <w:lang w:val="en-GB"/>
              </w:rPr>
            </w:pPr>
            <w:r w:rsidRPr="004A7DC9">
              <w:rPr>
                <w:rFonts w:eastAsia="Palatino Linotype" w:cs="Palatino Linotype"/>
                <w:sz w:val="20"/>
                <w:szCs w:val="20"/>
              </w:rPr>
              <w:t xml:space="preserve">Year </w:t>
            </w:r>
          </w:p>
        </w:tc>
        <w:tc>
          <w:tcPr>
            <w:tcW w:w="3543" w:type="dxa"/>
            <w:gridSpan w:val="2"/>
            <w:vAlign w:val="top"/>
          </w:tcPr>
          <w:p w14:paraId="05316D06" w14:textId="77777777" w:rsidR="00913494" w:rsidRDefault="00913494" w:rsidP="00673C9A">
            <w:pPr>
              <w:pStyle w:val="MDPI41tablecaption"/>
              <w:spacing w:before="0" w:after="0"/>
              <w:ind w:left="0"/>
              <w:rPr>
                <w:snapToGrid w:val="0"/>
                <w:sz w:val="20"/>
                <w:lang w:val="en-GB"/>
              </w:rPr>
            </w:pPr>
            <w:r w:rsidRPr="004A7DC9">
              <w:rPr>
                <w:rFonts w:eastAsia="Palatino Linotype" w:cs="Palatino Linotype"/>
                <w:sz w:val="20"/>
                <w:szCs w:val="20"/>
              </w:rPr>
              <w:t xml:space="preserve">Contribution </w:t>
            </w:r>
          </w:p>
        </w:tc>
        <w:tc>
          <w:tcPr>
            <w:tcW w:w="2411" w:type="dxa"/>
            <w:gridSpan w:val="2"/>
            <w:vAlign w:val="top"/>
          </w:tcPr>
          <w:p w14:paraId="54302B76" w14:textId="77777777" w:rsidR="00913494" w:rsidRDefault="00913494" w:rsidP="00673C9A">
            <w:pPr>
              <w:pStyle w:val="MDPI41tablecaption"/>
              <w:spacing w:before="0" w:after="0"/>
              <w:ind w:left="0"/>
              <w:rPr>
                <w:snapToGrid w:val="0"/>
                <w:sz w:val="20"/>
                <w:lang w:val="en-GB"/>
              </w:rPr>
            </w:pPr>
            <w:r w:rsidRPr="004A7DC9">
              <w:rPr>
                <w:rFonts w:eastAsia="Palatino Linotype" w:cs="Palatino Linotype"/>
                <w:sz w:val="20"/>
                <w:szCs w:val="20"/>
              </w:rPr>
              <w:t xml:space="preserve">Pros </w:t>
            </w:r>
          </w:p>
        </w:tc>
        <w:tc>
          <w:tcPr>
            <w:tcW w:w="1998" w:type="dxa"/>
            <w:gridSpan w:val="3"/>
            <w:vAlign w:val="top"/>
          </w:tcPr>
          <w:p w14:paraId="5700351E" w14:textId="77777777" w:rsidR="00913494" w:rsidRDefault="00913494" w:rsidP="00673C9A">
            <w:pPr>
              <w:pStyle w:val="MDPI41tablecaption"/>
              <w:spacing w:before="0" w:after="0"/>
              <w:ind w:left="0"/>
              <w:rPr>
                <w:snapToGrid w:val="0"/>
                <w:sz w:val="20"/>
                <w:lang w:val="en-GB"/>
              </w:rPr>
            </w:pPr>
            <w:r w:rsidRPr="004A7DC9">
              <w:rPr>
                <w:rFonts w:eastAsia="Palatino Linotype" w:cs="Palatino Linotype"/>
                <w:sz w:val="20"/>
                <w:szCs w:val="20"/>
              </w:rPr>
              <w:t>Cons</w:t>
            </w:r>
          </w:p>
        </w:tc>
      </w:tr>
      <w:tr w:rsidR="00913494" w14:paraId="08862312" w14:textId="77777777" w:rsidTr="00673C9A">
        <w:trPr>
          <w:gridAfter w:val="2"/>
          <w:wAfter w:w="280" w:type="dxa"/>
          <w:trHeight w:val="438"/>
        </w:trPr>
        <w:tc>
          <w:tcPr>
            <w:tcW w:w="1417" w:type="dxa"/>
            <w:vAlign w:val="top"/>
          </w:tcPr>
          <w:p w14:paraId="068B656B" w14:textId="77777777" w:rsidR="00913494" w:rsidRPr="00850A2D" w:rsidRDefault="00913494" w:rsidP="00673C9A">
            <w:pPr>
              <w:pStyle w:val="MDPI42tablebody"/>
              <w:rPr>
                <w:rFonts w:eastAsia="Palatino Linotype" w:cs="Palatino Linotype"/>
                <w:b/>
                <w:bCs/>
              </w:rPr>
            </w:pPr>
            <w:r w:rsidRPr="00057F2B">
              <w:t>(Mounir et al., 2024)</w:t>
            </w:r>
          </w:p>
        </w:tc>
        <w:tc>
          <w:tcPr>
            <w:tcW w:w="566" w:type="dxa"/>
            <w:vAlign w:val="top"/>
          </w:tcPr>
          <w:p w14:paraId="2CBE7E6F" w14:textId="77777777" w:rsidR="00913494" w:rsidRPr="00850A2D" w:rsidRDefault="00913494" w:rsidP="00673C9A">
            <w:pPr>
              <w:pStyle w:val="MDPI42tablebody"/>
              <w:rPr>
                <w:rFonts w:eastAsia="Palatino Linotype" w:cs="Palatino Linotype"/>
                <w:b/>
                <w:bCs/>
              </w:rPr>
            </w:pPr>
            <w:r w:rsidRPr="00135B1C">
              <w:t>0</w:t>
            </w:r>
          </w:p>
        </w:tc>
        <w:tc>
          <w:tcPr>
            <w:tcW w:w="709" w:type="dxa"/>
            <w:gridSpan w:val="2"/>
            <w:vAlign w:val="top"/>
          </w:tcPr>
          <w:p w14:paraId="23052385" w14:textId="77777777" w:rsidR="00913494" w:rsidRPr="00850A2D" w:rsidRDefault="00913494" w:rsidP="00673C9A">
            <w:pPr>
              <w:pStyle w:val="MDPI42tablebody"/>
              <w:rPr>
                <w:rFonts w:eastAsia="Palatino Linotype" w:cs="Palatino Linotype"/>
                <w:b/>
                <w:bCs/>
              </w:rPr>
            </w:pPr>
            <w:r w:rsidRPr="00135B1C">
              <w:t>2024</w:t>
            </w:r>
          </w:p>
        </w:tc>
        <w:tc>
          <w:tcPr>
            <w:tcW w:w="3543" w:type="dxa"/>
            <w:gridSpan w:val="2"/>
            <w:vAlign w:val="top"/>
          </w:tcPr>
          <w:p w14:paraId="17306BD4" w14:textId="77777777" w:rsidR="00913494" w:rsidRPr="00850A2D" w:rsidRDefault="00913494" w:rsidP="00673C9A">
            <w:pPr>
              <w:pStyle w:val="MDPI42tablebody"/>
              <w:rPr>
                <w:rFonts w:eastAsia="Palatino Linotype" w:cs="Palatino Linotype"/>
                <w:b/>
                <w:lang w:val="en-ZA"/>
              </w:rPr>
            </w:pPr>
            <w:r w:rsidRPr="00135B1C">
              <w:t>Systematically reviews IoT, remote sensing, AI, and big data applications for water quality monitoring. Highlights hybrid approaches combining multiple technologies.</w:t>
            </w:r>
          </w:p>
        </w:tc>
        <w:tc>
          <w:tcPr>
            <w:tcW w:w="2409" w:type="dxa"/>
            <w:gridSpan w:val="2"/>
            <w:vAlign w:val="top"/>
          </w:tcPr>
          <w:p w14:paraId="37A55492" w14:textId="77777777" w:rsidR="00913494" w:rsidRPr="0013586F" w:rsidRDefault="00913494" w:rsidP="00673C9A">
            <w:pPr>
              <w:pStyle w:val="MDPI42tablebody"/>
              <w:rPr>
                <w:rFonts w:eastAsia="Palatino Linotype" w:cs="Palatino Linotype"/>
                <w:lang w:val="en-ZA"/>
              </w:rPr>
            </w:pPr>
            <w:r w:rsidRPr="00135B1C">
              <w:t>Comprehensive coverage of emerging technologies; emphasizes real-time monitoring and predictive capabilities.</w:t>
            </w:r>
          </w:p>
        </w:tc>
        <w:tc>
          <w:tcPr>
            <w:tcW w:w="1988" w:type="dxa"/>
            <w:gridSpan w:val="3"/>
            <w:vAlign w:val="top"/>
          </w:tcPr>
          <w:p w14:paraId="5CAA337D" w14:textId="77777777" w:rsidR="00913494" w:rsidRPr="00850A2D" w:rsidRDefault="00913494" w:rsidP="00673C9A">
            <w:pPr>
              <w:pStyle w:val="MDPI42tablebody"/>
              <w:rPr>
                <w:rFonts w:eastAsia="Palatino Linotype" w:cs="Palatino Linotype"/>
                <w:b/>
                <w:bCs/>
              </w:rPr>
            </w:pPr>
            <w:r w:rsidRPr="0083054A">
              <w:t>Limited to manufacturing; no new data.</w:t>
            </w:r>
          </w:p>
        </w:tc>
      </w:tr>
      <w:tr w:rsidR="00913494" w14:paraId="7E3AB6A8" w14:textId="77777777" w:rsidTr="00673C9A">
        <w:trPr>
          <w:gridAfter w:val="2"/>
          <w:wAfter w:w="280" w:type="dxa"/>
          <w:trHeight w:val="436"/>
        </w:trPr>
        <w:tc>
          <w:tcPr>
            <w:tcW w:w="1417" w:type="dxa"/>
            <w:vAlign w:val="top"/>
          </w:tcPr>
          <w:p w14:paraId="1CFC2928" w14:textId="77777777" w:rsidR="00913494" w:rsidRPr="00850A2D" w:rsidRDefault="00913494" w:rsidP="00673C9A">
            <w:pPr>
              <w:pStyle w:val="MDPI42tablebody"/>
              <w:rPr>
                <w:rFonts w:eastAsia="Palatino Linotype" w:cs="Palatino Linotype"/>
                <w:b/>
                <w:bCs/>
              </w:rPr>
            </w:pPr>
            <w:r w:rsidRPr="00057F2B">
              <w:t>(Mallikarjun and Mangalpady, 2025)</w:t>
            </w:r>
          </w:p>
        </w:tc>
        <w:tc>
          <w:tcPr>
            <w:tcW w:w="566" w:type="dxa"/>
            <w:vAlign w:val="top"/>
          </w:tcPr>
          <w:p w14:paraId="10C39F2D" w14:textId="77777777" w:rsidR="00913494" w:rsidRPr="00850A2D" w:rsidRDefault="00913494" w:rsidP="00673C9A">
            <w:pPr>
              <w:pStyle w:val="MDPI42tablebody"/>
              <w:rPr>
                <w:rFonts w:eastAsia="Palatino Linotype" w:cs="Palatino Linotype"/>
                <w:b/>
                <w:bCs/>
              </w:rPr>
            </w:pPr>
            <w:r w:rsidRPr="00135B1C">
              <w:t>0</w:t>
            </w:r>
          </w:p>
        </w:tc>
        <w:tc>
          <w:tcPr>
            <w:tcW w:w="709" w:type="dxa"/>
            <w:gridSpan w:val="2"/>
            <w:vAlign w:val="top"/>
          </w:tcPr>
          <w:p w14:paraId="3BBE4B4D" w14:textId="77777777" w:rsidR="00913494" w:rsidRPr="00850A2D" w:rsidRDefault="00913494" w:rsidP="00673C9A">
            <w:pPr>
              <w:pStyle w:val="MDPI42tablebody"/>
              <w:rPr>
                <w:rFonts w:eastAsia="Palatino Linotype" w:cs="Palatino Linotype"/>
                <w:b/>
                <w:bCs/>
              </w:rPr>
            </w:pPr>
            <w:r w:rsidRPr="00135B1C">
              <w:t>2025</w:t>
            </w:r>
          </w:p>
        </w:tc>
        <w:tc>
          <w:tcPr>
            <w:tcW w:w="3543" w:type="dxa"/>
            <w:gridSpan w:val="2"/>
            <w:vAlign w:val="top"/>
          </w:tcPr>
          <w:p w14:paraId="0E5BAD88" w14:textId="77777777" w:rsidR="00913494" w:rsidRPr="00850A2D" w:rsidRDefault="00913494" w:rsidP="00673C9A">
            <w:pPr>
              <w:pStyle w:val="MDPI42tablebody"/>
              <w:rPr>
                <w:rFonts w:eastAsia="Palatino Linotype" w:cs="Palatino Linotype"/>
                <w:b/>
                <w:lang w:val="en-ZA"/>
              </w:rPr>
            </w:pPr>
            <w:r w:rsidRPr="00135B1C">
              <w:t>Explores IoT, coir mats, and sensor networks for sustainable mining waste management and forest monitoring. Proposes real-time ecological tracking with IoT/WSNs.</w:t>
            </w:r>
          </w:p>
        </w:tc>
        <w:tc>
          <w:tcPr>
            <w:tcW w:w="2409" w:type="dxa"/>
            <w:gridSpan w:val="2"/>
            <w:vAlign w:val="top"/>
          </w:tcPr>
          <w:p w14:paraId="6E1CE4BD" w14:textId="77777777" w:rsidR="00913494" w:rsidRPr="00850A2D" w:rsidRDefault="00913494" w:rsidP="00673C9A">
            <w:pPr>
              <w:pStyle w:val="MDPI42tablebody"/>
              <w:rPr>
                <w:rFonts w:eastAsia="Palatino Linotype" w:cs="Palatino Linotype"/>
                <w:b/>
                <w:bCs/>
              </w:rPr>
            </w:pPr>
            <w:r w:rsidRPr="00135B1C">
              <w:t>Integrates IoT for dump stabilization and fire prevention; emphasizes tribal community benefits.</w:t>
            </w:r>
          </w:p>
        </w:tc>
        <w:tc>
          <w:tcPr>
            <w:tcW w:w="1988" w:type="dxa"/>
            <w:gridSpan w:val="3"/>
            <w:vAlign w:val="top"/>
          </w:tcPr>
          <w:p w14:paraId="6580188D" w14:textId="77777777" w:rsidR="00913494" w:rsidRPr="00850A2D" w:rsidRDefault="00913494" w:rsidP="00673C9A">
            <w:pPr>
              <w:pStyle w:val="MDPI42tablebody"/>
              <w:rPr>
                <w:rFonts w:eastAsia="Palatino Linotype" w:cs="Palatino Linotype"/>
                <w:b/>
                <w:bCs/>
              </w:rPr>
            </w:pPr>
            <w:r w:rsidRPr="0083054A">
              <w:t>Limited to case studies; may not generalize to all contexts.</w:t>
            </w:r>
            <w:r w:rsidRPr="0083054A">
              <w:rPr>
                <w:rFonts w:ascii="Arial" w:hAnsi="Arial" w:cs="Arial"/>
              </w:rPr>
              <w:t>​</w:t>
            </w:r>
          </w:p>
        </w:tc>
      </w:tr>
      <w:tr w:rsidR="00913494" w14:paraId="0DBFBFD8" w14:textId="77777777" w:rsidTr="00673C9A">
        <w:trPr>
          <w:gridAfter w:val="2"/>
          <w:wAfter w:w="280" w:type="dxa"/>
          <w:trHeight w:val="436"/>
        </w:trPr>
        <w:tc>
          <w:tcPr>
            <w:tcW w:w="1417" w:type="dxa"/>
            <w:vAlign w:val="top"/>
          </w:tcPr>
          <w:p w14:paraId="2D7E3847" w14:textId="77777777" w:rsidR="00913494" w:rsidRPr="00850A2D" w:rsidRDefault="00913494" w:rsidP="00673C9A">
            <w:pPr>
              <w:pStyle w:val="MDPI42tablebody"/>
              <w:rPr>
                <w:rFonts w:eastAsia="Palatino Linotype" w:cs="Palatino Linotype"/>
                <w:b/>
                <w:bCs/>
              </w:rPr>
            </w:pPr>
            <w:r w:rsidRPr="00057F2B">
              <w:t>(Hemdan et al., 2021)</w:t>
            </w:r>
          </w:p>
        </w:tc>
        <w:tc>
          <w:tcPr>
            <w:tcW w:w="566" w:type="dxa"/>
            <w:vAlign w:val="top"/>
          </w:tcPr>
          <w:p w14:paraId="5E41CF56" w14:textId="77777777" w:rsidR="00913494" w:rsidRPr="00850A2D" w:rsidRDefault="00913494" w:rsidP="00673C9A">
            <w:pPr>
              <w:pStyle w:val="MDPI42tablebody"/>
              <w:rPr>
                <w:rFonts w:eastAsia="Palatino Linotype" w:cs="Palatino Linotype"/>
                <w:b/>
                <w:bCs/>
              </w:rPr>
            </w:pPr>
            <w:r w:rsidRPr="00135B1C">
              <w:t>6</w:t>
            </w:r>
          </w:p>
        </w:tc>
        <w:tc>
          <w:tcPr>
            <w:tcW w:w="709" w:type="dxa"/>
            <w:gridSpan w:val="2"/>
            <w:vAlign w:val="top"/>
          </w:tcPr>
          <w:p w14:paraId="1DBC0464" w14:textId="77777777" w:rsidR="00913494" w:rsidRPr="00850A2D" w:rsidRDefault="00913494" w:rsidP="00673C9A">
            <w:pPr>
              <w:pStyle w:val="MDPI42tablebody"/>
              <w:rPr>
                <w:rFonts w:eastAsia="Palatino Linotype" w:cs="Palatino Linotype"/>
                <w:b/>
                <w:bCs/>
              </w:rPr>
            </w:pPr>
            <w:r w:rsidRPr="00135B1C">
              <w:t>2021</w:t>
            </w:r>
          </w:p>
        </w:tc>
        <w:tc>
          <w:tcPr>
            <w:tcW w:w="3543" w:type="dxa"/>
            <w:gridSpan w:val="2"/>
            <w:vAlign w:val="top"/>
          </w:tcPr>
          <w:p w14:paraId="51012441" w14:textId="77777777" w:rsidR="00913494" w:rsidRPr="00850A2D" w:rsidRDefault="00913494" w:rsidP="00673C9A">
            <w:pPr>
              <w:pStyle w:val="MDPI42tablebody"/>
              <w:rPr>
                <w:rFonts w:eastAsia="Palatino Linotype" w:cs="Palatino Linotype"/>
                <w:b/>
                <w:lang w:val="en-ZA"/>
              </w:rPr>
            </w:pPr>
            <w:r w:rsidRPr="00135B1C">
              <w:t>Reviews IoT and Big Data solutions for real-time water quality monitoring, focusing on sensor networks and cloud analytics.</w:t>
            </w:r>
          </w:p>
        </w:tc>
        <w:tc>
          <w:tcPr>
            <w:tcW w:w="2409" w:type="dxa"/>
            <w:gridSpan w:val="2"/>
            <w:vAlign w:val="top"/>
          </w:tcPr>
          <w:p w14:paraId="33D8A6BC" w14:textId="77777777" w:rsidR="00913494" w:rsidRPr="00850A2D" w:rsidRDefault="00913494" w:rsidP="00673C9A">
            <w:pPr>
              <w:pStyle w:val="MDPI42tablebody"/>
              <w:rPr>
                <w:rFonts w:eastAsia="Palatino Linotype" w:cs="Palatino Linotype"/>
                <w:b/>
                <w:bCs/>
              </w:rPr>
            </w:pPr>
            <w:r w:rsidRPr="00135B1C">
              <w:t>Integrates turbidity/pH/conductivity sensors with Hadoop/Spark for predictive analytics; enables mobile alerts.</w:t>
            </w:r>
          </w:p>
        </w:tc>
        <w:tc>
          <w:tcPr>
            <w:tcW w:w="1988" w:type="dxa"/>
            <w:gridSpan w:val="3"/>
            <w:vAlign w:val="top"/>
          </w:tcPr>
          <w:p w14:paraId="19813AF6" w14:textId="77777777" w:rsidR="00913494" w:rsidRPr="00850A2D" w:rsidRDefault="00913494" w:rsidP="00673C9A">
            <w:pPr>
              <w:pStyle w:val="MDPI42tablebody"/>
              <w:rPr>
                <w:rFonts w:eastAsia="Palatino Linotype" w:cs="Palatino Linotype"/>
                <w:b/>
                <w:bCs/>
              </w:rPr>
            </w:pPr>
            <w:r w:rsidRPr="0083054A">
              <w:t>No original case data; limited to literature.</w:t>
            </w:r>
          </w:p>
        </w:tc>
      </w:tr>
      <w:tr w:rsidR="00913494" w14:paraId="1A9BA5D5" w14:textId="77777777" w:rsidTr="00673C9A">
        <w:trPr>
          <w:gridAfter w:val="2"/>
          <w:wAfter w:w="280" w:type="dxa"/>
          <w:trHeight w:val="436"/>
        </w:trPr>
        <w:tc>
          <w:tcPr>
            <w:tcW w:w="1417" w:type="dxa"/>
            <w:vAlign w:val="top"/>
          </w:tcPr>
          <w:p w14:paraId="102F7818" w14:textId="77777777" w:rsidR="00913494" w:rsidRPr="00850A2D" w:rsidRDefault="00913494" w:rsidP="00673C9A">
            <w:pPr>
              <w:pStyle w:val="MDPI42tablebody"/>
              <w:rPr>
                <w:rFonts w:eastAsia="Palatino Linotype" w:cs="Palatino Linotype"/>
                <w:b/>
                <w:bCs/>
              </w:rPr>
            </w:pPr>
            <w:r w:rsidRPr="00057F2B">
              <w:t>(Lai et al., 2024)</w:t>
            </w:r>
          </w:p>
        </w:tc>
        <w:tc>
          <w:tcPr>
            <w:tcW w:w="566" w:type="dxa"/>
            <w:vAlign w:val="top"/>
          </w:tcPr>
          <w:p w14:paraId="081EF428" w14:textId="77777777" w:rsidR="00913494" w:rsidRPr="00850A2D" w:rsidRDefault="00913494" w:rsidP="00673C9A">
            <w:pPr>
              <w:pStyle w:val="MDPI42tablebody"/>
              <w:rPr>
                <w:rFonts w:eastAsia="Palatino Linotype" w:cs="Palatino Linotype"/>
                <w:b/>
                <w:bCs/>
              </w:rPr>
            </w:pPr>
            <w:r w:rsidRPr="00135B1C">
              <w:t>4</w:t>
            </w:r>
          </w:p>
        </w:tc>
        <w:tc>
          <w:tcPr>
            <w:tcW w:w="709" w:type="dxa"/>
            <w:gridSpan w:val="2"/>
            <w:vAlign w:val="top"/>
          </w:tcPr>
          <w:p w14:paraId="2689684B" w14:textId="77777777" w:rsidR="00913494" w:rsidRPr="00850A2D" w:rsidRDefault="00913494" w:rsidP="00673C9A">
            <w:pPr>
              <w:pStyle w:val="MDPI42tablebody"/>
              <w:rPr>
                <w:rFonts w:eastAsia="Palatino Linotype" w:cs="Palatino Linotype"/>
                <w:b/>
                <w:bCs/>
              </w:rPr>
            </w:pPr>
            <w:r w:rsidRPr="00135B1C">
              <w:t>2024</w:t>
            </w:r>
          </w:p>
        </w:tc>
        <w:tc>
          <w:tcPr>
            <w:tcW w:w="3543" w:type="dxa"/>
            <w:gridSpan w:val="2"/>
            <w:vAlign w:val="top"/>
          </w:tcPr>
          <w:p w14:paraId="0072BCD9" w14:textId="77777777" w:rsidR="00913494" w:rsidRPr="00850A2D" w:rsidRDefault="00913494" w:rsidP="00673C9A">
            <w:pPr>
              <w:pStyle w:val="MDPI42tablebody"/>
              <w:rPr>
                <w:rFonts w:eastAsia="Palatino Linotype" w:cs="Palatino Linotype"/>
                <w:b/>
                <w:bCs/>
              </w:rPr>
            </w:pPr>
            <w:r w:rsidRPr="00135B1C">
              <w:t>Comprehensive review of remote sensing for lake monitoring, covering datasets, AI methods, and satellite coordination.</w:t>
            </w:r>
          </w:p>
        </w:tc>
        <w:tc>
          <w:tcPr>
            <w:tcW w:w="2409" w:type="dxa"/>
            <w:gridSpan w:val="2"/>
            <w:vAlign w:val="top"/>
          </w:tcPr>
          <w:p w14:paraId="4CC37BC4" w14:textId="77777777" w:rsidR="00913494" w:rsidRPr="00850A2D" w:rsidRDefault="00913494" w:rsidP="00673C9A">
            <w:pPr>
              <w:pStyle w:val="MDPI42tablebody"/>
              <w:rPr>
                <w:rFonts w:eastAsia="Palatino Linotype" w:cs="Palatino Linotype"/>
                <w:b/>
                <w:lang w:val="en-ZA"/>
              </w:rPr>
            </w:pPr>
            <w:r w:rsidRPr="00135B1C">
              <w:t>Identifies trends in satellite tech, AI integration, and cloud platforms; supports SDGs.</w:t>
            </w:r>
          </w:p>
        </w:tc>
        <w:tc>
          <w:tcPr>
            <w:tcW w:w="1988" w:type="dxa"/>
            <w:gridSpan w:val="3"/>
            <w:vAlign w:val="top"/>
          </w:tcPr>
          <w:p w14:paraId="026FEB1F" w14:textId="77777777" w:rsidR="00913494" w:rsidRPr="00850A2D" w:rsidRDefault="00913494" w:rsidP="00673C9A">
            <w:pPr>
              <w:pStyle w:val="MDPI42tablebody"/>
              <w:rPr>
                <w:rFonts w:eastAsia="Palatino Linotype" w:cs="Palatino Linotype"/>
                <w:b/>
                <w:bCs/>
              </w:rPr>
            </w:pPr>
            <w:r w:rsidRPr="0083054A">
              <w:t>Limited to existing literature; lacks empirical validation through case studies or data analysis.</w:t>
            </w:r>
            <w:r w:rsidRPr="0083054A">
              <w:rPr>
                <w:rFonts w:ascii="Arial" w:hAnsi="Arial" w:cs="Arial"/>
              </w:rPr>
              <w:t>​</w:t>
            </w:r>
          </w:p>
        </w:tc>
      </w:tr>
      <w:tr w:rsidR="00913494" w14:paraId="78E95E90" w14:textId="77777777" w:rsidTr="00673C9A">
        <w:trPr>
          <w:gridAfter w:val="2"/>
          <w:wAfter w:w="280" w:type="dxa"/>
          <w:trHeight w:val="549"/>
        </w:trPr>
        <w:tc>
          <w:tcPr>
            <w:tcW w:w="1417" w:type="dxa"/>
            <w:vAlign w:val="top"/>
          </w:tcPr>
          <w:p w14:paraId="60359E3E" w14:textId="77777777" w:rsidR="00913494" w:rsidRPr="00850A2D" w:rsidRDefault="00913494" w:rsidP="00673C9A">
            <w:pPr>
              <w:pStyle w:val="MDPI42tablebody"/>
              <w:rPr>
                <w:rFonts w:eastAsia="Palatino Linotype" w:cs="Palatino Linotype"/>
                <w:b/>
                <w:bCs/>
              </w:rPr>
            </w:pPr>
            <w:r w:rsidRPr="00057F2B">
              <w:t>(Liu et al., 2024)</w:t>
            </w:r>
          </w:p>
        </w:tc>
        <w:tc>
          <w:tcPr>
            <w:tcW w:w="566" w:type="dxa"/>
            <w:vAlign w:val="top"/>
          </w:tcPr>
          <w:p w14:paraId="04049468" w14:textId="77777777" w:rsidR="00913494" w:rsidRPr="00850A2D" w:rsidRDefault="00913494" w:rsidP="00673C9A">
            <w:pPr>
              <w:pStyle w:val="MDPI42tablebody"/>
              <w:rPr>
                <w:rFonts w:eastAsia="Palatino Linotype" w:cs="Palatino Linotype"/>
                <w:b/>
                <w:bCs/>
              </w:rPr>
            </w:pPr>
            <w:r w:rsidRPr="00135B1C">
              <w:t>2</w:t>
            </w:r>
          </w:p>
        </w:tc>
        <w:tc>
          <w:tcPr>
            <w:tcW w:w="709" w:type="dxa"/>
            <w:gridSpan w:val="2"/>
            <w:vAlign w:val="top"/>
          </w:tcPr>
          <w:p w14:paraId="3EBE1221" w14:textId="77777777" w:rsidR="00913494" w:rsidRPr="00850A2D" w:rsidRDefault="00913494" w:rsidP="00673C9A">
            <w:pPr>
              <w:pStyle w:val="MDPI42tablebody"/>
              <w:rPr>
                <w:rFonts w:eastAsia="Palatino Linotype" w:cs="Palatino Linotype"/>
                <w:b/>
                <w:bCs/>
              </w:rPr>
            </w:pPr>
            <w:r w:rsidRPr="00135B1C">
              <w:t>2025</w:t>
            </w:r>
          </w:p>
        </w:tc>
        <w:tc>
          <w:tcPr>
            <w:tcW w:w="3543" w:type="dxa"/>
            <w:gridSpan w:val="2"/>
            <w:vAlign w:val="top"/>
          </w:tcPr>
          <w:p w14:paraId="1CCA463F" w14:textId="77777777" w:rsidR="00913494" w:rsidRPr="00850A2D" w:rsidRDefault="00913494" w:rsidP="00673C9A">
            <w:pPr>
              <w:pStyle w:val="MDPI42tablebody"/>
              <w:rPr>
                <w:rFonts w:eastAsia="Palatino Linotype" w:cs="Palatino Linotype"/>
                <w:b/>
                <w:bCs/>
              </w:rPr>
            </w:pPr>
            <w:r w:rsidRPr="00135B1C">
              <w:t>Review of UVS (UAVs, USVs, AUVs/ROVs) for aquatic ecosystem monitoring, highlighting 12-fold increase in applications (2013–2023) and 70% dominance of UAVs.</w:t>
            </w:r>
          </w:p>
        </w:tc>
        <w:tc>
          <w:tcPr>
            <w:tcW w:w="2409" w:type="dxa"/>
            <w:gridSpan w:val="2"/>
            <w:vAlign w:val="top"/>
          </w:tcPr>
          <w:p w14:paraId="16F59297" w14:textId="77777777" w:rsidR="00913494" w:rsidRPr="00850A2D" w:rsidRDefault="00913494" w:rsidP="00673C9A">
            <w:pPr>
              <w:pStyle w:val="MDPI42tablebody"/>
              <w:rPr>
                <w:rFonts w:eastAsia="Palatino Linotype" w:cs="Palatino Linotype"/>
                <w:b/>
                <w:bCs/>
              </w:rPr>
            </w:pPr>
            <w:r w:rsidRPr="00135B1C">
              <w:t>Comprehensive multi-scale monitoring; cost-effective; integrates AI/IoT for data fusion.</w:t>
            </w:r>
          </w:p>
        </w:tc>
        <w:tc>
          <w:tcPr>
            <w:tcW w:w="1988" w:type="dxa"/>
            <w:gridSpan w:val="3"/>
            <w:vAlign w:val="top"/>
          </w:tcPr>
          <w:p w14:paraId="66056B11" w14:textId="77777777" w:rsidR="00913494" w:rsidRPr="00850A2D" w:rsidRDefault="00913494" w:rsidP="00673C9A">
            <w:pPr>
              <w:pStyle w:val="MDPI42tablebody"/>
              <w:rPr>
                <w:rFonts w:eastAsia="Palatino Linotype" w:cs="Palatino Linotype"/>
                <w:b/>
                <w:lang w:val="en-ZA"/>
              </w:rPr>
            </w:pPr>
            <w:r w:rsidRPr="0083054A">
              <w:t>Limited to literature analysis; lacks empirical validation through case studies or data analysis.</w:t>
            </w:r>
            <w:r w:rsidRPr="0083054A">
              <w:rPr>
                <w:rFonts w:ascii="Arial" w:hAnsi="Arial" w:cs="Arial"/>
              </w:rPr>
              <w:t>​</w:t>
            </w:r>
          </w:p>
        </w:tc>
      </w:tr>
      <w:tr w:rsidR="00913494" w14:paraId="32450CA4" w14:textId="77777777" w:rsidTr="00673C9A">
        <w:trPr>
          <w:gridAfter w:val="2"/>
          <w:wAfter w:w="280" w:type="dxa"/>
          <w:trHeight w:val="436"/>
        </w:trPr>
        <w:tc>
          <w:tcPr>
            <w:tcW w:w="1417" w:type="dxa"/>
            <w:vAlign w:val="top"/>
          </w:tcPr>
          <w:p w14:paraId="2BDDB007" w14:textId="77777777" w:rsidR="00913494" w:rsidRPr="00850A2D" w:rsidRDefault="00913494" w:rsidP="00673C9A">
            <w:pPr>
              <w:pStyle w:val="MDPI42tablebody"/>
              <w:rPr>
                <w:rFonts w:eastAsia="Palatino Linotype" w:cs="Palatino Linotype"/>
                <w:b/>
                <w:bCs/>
              </w:rPr>
            </w:pPr>
            <w:r w:rsidRPr="00057F2B">
              <w:t>(Bandara, Jayasignhe and Retscher, 2025)</w:t>
            </w:r>
          </w:p>
        </w:tc>
        <w:tc>
          <w:tcPr>
            <w:tcW w:w="566" w:type="dxa"/>
            <w:vAlign w:val="top"/>
          </w:tcPr>
          <w:p w14:paraId="72B6BDCE" w14:textId="77777777" w:rsidR="00913494" w:rsidRPr="00850A2D" w:rsidRDefault="00913494" w:rsidP="00673C9A">
            <w:pPr>
              <w:pStyle w:val="MDPI42tablebody"/>
              <w:rPr>
                <w:rFonts w:eastAsia="Palatino Linotype" w:cs="Palatino Linotype"/>
                <w:b/>
                <w:bCs/>
              </w:rPr>
            </w:pPr>
            <w:r w:rsidRPr="00135B1C">
              <w:t>0</w:t>
            </w:r>
          </w:p>
        </w:tc>
        <w:tc>
          <w:tcPr>
            <w:tcW w:w="709" w:type="dxa"/>
            <w:gridSpan w:val="2"/>
            <w:vAlign w:val="top"/>
          </w:tcPr>
          <w:p w14:paraId="679C69B1" w14:textId="77777777" w:rsidR="00913494" w:rsidRPr="00850A2D" w:rsidRDefault="00913494" w:rsidP="00673C9A">
            <w:pPr>
              <w:pStyle w:val="MDPI42tablebody"/>
              <w:rPr>
                <w:rFonts w:eastAsia="Palatino Linotype" w:cs="Palatino Linotype"/>
                <w:b/>
                <w:bCs/>
              </w:rPr>
            </w:pPr>
            <w:r w:rsidRPr="00135B1C">
              <w:t>2025</w:t>
            </w:r>
          </w:p>
        </w:tc>
        <w:tc>
          <w:tcPr>
            <w:tcW w:w="3543" w:type="dxa"/>
            <w:gridSpan w:val="2"/>
            <w:vAlign w:val="top"/>
          </w:tcPr>
          <w:p w14:paraId="768F8DD4" w14:textId="77777777" w:rsidR="00913494" w:rsidRPr="00850A2D" w:rsidRDefault="00913494" w:rsidP="00673C9A">
            <w:pPr>
              <w:pStyle w:val="MDPI42tablebody"/>
              <w:rPr>
                <w:rFonts w:eastAsia="Palatino Linotype" w:cs="Palatino Linotype"/>
                <w:b/>
                <w:bCs/>
              </w:rPr>
            </w:pPr>
            <w:r w:rsidRPr="00135B1C">
              <w:t>Systematic review of IoT-LBS integration for water quality monitoring, emphasizing spatial-temporal resolution improvements using GNSS and sensor networks.</w:t>
            </w:r>
          </w:p>
        </w:tc>
        <w:tc>
          <w:tcPr>
            <w:tcW w:w="2409" w:type="dxa"/>
            <w:gridSpan w:val="2"/>
            <w:vAlign w:val="top"/>
          </w:tcPr>
          <w:p w14:paraId="7C40F8BF" w14:textId="77777777" w:rsidR="00913494" w:rsidRPr="00850A2D" w:rsidRDefault="00913494" w:rsidP="00673C9A">
            <w:pPr>
              <w:pStyle w:val="MDPI42tablebody"/>
              <w:rPr>
                <w:rFonts w:eastAsia="Palatino Linotype" w:cs="Palatino Linotype"/>
                <w:b/>
                <w:bCs/>
              </w:rPr>
            </w:pPr>
            <w:r w:rsidRPr="00135B1C">
              <w:t>Enables real-time, location-specific monitoring; integrates multi-GNSS modules (GPS/Galileo/GLONASS) for precision; addresses urban and remote aquatic environments.</w:t>
            </w:r>
          </w:p>
        </w:tc>
        <w:tc>
          <w:tcPr>
            <w:tcW w:w="1988" w:type="dxa"/>
            <w:gridSpan w:val="3"/>
            <w:vAlign w:val="top"/>
          </w:tcPr>
          <w:p w14:paraId="6393A59B" w14:textId="77777777" w:rsidR="00913494" w:rsidRPr="00850A2D" w:rsidRDefault="00913494" w:rsidP="00673C9A">
            <w:pPr>
              <w:pStyle w:val="MDPI42tablebody"/>
              <w:rPr>
                <w:rFonts w:eastAsia="Palatino Linotype" w:cs="Palatino Linotype"/>
                <w:b/>
                <w:lang w:val="en-ZA"/>
              </w:rPr>
            </w:pPr>
            <w:r w:rsidRPr="0083054A">
              <w:t>Lacks empirical validation; solutions are based on literature synthesis without case studies</w:t>
            </w:r>
          </w:p>
        </w:tc>
      </w:tr>
      <w:tr w:rsidR="00913494" w14:paraId="414FDFD5" w14:textId="77777777" w:rsidTr="00673C9A">
        <w:trPr>
          <w:gridAfter w:val="2"/>
          <w:wAfter w:w="280" w:type="dxa"/>
          <w:trHeight w:val="436"/>
        </w:trPr>
        <w:tc>
          <w:tcPr>
            <w:tcW w:w="1417" w:type="dxa"/>
            <w:vAlign w:val="top"/>
          </w:tcPr>
          <w:p w14:paraId="1E02C78C" w14:textId="77777777" w:rsidR="00913494" w:rsidRPr="00850A2D" w:rsidRDefault="00913494" w:rsidP="00673C9A">
            <w:pPr>
              <w:pStyle w:val="MDPI42tablebody"/>
              <w:rPr>
                <w:rFonts w:eastAsia="Palatino Linotype" w:cs="Palatino Linotype"/>
                <w:b/>
                <w:bCs/>
              </w:rPr>
            </w:pPr>
            <w:r w:rsidRPr="00057F2B">
              <w:t>(Flores-Iwasaki et al., 2025)</w:t>
            </w:r>
          </w:p>
        </w:tc>
        <w:tc>
          <w:tcPr>
            <w:tcW w:w="566" w:type="dxa"/>
            <w:vAlign w:val="top"/>
          </w:tcPr>
          <w:p w14:paraId="6BAE02C6" w14:textId="77777777" w:rsidR="00913494" w:rsidRPr="00850A2D" w:rsidRDefault="00913494" w:rsidP="00673C9A">
            <w:pPr>
              <w:pStyle w:val="MDPI42tablebody"/>
              <w:rPr>
                <w:rFonts w:eastAsia="Palatino Linotype" w:cs="Palatino Linotype"/>
                <w:b/>
                <w:bCs/>
              </w:rPr>
            </w:pPr>
            <w:r w:rsidRPr="00135B1C">
              <w:t>0</w:t>
            </w:r>
          </w:p>
        </w:tc>
        <w:tc>
          <w:tcPr>
            <w:tcW w:w="709" w:type="dxa"/>
            <w:gridSpan w:val="2"/>
            <w:vAlign w:val="top"/>
          </w:tcPr>
          <w:p w14:paraId="0DAD599F" w14:textId="77777777" w:rsidR="00913494" w:rsidRPr="00850A2D" w:rsidRDefault="00913494" w:rsidP="00673C9A">
            <w:pPr>
              <w:pStyle w:val="MDPI42tablebody"/>
              <w:rPr>
                <w:rFonts w:eastAsia="Palatino Linotype" w:cs="Palatino Linotype"/>
                <w:b/>
                <w:bCs/>
              </w:rPr>
            </w:pPr>
            <w:r w:rsidRPr="00135B1C">
              <w:t>2025</w:t>
            </w:r>
          </w:p>
        </w:tc>
        <w:tc>
          <w:tcPr>
            <w:tcW w:w="3543" w:type="dxa"/>
            <w:gridSpan w:val="2"/>
            <w:vAlign w:val="top"/>
          </w:tcPr>
          <w:p w14:paraId="4E53ED9F" w14:textId="77777777" w:rsidR="00913494" w:rsidRPr="00850A2D" w:rsidRDefault="00913494" w:rsidP="00673C9A">
            <w:pPr>
              <w:pStyle w:val="MDPI42tablebody"/>
              <w:rPr>
                <w:rFonts w:eastAsia="Palatino Linotype" w:cs="Palatino Linotype"/>
                <w:b/>
                <w:bCs/>
              </w:rPr>
            </w:pPr>
            <w:r w:rsidRPr="00135B1C">
              <w:t>Reviewed IoT sensors for water quality monitoring in aquaculture, highlighting pH, temperature, and dissolved oxygen as key parameters</w:t>
            </w:r>
          </w:p>
        </w:tc>
        <w:tc>
          <w:tcPr>
            <w:tcW w:w="2409" w:type="dxa"/>
            <w:gridSpan w:val="2"/>
            <w:vAlign w:val="top"/>
          </w:tcPr>
          <w:p w14:paraId="04CFC3D5" w14:textId="77777777" w:rsidR="00913494" w:rsidRPr="00850A2D" w:rsidRDefault="00913494" w:rsidP="00673C9A">
            <w:pPr>
              <w:pStyle w:val="MDPI42tablebody"/>
              <w:rPr>
                <w:rFonts w:eastAsia="Palatino Linotype" w:cs="Palatino Linotype"/>
                <w:b/>
                <w:bCs/>
              </w:rPr>
            </w:pPr>
            <w:r w:rsidRPr="00135B1C">
              <w:t>Real-time monitoring, improved growth rates, reduced mortality</w:t>
            </w:r>
          </w:p>
        </w:tc>
        <w:tc>
          <w:tcPr>
            <w:tcW w:w="1988" w:type="dxa"/>
            <w:gridSpan w:val="3"/>
            <w:vAlign w:val="top"/>
          </w:tcPr>
          <w:p w14:paraId="31987867" w14:textId="77777777" w:rsidR="00913494" w:rsidRPr="00850A2D" w:rsidRDefault="00913494" w:rsidP="00673C9A">
            <w:pPr>
              <w:pStyle w:val="MDPI42tablebody"/>
              <w:rPr>
                <w:rFonts w:eastAsia="Palatino Linotype" w:cs="Palatino Linotype"/>
                <w:b/>
                <w:bCs/>
              </w:rPr>
            </w:pPr>
            <w:r w:rsidRPr="0083054A">
              <w:t>Lacks empirical validation; based solely on literature synthesis</w:t>
            </w:r>
          </w:p>
        </w:tc>
      </w:tr>
      <w:tr w:rsidR="00913494" w14:paraId="7CD7306D" w14:textId="77777777" w:rsidTr="00673C9A">
        <w:trPr>
          <w:gridAfter w:val="2"/>
          <w:wAfter w:w="280" w:type="dxa"/>
          <w:trHeight w:val="436"/>
        </w:trPr>
        <w:tc>
          <w:tcPr>
            <w:tcW w:w="1417" w:type="dxa"/>
            <w:vAlign w:val="top"/>
          </w:tcPr>
          <w:p w14:paraId="304AD51B" w14:textId="77777777" w:rsidR="00913494" w:rsidRPr="00850A2D" w:rsidRDefault="00913494" w:rsidP="00673C9A">
            <w:pPr>
              <w:pStyle w:val="MDPI42tablebody"/>
              <w:rPr>
                <w:rFonts w:eastAsia="Palatino Linotype" w:cs="Palatino Linotype"/>
                <w:b/>
                <w:bCs/>
              </w:rPr>
            </w:pPr>
            <w:r w:rsidRPr="00057F2B">
              <w:lastRenderedPageBreak/>
              <w:t>(Silva et al., 2022)</w:t>
            </w:r>
          </w:p>
        </w:tc>
        <w:tc>
          <w:tcPr>
            <w:tcW w:w="566" w:type="dxa"/>
            <w:vAlign w:val="top"/>
          </w:tcPr>
          <w:p w14:paraId="41DE47C6" w14:textId="77777777" w:rsidR="00913494" w:rsidRPr="00850A2D" w:rsidRDefault="00913494" w:rsidP="00673C9A">
            <w:pPr>
              <w:pStyle w:val="MDPI42tablebody"/>
              <w:rPr>
                <w:rFonts w:eastAsia="Palatino Linotype" w:cs="Palatino Linotype"/>
                <w:b/>
                <w:bCs/>
              </w:rPr>
            </w:pPr>
            <w:r w:rsidRPr="00135B1C">
              <w:t>53</w:t>
            </w:r>
          </w:p>
        </w:tc>
        <w:tc>
          <w:tcPr>
            <w:tcW w:w="709" w:type="dxa"/>
            <w:gridSpan w:val="2"/>
            <w:vAlign w:val="top"/>
          </w:tcPr>
          <w:p w14:paraId="07743E0A" w14:textId="77777777" w:rsidR="00913494" w:rsidRPr="00850A2D" w:rsidRDefault="00913494" w:rsidP="00673C9A">
            <w:pPr>
              <w:pStyle w:val="MDPI42tablebody"/>
              <w:rPr>
                <w:rFonts w:eastAsia="Palatino Linotype" w:cs="Palatino Linotype"/>
                <w:b/>
                <w:bCs/>
              </w:rPr>
            </w:pPr>
            <w:r w:rsidRPr="00135B1C">
              <w:t>2022</w:t>
            </w:r>
          </w:p>
        </w:tc>
        <w:tc>
          <w:tcPr>
            <w:tcW w:w="3543" w:type="dxa"/>
            <w:gridSpan w:val="2"/>
            <w:vAlign w:val="top"/>
          </w:tcPr>
          <w:p w14:paraId="117CC793" w14:textId="77777777" w:rsidR="00913494" w:rsidRPr="00850A2D" w:rsidRDefault="00913494" w:rsidP="00673C9A">
            <w:pPr>
              <w:pStyle w:val="MDPI42tablebody"/>
              <w:rPr>
                <w:rFonts w:eastAsia="Palatino Linotype" w:cs="Palatino Linotype"/>
                <w:b/>
                <w:bCs/>
              </w:rPr>
            </w:pPr>
            <w:r w:rsidRPr="00135B1C">
              <w:t>Review of low-cost, in-situ technologies for water quality monitoring (physical, chemical, biological parameters)</w:t>
            </w:r>
          </w:p>
        </w:tc>
        <w:tc>
          <w:tcPr>
            <w:tcW w:w="2409" w:type="dxa"/>
            <w:gridSpan w:val="2"/>
            <w:vAlign w:val="top"/>
          </w:tcPr>
          <w:p w14:paraId="7B00FFE1" w14:textId="77777777" w:rsidR="00913494" w:rsidRPr="00850A2D" w:rsidRDefault="00913494" w:rsidP="00673C9A">
            <w:pPr>
              <w:pStyle w:val="MDPI42tablebody"/>
              <w:rPr>
                <w:rFonts w:eastAsia="Palatino Linotype" w:cs="Palatino Linotype"/>
                <w:b/>
                <w:bCs/>
              </w:rPr>
            </w:pPr>
            <w:r w:rsidRPr="00135B1C">
              <w:t>Covers optical/electrochemical sensors, IoT integration, real-time data</w:t>
            </w:r>
          </w:p>
        </w:tc>
        <w:tc>
          <w:tcPr>
            <w:tcW w:w="1988" w:type="dxa"/>
            <w:gridSpan w:val="3"/>
            <w:vAlign w:val="top"/>
          </w:tcPr>
          <w:p w14:paraId="706564C1" w14:textId="77777777" w:rsidR="00913494" w:rsidRPr="00850A2D" w:rsidRDefault="00913494" w:rsidP="00673C9A">
            <w:pPr>
              <w:pStyle w:val="MDPI42tablebody"/>
              <w:rPr>
                <w:rFonts w:eastAsia="Palatino Linotype" w:cs="Palatino Linotype"/>
                <w:b/>
                <w:bCs/>
              </w:rPr>
            </w:pPr>
            <w:r w:rsidRPr="0083054A">
              <w:t>Lacks empirical validation; solutions are based on literature synthesis without case studies</w:t>
            </w:r>
          </w:p>
        </w:tc>
      </w:tr>
      <w:tr w:rsidR="00913494" w14:paraId="2EB7AC4E" w14:textId="77777777" w:rsidTr="00673C9A">
        <w:trPr>
          <w:gridAfter w:val="2"/>
          <w:wAfter w:w="280" w:type="dxa"/>
          <w:trHeight w:val="436"/>
        </w:trPr>
        <w:tc>
          <w:tcPr>
            <w:tcW w:w="1417" w:type="dxa"/>
            <w:vAlign w:val="top"/>
          </w:tcPr>
          <w:p w14:paraId="6669D096" w14:textId="77777777" w:rsidR="00913494" w:rsidRPr="00850A2D" w:rsidRDefault="00913494" w:rsidP="00673C9A">
            <w:pPr>
              <w:pStyle w:val="MDPI42tablebody"/>
              <w:rPr>
                <w:rFonts w:eastAsia="Palatino Linotype" w:cs="Palatino Linotype"/>
                <w:b/>
                <w:bCs/>
              </w:rPr>
            </w:pPr>
            <w:r w:rsidRPr="00057F2B">
              <w:t>(Sudriani, Sebestyén and Abonyi, 2023)</w:t>
            </w:r>
          </w:p>
        </w:tc>
        <w:tc>
          <w:tcPr>
            <w:tcW w:w="566" w:type="dxa"/>
            <w:vAlign w:val="top"/>
          </w:tcPr>
          <w:p w14:paraId="0474089A" w14:textId="77777777" w:rsidR="00913494" w:rsidRPr="00850A2D" w:rsidRDefault="00913494" w:rsidP="00673C9A">
            <w:pPr>
              <w:pStyle w:val="MDPI42tablebody"/>
              <w:rPr>
                <w:rFonts w:eastAsia="Palatino Linotype" w:cs="Palatino Linotype"/>
                <w:b/>
                <w:bCs/>
              </w:rPr>
            </w:pPr>
            <w:r w:rsidRPr="00135B1C">
              <w:t>14</w:t>
            </w:r>
          </w:p>
        </w:tc>
        <w:tc>
          <w:tcPr>
            <w:tcW w:w="709" w:type="dxa"/>
            <w:gridSpan w:val="2"/>
            <w:vAlign w:val="top"/>
          </w:tcPr>
          <w:p w14:paraId="727AA3F4" w14:textId="77777777" w:rsidR="00913494" w:rsidRPr="00850A2D" w:rsidRDefault="00913494" w:rsidP="00673C9A">
            <w:pPr>
              <w:pStyle w:val="MDPI42tablebody"/>
              <w:rPr>
                <w:rFonts w:eastAsia="Palatino Linotype" w:cs="Palatino Linotype"/>
                <w:b/>
                <w:bCs/>
              </w:rPr>
            </w:pPr>
            <w:r w:rsidRPr="00135B1C">
              <w:t>2023</w:t>
            </w:r>
          </w:p>
        </w:tc>
        <w:tc>
          <w:tcPr>
            <w:tcW w:w="3543" w:type="dxa"/>
            <w:gridSpan w:val="2"/>
            <w:vAlign w:val="top"/>
          </w:tcPr>
          <w:p w14:paraId="65F0C7B1" w14:textId="77777777" w:rsidR="00913494" w:rsidRPr="00850A2D" w:rsidRDefault="00913494" w:rsidP="00673C9A">
            <w:pPr>
              <w:pStyle w:val="MDPI42tablebody"/>
              <w:rPr>
                <w:rFonts w:eastAsia="Palatino Linotype" w:cs="Palatino Linotype"/>
                <w:b/>
                <w:bCs/>
              </w:rPr>
            </w:pPr>
            <w:r w:rsidRPr="00135B1C">
              <w:t>Proposes FIMS framework integrating sensors, remote sensing, and models for watershed management</w:t>
            </w:r>
          </w:p>
        </w:tc>
        <w:tc>
          <w:tcPr>
            <w:tcW w:w="2409" w:type="dxa"/>
            <w:gridSpan w:val="2"/>
            <w:vAlign w:val="top"/>
          </w:tcPr>
          <w:p w14:paraId="6129BB79" w14:textId="77777777" w:rsidR="00913494" w:rsidRPr="00850A2D" w:rsidRDefault="00913494" w:rsidP="00673C9A">
            <w:pPr>
              <w:pStyle w:val="MDPI42tablebody"/>
              <w:rPr>
                <w:rFonts w:eastAsia="Palatino Linotype" w:cs="Palatino Linotype"/>
                <w:b/>
                <w:bCs/>
              </w:rPr>
            </w:pPr>
            <w:r w:rsidRPr="00135B1C">
              <w:t>Comprehensive review (300+ papers), practical framework, emphasizes AI integration</w:t>
            </w:r>
          </w:p>
        </w:tc>
        <w:tc>
          <w:tcPr>
            <w:tcW w:w="1988" w:type="dxa"/>
            <w:gridSpan w:val="3"/>
            <w:vAlign w:val="top"/>
          </w:tcPr>
          <w:p w14:paraId="1909F98F" w14:textId="77777777" w:rsidR="00913494" w:rsidRPr="00850A2D" w:rsidRDefault="00913494" w:rsidP="00673C9A">
            <w:pPr>
              <w:pStyle w:val="MDPI42tablebody"/>
              <w:rPr>
                <w:rFonts w:eastAsia="Palatino Linotype" w:cs="Palatino Linotype"/>
                <w:b/>
                <w:bCs/>
              </w:rPr>
            </w:pPr>
            <w:r w:rsidRPr="0083054A">
              <w:t>Limited to literature analysis; lacks empirical validation through case studies or data analysis</w:t>
            </w:r>
          </w:p>
        </w:tc>
      </w:tr>
      <w:tr w:rsidR="00913494" w14:paraId="1FD224B6" w14:textId="77777777" w:rsidTr="00673C9A">
        <w:trPr>
          <w:gridAfter w:val="2"/>
          <w:wAfter w:w="280" w:type="dxa"/>
          <w:trHeight w:val="436"/>
        </w:trPr>
        <w:tc>
          <w:tcPr>
            <w:tcW w:w="1417" w:type="dxa"/>
            <w:vAlign w:val="top"/>
          </w:tcPr>
          <w:p w14:paraId="5759FF81" w14:textId="77777777" w:rsidR="00913494" w:rsidRPr="00850A2D" w:rsidRDefault="00913494" w:rsidP="00673C9A">
            <w:pPr>
              <w:pStyle w:val="MDPI42tablebody"/>
              <w:rPr>
                <w:rFonts w:eastAsia="Palatino Linotype" w:cs="Palatino Linotype"/>
                <w:b/>
                <w:bCs/>
              </w:rPr>
            </w:pPr>
            <w:r w:rsidRPr="00057F2B">
              <w:t>(Ruiz-Vanoye et al., 2025)</w:t>
            </w:r>
          </w:p>
        </w:tc>
        <w:tc>
          <w:tcPr>
            <w:tcW w:w="566" w:type="dxa"/>
            <w:vAlign w:val="top"/>
          </w:tcPr>
          <w:p w14:paraId="32ABE988" w14:textId="77777777" w:rsidR="00913494" w:rsidRPr="00850A2D" w:rsidRDefault="00913494" w:rsidP="00673C9A">
            <w:pPr>
              <w:pStyle w:val="MDPI42tablebody"/>
              <w:rPr>
                <w:rFonts w:eastAsia="Palatino Linotype" w:cs="Palatino Linotype"/>
                <w:b/>
                <w:bCs/>
              </w:rPr>
            </w:pPr>
            <w:r w:rsidRPr="00135B1C">
              <w:t>0</w:t>
            </w:r>
          </w:p>
        </w:tc>
        <w:tc>
          <w:tcPr>
            <w:tcW w:w="709" w:type="dxa"/>
            <w:gridSpan w:val="2"/>
            <w:vAlign w:val="top"/>
          </w:tcPr>
          <w:p w14:paraId="082ACEF1" w14:textId="77777777" w:rsidR="00913494" w:rsidRPr="00850A2D" w:rsidRDefault="00913494" w:rsidP="00673C9A">
            <w:pPr>
              <w:pStyle w:val="MDPI42tablebody"/>
              <w:rPr>
                <w:rFonts w:eastAsia="Palatino Linotype" w:cs="Palatino Linotype"/>
                <w:b/>
                <w:bCs/>
              </w:rPr>
            </w:pPr>
            <w:r w:rsidRPr="00135B1C">
              <w:t>2025</w:t>
            </w:r>
          </w:p>
        </w:tc>
        <w:tc>
          <w:tcPr>
            <w:tcW w:w="3543" w:type="dxa"/>
            <w:gridSpan w:val="2"/>
            <w:vAlign w:val="top"/>
          </w:tcPr>
          <w:p w14:paraId="6D51A06E" w14:textId="77777777" w:rsidR="00913494" w:rsidRPr="00850A2D" w:rsidRDefault="00913494" w:rsidP="00673C9A">
            <w:pPr>
              <w:pStyle w:val="MDPI42tablebody"/>
              <w:rPr>
                <w:rFonts w:eastAsia="Palatino Linotype" w:cs="Palatino Linotype"/>
                <w:b/>
                <w:bCs/>
              </w:rPr>
            </w:pPr>
            <w:r w:rsidRPr="00135B1C">
              <w:t>Proposed QoAS concept for sustainable IMTA using IoT/AI</w:t>
            </w:r>
          </w:p>
        </w:tc>
        <w:tc>
          <w:tcPr>
            <w:tcW w:w="2409" w:type="dxa"/>
            <w:gridSpan w:val="2"/>
            <w:vAlign w:val="top"/>
          </w:tcPr>
          <w:p w14:paraId="6F849498" w14:textId="77777777" w:rsidR="00913494" w:rsidRPr="00850A2D" w:rsidRDefault="00913494" w:rsidP="00673C9A">
            <w:pPr>
              <w:pStyle w:val="MDPI42tablebody"/>
              <w:rPr>
                <w:rFonts w:eastAsia="Palatino Linotype" w:cs="Palatino Linotype"/>
                <w:b/>
                <w:bCs/>
              </w:rPr>
            </w:pPr>
            <w:r w:rsidRPr="00135B1C">
              <w:t>Improves real-time monitoring &amp; sustainability</w:t>
            </w:r>
          </w:p>
        </w:tc>
        <w:tc>
          <w:tcPr>
            <w:tcW w:w="1988" w:type="dxa"/>
            <w:gridSpan w:val="3"/>
            <w:vAlign w:val="top"/>
          </w:tcPr>
          <w:p w14:paraId="4C457624" w14:textId="77777777" w:rsidR="00913494" w:rsidRPr="00850A2D" w:rsidRDefault="00913494" w:rsidP="00673C9A">
            <w:pPr>
              <w:pStyle w:val="MDPI42tablebody"/>
              <w:rPr>
                <w:rFonts w:eastAsia="Palatino Linotype" w:cs="Palatino Linotype"/>
                <w:b/>
                <w:bCs/>
              </w:rPr>
            </w:pPr>
            <w:r w:rsidRPr="0083054A">
              <w:t>Lacks empirical validation; based solely on literature synthesis</w:t>
            </w:r>
          </w:p>
        </w:tc>
      </w:tr>
      <w:tr w:rsidR="00913494" w14:paraId="63FD116D" w14:textId="77777777" w:rsidTr="00673C9A">
        <w:trPr>
          <w:gridAfter w:val="2"/>
          <w:wAfter w:w="280" w:type="dxa"/>
          <w:trHeight w:val="445"/>
        </w:trPr>
        <w:tc>
          <w:tcPr>
            <w:tcW w:w="1417" w:type="dxa"/>
            <w:vAlign w:val="top"/>
          </w:tcPr>
          <w:p w14:paraId="5BD72797" w14:textId="77777777" w:rsidR="00913494" w:rsidRPr="00850A2D" w:rsidRDefault="00913494" w:rsidP="00673C9A">
            <w:pPr>
              <w:pStyle w:val="MDPI42tablebody"/>
              <w:rPr>
                <w:rFonts w:eastAsia="Palatino Linotype" w:cs="Palatino Linotype"/>
                <w:b/>
                <w:bCs/>
              </w:rPr>
            </w:pPr>
            <w:r w:rsidRPr="00057F2B">
              <w:t>(Manoj et al., 2022)</w:t>
            </w:r>
          </w:p>
        </w:tc>
        <w:tc>
          <w:tcPr>
            <w:tcW w:w="566" w:type="dxa"/>
            <w:vAlign w:val="top"/>
          </w:tcPr>
          <w:p w14:paraId="6816C503" w14:textId="77777777" w:rsidR="00913494" w:rsidRPr="00265B6E" w:rsidRDefault="00913494" w:rsidP="00673C9A">
            <w:pPr>
              <w:pStyle w:val="MDPI42tablebody"/>
              <w:rPr>
                <w:rFonts w:eastAsia="Palatino Linotype" w:cs="Palatino Linotype"/>
              </w:rPr>
            </w:pPr>
            <w:r w:rsidRPr="00135B1C">
              <w:t>82</w:t>
            </w:r>
          </w:p>
        </w:tc>
        <w:tc>
          <w:tcPr>
            <w:tcW w:w="709" w:type="dxa"/>
            <w:gridSpan w:val="2"/>
            <w:vAlign w:val="top"/>
          </w:tcPr>
          <w:p w14:paraId="4C90F947" w14:textId="77777777" w:rsidR="00913494" w:rsidRPr="00850A2D" w:rsidRDefault="00913494" w:rsidP="00673C9A">
            <w:pPr>
              <w:pStyle w:val="MDPI42tablebody"/>
              <w:rPr>
                <w:rFonts w:eastAsia="Palatino Linotype" w:cs="Palatino Linotype"/>
                <w:b/>
                <w:bCs/>
              </w:rPr>
            </w:pPr>
            <w:r w:rsidRPr="00135B1C">
              <w:t>2022</w:t>
            </w:r>
          </w:p>
        </w:tc>
        <w:tc>
          <w:tcPr>
            <w:tcW w:w="3543" w:type="dxa"/>
            <w:gridSpan w:val="2"/>
            <w:vAlign w:val="top"/>
          </w:tcPr>
          <w:p w14:paraId="70B7F5ED" w14:textId="77777777" w:rsidR="00913494" w:rsidRPr="00850A2D" w:rsidRDefault="00913494" w:rsidP="00673C9A">
            <w:pPr>
              <w:pStyle w:val="MDPI42tablebody"/>
              <w:rPr>
                <w:rFonts w:eastAsia="Palatino Linotype" w:cs="Palatino Linotype"/>
                <w:b/>
                <w:bCs/>
              </w:rPr>
            </w:pPr>
            <w:r w:rsidRPr="00135B1C">
              <w:t>Reviewed IoT-based WQMS for fish ponds, highlighting real-time monitoring with Arduino/Raspberry Pi and sensors</w:t>
            </w:r>
          </w:p>
        </w:tc>
        <w:tc>
          <w:tcPr>
            <w:tcW w:w="2409" w:type="dxa"/>
            <w:gridSpan w:val="2"/>
            <w:vAlign w:val="top"/>
          </w:tcPr>
          <w:p w14:paraId="5C627CD5" w14:textId="77777777" w:rsidR="00913494" w:rsidRPr="00850A2D" w:rsidRDefault="00913494" w:rsidP="00673C9A">
            <w:pPr>
              <w:pStyle w:val="MDPI42tablebody"/>
              <w:rPr>
                <w:rFonts w:eastAsia="Palatino Linotype" w:cs="Palatino Linotype"/>
                <w:b/>
                <w:bCs/>
              </w:rPr>
            </w:pPr>
            <w:r w:rsidRPr="00135B1C">
              <w:t>Enables automated water quality management; cost-effective</w:t>
            </w:r>
          </w:p>
        </w:tc>
        <w:tc>
          <w:tcPr>
            <w:tcW w:w="1988" w:type="dxa"/>
            <w:gridSpan w:val="3"/>
            <w:vAlign w:val="top"/>
          </w:tcPr>
          <w:p w14:paraId="495BDB68" w14:textId="77777777" w:rsidR="00913494" w:rsidRPr="00850A2D" w:rsidRDefault="00913494" w:rsidP="00673C9A">
            <w:pPr>
              <w:pStyle w:val="MDPI42tablebody"/>
              <w:rPr>
                <w:rFonts w:eastAsia="Palatino Linotype" w:cs="Palatino Linotype"/>
                <w:b/>
                <w:bCs/>
              </w:rPr>
            </w:pPr>
            <w:r w:rsidRPr="0083054A">
              <w:t>Limited to literature; lacks empirical validation through case studies</w:t>
            </w:r>
          </w:p>
        </w:tc>
      </w:tr>
      <w:tr w:rsidR="00913494" w14:paraId="5BAF80ED" w14:textId="77777777" w:rsidTr="00673C9A">
        <w:trPr>
          <w:gridAfter w:val="2"/>
          <w:wAfter w:w="280" w:type="dxa"/>
          <w:trHeight w:val="445"/>
        </w:trPr>
        <w:tc>
          <w:tcPr>
            <w:tcW w:w="1417" w:type="dxa"/>
            <w:vAlign w:val="top"/>
          </w:tcPr>
          <w:p w14:paraId="7E926AF8" w14:textId="77777777" w:rsidR="00913494" w:rsidRPr="00850A2D" w:rsidRDefault="00913494" w:rsidP="00673C9A">
            <w:pPr>
              <w:pStyle w:val="MDPI42tablebody"/>
              <w:rPr>
                <w:rFonts w:eastAsia="Palatino Linotype" w:cs="Palatino Linotype"/>
                <w:b/>
                <w:bCs/>
              </w:rPr>
            </w:pPr>
            <w:r w:rsidRPr="00057F2B">
              <w:t>(Dalal, 2023)</w:t>
            </w:r>
          </w:p>
        </w:tc>
        <w:tc>
          <w:tcPr>
            <w:tcW w:w="566" w:type="dxa"/>
            <w:vAlign w:val="top"/>
          </w:tcPr>
          <w:p w14:paraId="521EAD45" w14:textId="77777777" w:rsidR="00913494" w:rsidRPr="00265B6E" w:rsidRDefault="00913494" w:rsidP="00673C9A">
            <w:pPr>
              <w:pStyle w:val="MDPI42tablebody"/>
              <w:rPr>
                <w:rFonts w:eastAsia="Palatino Linotype" w:cs="Palatino Linotype"/>
              </w:rPr>
            </w:pPr>
            <w:r w:rsidRPr="00135B1C">
              <w:t>2</w:t>
            </w:r>
          </w:p>
        </w:tc>
        <w:tc>
          <w:tcPr>
            <w:tcW w:w="709" w:type="dxa"/>
            <w:gridSpan w:val="2"/>
            <w:vAlign w:val="top"/>
          </w:tcPr>
          <w:p w14:paraId="7DEA0F99" w14:textId="77777777" w:rsidR="00913494" w:rsidRPr="00850A2D" w:rsidRDefault="00913494" w:rsidP="00673C9A">
            <w:pPr>
              <w:pStyle w:val="MDPI42tablebody"/>
              <w:rPr>
                <w:rFonts w:eastAsia="Palatino Linotype" w:cs="Palatino Linotype"/>
                <w:b/>
                <w:bCs/>
              </w:rPr>
            </w:pPr>
            <w:r w:rsidRPr="00135B1C">
              <w:t>2023</w:t>
            </w:r>
          </w:p>
        </w:tc>
        <w:tc>
          <w:tcPr>
            <w:tcW w:w="3543" w:type="dxa"/>
            <w:gridSpan w:val="2"/>
            <w:vAlign w:val="top"/>
          </w:tcPr>
          <w:p w14:paraId="17655121" w14:textId="77777777" w:rsidR="00913494" w:rsidRPr="00850A2D" w:rsidRDefault="00913494" w:rsidP="00673C9A">
            <w:pPr>
              <w:pStyle w:val="MDPI42tablebody"/>
              <w:rPr>
                <w:rFonts w:eastAsia="Palatino Linotype" w:cs="Palatino Linotype"/>
                <w:b/>
                <w:bCs/>
              </w:rPr>
            </w:pPr>
            <w:r w:rsidRPr="00135B1C">
              <w:t>Review of ML models (SVM, RF, ANN, CNN, RNN) for predicting water quality parameters; highlights data integration and feature selection</w:t>
            </w:r>
          </w:p>
        </w:tc>
        <w:tc>
          <w:tcPr>
            <w:tcW w:w="2409" w:type="dxa"/>
            <w:gridSpan w:val="2"/>
            <w:vAlign w:val="top"/>
          </w:tcPr>
          <w:p w14:paraId="24E60BDF" w14:textId="77777777" w:rsidR="00913494" w:rsidRPr="00850A2D" w:rsidRDefault="00913494" w:rsidP="00673C9A">
            <w:pPr>
              <w:pStyle w:val="MDPI42tablebody"/>
              <w:rPr>
                <w:rFonts w:eastAsia="Palatino Linotype" w:cs="Palatino Linotype"/>
                <w:b/>
                <w:bCs/>
              </w:rPr>
            </w:pPr>
            <w:r w:rsidRPr="00135B1C">
              <w:t>High accuracy, automation, adaptability, scalable</w:t>
            </w:r>
          </w:p>
        </w:tc>
        <w:tc>
          <w:tcPr>
            <w:tcW w:w="1988" w:type="dxa"/>
            <w:gridSpan w:val="3"/>
            <w:vAlign w:val="top"/>
          </w:tcPr>
          <w:p w14:paraId="28623C49" w14:textId="77777777" w:rsidR="00913494" w:rsidRPr="00850A2D" w:rsidRDefault="00913494" w:rsidP="00673C9A">
            <w:pPr>
              <w:pStyle w:val="MDPI42tablebody"/>
              <w:rPr>
                <w:rFonts w:eastAsia="Palatino Linotype" w:cs="Palatino Linotype"/>
                <w:b/>
                <w:bCs/>
              </w:rPr>
            </w:pPr>
            <w:r w:rsidRPr="0083054A">
              <w:t>Focuses primarily on theoretical aspects; lacks empirical case studies to validate findings</w:t>
            </w:r>
          </w:p>
        </w:tc>
      </w:tr>
      <w:tr w:rsidR="00913494" w14:paraId="23DB8E51" w14:textId="77777777" w:rsidTr="00673C9A">
        <w:trPr>
          <w:gridAfter w:val="2"/>
          <w:wAfter w:w="280" w:type="dxa"/>
          <w:trHeight w:val="445"/>
        </w:trPr>
        <w:tc>
          <w:tcPr>
            <w:tcW w:w="1417" w:type="dxa"/>
            <w:vAlign w:val="top"/>
          </w:tcPr>
          <w:p w14:paraId="76F1FE14" w14:textId="77777777" w:rsidR="00913494" w:rsidRPr="00850A2D" w:rsidRDefault="00913494" w:rsidP="00673C9A">
            <w:pPr>
              <w:pStyle w:val="MDPI42tablebody"/>
              <w:rPr>
                <w:rFonts w:eastAsia="Palatino Linotype" w:cs="Palatino Linotype"/>
                <w:b/>
                <w:bCs/>
              </w:rPr>
            </w:pPr>
            <w:r w:rsidRPr="00057F2B">
              <w:t>(Agbehadji et al., 2023)</w:t>
            </w:r>
          </w:p>
        </w:tc>
        <w:tc>
          <w:tcPr>
            <w:tcW w:w="566" w:type="dxa"/>
            <w:vAlign w:val="top"/>
          </w:tcPr>
          <w:p w14:paraId="3CAD3A61" w14:textId="77777777" w:rsidR="00913494" w:rsidRPr="00265B6E" w:rsidRDefault="00913494" w:rsidP="00673C9A">
            <w:pPr>
              <w:pStyle w:val="MDPI42tablebody"/>
              <w:rPr>
                <w:rFonts w:eastAsia="Palatino Linotype" w:cs="Palatino Linotype"/>
              </w:rPr>
            </w:pPr>
            <w:r w:rsidRPr="00135B1C">
              <w:t>25</w:t>
            </w:r>
          </w:p>
        </w:tc>
        <w:tc>
          <w:tcPr>
            <w:tcW w:w="709" w:type="dxa"/>
            <w:gridSpan w:val="2"/>
            <w:vAlign w:val="top"/>
          </w:tcPr>
          <w:p w14:paraId="5CA5717B" w14:textId="77777777" w:rsidR="00913494" w:rsidRPr="00850A2D" w:rsidRDefault="00913494" w:rsidP="00673C9A">
            <w:pPr>
              <w:pStyle w:val="MDPI42tablebody"/>
              <w:rPr>
                <w:rFonts w:eastAsia="Palatino Linotype" w:cs="Palatino Linotype"/>
                <w:b/>
                <w:bCs/>
              </w:rPr>
            </w:pPr>
            <w:r w:rsidRPr="00135B1C">
              <w:t>2023</w:t>
            </w:r>
          </w:p>
        </w:tc>
        <w:tc>
          <w:tcPr>
            <w:tcW w:w="3543" w:type="dxa"/>
            <w:gridSpan w:val="2"/>
            <w:vAlign w:val="top"/>
          </w:tcPr>
          <w:p w14:paraId="51FF5825" w14:textId="77777777" w:rsidR="00913494" w:rsidRPr="00850A2D" w:rsidRDefault="00913494" w:rsidP="00673C9A">
            <w:pPr>
              <w:pStyle w:val="MDPI42tablebody"/>
              <w:rPr>
                <w:rFonts w:eastAsia="Palatino Linotype" w:cs="Palatino Linotype"/>
                <w:b/>
                <w:bCs/>
              </w:rPr>
            </w:pPr>
            <w:r w:rsidRPr="00135B1C">
              <w:t>Systematic review of 98 studies (88 non-cloud, 10 cloud EWS); identifies gaps in cloud adoption, scalability benefits, and interoperability challenges.</w:t>
            </w:r>
          </w:p>
        </w:tc>
        <w:tc>
          <w:tcPr>
            <w:tcW w:w="2409" w:type="dxa"/>
            <w:gridSpan w:val="2"/>
            <w:vAlign w:val="top"/>
          </w:tcPr>
          <w:p w14:paraId="4BE562D3" w14:textId="77777777" w:rsidR="00913494" w:rsidRPr="00850A2D" w:rsidRDefault="00913494" w:rsidP="00673C9A">
            <w:pPr>
              <w:pStyle w:val="MDPI42tablebody"/>
              <w:rPr>
                <w:rFonts w:eastAsia="Palatino Linotype" w:cs="Palatino Linotype"/>
                <w:b/>
                <w:bCs/>
              </w:rPr>
            </w:pPr>
            <w:r w:rsidRPr="00135B1C">
              <w:t>Comprehensive analysis using PSALSAR framework; highlights cloud opportunities (IoT/AI integration, real-time data).</w:t>
            </w:r>
          </w:p>
        </w:tc>
        <w:tc>
          <w:tcPr>
            <w:tcW w:w="1988" w:type="dxa"/>
            <w:gridSpan w:val="3"/>
            <w:vAlign w:val="top"/>
          </w:tcPr>
          <w:p w14:paraId="3A0D1B42" w14:textId="77777777" w:rsidR="00913494" w:rsidRPr="00850A2D" w:rsidRDefault="00913494" w:rsidP="00673C9A">
            <w:pPr>
              <w:pStyle w:val="MDPI42tablebody"/>
              <w:rPr>
                <w:rFonts w:eastAsia="Palatino Linotype" w:cs="Palatino Linotype"/>
                <w:b/>
                <w:bCs/>
              </w:rPr>
            </w:pPr>
            <w:r w:rsidRPr="0083054A">
              <w:t>Limited empirical data; focuses on literature synthesis</w:t>
            </w:r>
          </w:p>
        </w:tc>
      </w:tr>
      <w:tr w:rsidR="00913494" w14:paraId="4A20BC03" w14:textId="77777777" w:rsidTr="00673C9A">
        <w:trPr>
          <w:gridAfter w:val="2"/>
          <w:wAfter w:w="280" w:type="dxa"/>
          <w:trHeight w:val="445"/>
        </w:trPr>
        <w:tc>
          <w:tcPr>
            <w:tcW w:w="1417" w:type="dxa"/>
            <w:vAlign w:val="top"/>
          </w:tcPr>
          <w:p w14:paraId="38EF7D03" w14:textId="77777777" w:rsidR="00913494" w:rsidRPr="00850A2D" w:rsidRDefault="00913494" w:rsidP="00673C9A">
            <w:pPr>
              <w:pStyle w:val="MDPI42tablebody"/>
              <w:rPr>
                <w:rFonts w:eastAsia="Palatino Linotype" w:cs="Palatino Linotype"/>
                <w:b/>
                <w:bCs/>
              </w:rPr>
            </w:pPr>
            <w:r w:rsidRPr="00057F2B">
              <w:t>(Ding, Tukker and Ward, 2023)</w:t>
            </w:r>
          </w:p>
        </w:tc>
        <w:tc>
          <w:tcPr>
            <w:tcW w:w="566" w:type="dxa"/>
            <w:vAlign w:val="top"/>
          </w:tcPr>
          <w:p w14:paraId="569BAFC9" w14:textId="77777777" w:rsidR="00913494" w:rsidRPr="00265B6E" w:rsidRDefault="00913494" w:rsidP="00673C9A">
            <w:pPr>
              <w:pStyle w:val="MDPI42tablebody"/>
              <w:rPr>
                <w:rFonts w:eastAsia="Palatino Linotype" w:cs="Palatino Linotype"/>
              </w:rPr>
            </w:pPr>
            <w:r w:rsidRPr="00135B1C">
              <w:t>99</w:t>
            </w:r>
          </w:p>
        </w:tc>
        <w:tc>
          <w:tcPr>
            <w:tcW w:w="709" w:type="dxa"/>
            <w:gridSpan w:val="2"/>
            <w:vAlign w:val="top"/>
          </w:tcPr>
          <w:p w14:paraId="2DB387BD" w14:textId="77777777" w:rsidR="00913494" w:rsidRPr="00850A2D" w:rsidRDefault="00913494" w:rsidP="00673C9A">
            <w:pPr>
              <w:pStyle w:val="MDPI42tablebody"/>
              <w:rPr>
                <w:rFonts w:eastAsia="Palatino Linotype" w:cs="Palatino Linotype"/>
                <w:b/>
                <w:bCs/>
              </w:rPr>
            </w:pPr>
            <w:r w:rsidRPr="00135B1C">
              <w:t>2023</w:t>
            </w:r>
          </w:p>
        </w:tc>
        <w:tc>
          <w:tcPr>
            <w:tcW w:w="3543" w:type="dxa"/>
            <w:gridSpan w:val="2"/>
            <w:vAlign w:val="top"/>
          </w:tcPr>
          <w:p w14:paraId="5B6B2FB5" w14:textId="77777777" w:rsidR="00913494" w:rsidRPr="00850A2D" w:rsidRDefault="00913494" w:rsidP="00673C9A">
            <w:pPr>
              <w:pStyle w:val="MDPI42tablebody"/>
              <w:rPr>
                <w:rFonts w:eastAsia="Palatino Linotype" w:cs="Palatino Linotype"/>
                <w:b/>
                <w:bCs/>
              </w:rPr>
            </w:pPr>
            <w:r w:rsidRPr="00135B1C">
              <w:t>Identified 4 IoT capabilities (monitoring, tracking, optimization, design evolution) for improving circular business models (CBM) via ReSOLVE framework; conducted systematic PRISMA review; quantified 20–30% energy-saving potential in IoT-enabled CBM applications; outlined challenges (IoT energy costs, e-waste, interoperability, security, SME adoption barriers)</w:t>
            </w:r>
          </w:p>
        </w:tc>
        <w:tc>
          <w:tcPr>
            <w:tcW w:w="2409" w:type="dxa"/>
            <w:gridSpan w:val="2"/>
            <w:vAlign w:val="top"/>
          </w:tcPr>
          <w:p w14:paraId="3A12089F" w14:textId="77777777" w:rsidR="00913494" w:rsidRPr="00850A2D" w:rsidRDefault="00913494" w:rsidP="00673C9A">
            <w:pPr>
              <w:pStyle w:val="MDPI42tablebody"/>
              <w:rPr>
                <w:rFonts w:eastAsia="Palatino Linotype" w:cs="Palatino Linotype"/>
                <w:b/>
                <w:bCs/>
              </w:rPr>
            </w:pPr>
            <w:r w:rsidRPr="00135B1C">
              <w:t>Supports Loop/Optimize models via tracking/optimization; enables redesign via IoT data; energy savings up to 30%</w:t>
            </w:r>
          </w:p>
        </w:tc>
        <w:tc>
          <w:tcPr>
            <w:tcW w:w="1988" w:type="dxa"/>
            <w:gridSpan w:val="3"/>
            <w:vAlign w:val="top"/>
          </w:tcPr>
          <w:p w14:paraId="60E19BBE" w14:textId="77777777" w:rsidR="00913494" w:rsidRPr="00850A2D" w:rsidRDefault="00913494" w:rsidP="00673C9A">
            <w:pPr>
              <w:pStyle w:val="MDPI42tablebody"/>
              <w:rPr>
                <w:rFonts w:eastAsia="Palatino Linotype" w:cs="Palatino Linotype"/>
                <w:b/>
                <w:bCs/>
              </w:rPr>
            </w:pPr>
            <w:r w:rsidRPr="0083054A">
              <w:t>Identifies challenges including resistance to change and the need for comprehensive training programs</w:t>
            </w:r>
          </w:p>
        </w:tc>
      </w:tr>
      <w:tr w:rsidR="00913494" w14:paraId="286F65B3" w14:textId="77777777" w:rsidTr="00673C9A">
        <w:trPr>
          <w:gridAfter w:val="2"/>
          <w:wAfter w:w="280" w:type="dxa"/>
          <w:trHeight w:val="445"/>
        </w:trPr>
        <w:tc>
          <w:tcPr>
            <w:tcW w:w="1417" w:type="dxa"/>
            <w:vAlign w:val="top"/>
          </w:tcPr>
          <w:p w14:paraId="64D99FD2" w14:textId="77777777" w:rsidR="00913494" w:rsidRPr="00850A2D" w:rsidRDefault="00913494" w:rsidP="00673C9A">
            <w:pPr>
              <w:pStyle w:val="MDPI42tablebody"/>
              <w:rPr>
                <w:rFonts w:eastAsia="Palatino Linotype" w:cs="Palatino Linotype"/>
                <w:b/>
                <w:bCs/>
              </w:rPr>
            </w:pPr>
            <w:r w:rsidRPr="00057F2B">
              <w:lastRenderedPageBreak/>
              <w:t>(Krishnan et al., 2022)</w:t>
            </w:r>
          </w:p>
        </w:tc>
        <w:tc>
          <w:tcPr>
            <w:tcW w:w="566" w:type="dxa"/>
            <w:vAlign w:val="top"/>
          </w:tcPr>
          <w:p w14:paraId="0BD5283D" w14:textId="77777777" w:rsidR="00913494" w:rsidRPr="00265B6E" w:rsidRDefault="00913494" w:rsidP="00673C9A">
            <w:pPr>
              <w:pStyle w:val="MDPI42tablebody"/>
              <w:rPr>
                <w:rFonts w:eastAsia="Palatino Linotype" w:cs="Palatino Linotype"/>
              </w:rPr>
            </w:pPr>
            <w:r w:rsidRPr="00135B1C">
              <w:t>138</w:t>
            </w:r>
          </w:p>
        </w:tc>
        <w:tc>
          <w:tcPr>
            <w:tcW w:w="709" w:type="dxa"/>
            <w:gridSpan w:val="2"/>
            <w:vAlign w:val="top"/>
          </w:tcPr>
          <w:p w14:paraId="0B7563B0" w14:textId="77777777" w:rsidR="00913494" w:rsidRPr="00850A2D" w:rsidRDefault="00913494" w:rsidP="00673C9A">
            <w:pPr>
              <w:pStyle w:val="MDPI42tablebody"/>
              <w:rPr>
                <w:rFonts w:eastAsia="Palatino Linotype" w:cs="Palatino Linotype"/>
                <w:b/>
                <w:bCs/>
              </w:rPr>
            </w:pPr>
            <w:r w:rsidRPr="00135B1C">
              <w:t>2022</w:t>
            </w:r>
          </w:p>
        </w:tc>
        <w:tc>
          <w:tcPr>
            <w:tcW w:w="3543" w:type="dxa"/>
            <w:gridSpan w:val="2"/>
            <w:vAlign w:val="top"/>
          </w:tcPr>
          <w:p w14:paraId="317DFAE8" w14:textId="77777777" w:rsidR="00913494" w:rsidRPr="00850A2D" w:rsidRDefault="00913494" w:rsidP="00673C9A">
            <w:pPr>
              <w:pStyle w:val="MDPI42tablebody"/>
              <w:rPr>
                <w:rFonts w:eastAsia="Palatino Linotype" w:cs="Palatino Linotype"/>
                <w:b/>
                <w:bCs/>
              </w:rPr>
            </w:pPr>
            <w:r w:rsidRPr="00135B1C">
              <w:t>Reviewed AI/IoT applications (ANN, LSTM, CNN) for water management; analyzed wastewater recycling, irrigation control, rainwater harvesting; highlighted case studies and challenges (data quality, security)</w:t>
            </w:r>
          </w:p>
        </w:tc>
        <w:tc>
          <w:tcPr>
            <w:tcW w:w="2409" w:type="dxa"/>
            <w:gridSpan w:val="2"/>
            <w:vAlign w:val="top"/>
          </w:tcPr>
          <w:p w14:paraId="490F50F3" w14:textId="77777777" w:rsidR="00913494" w:rsidRPr="00850A2D" w:rsidRDefault="00913494" w:rsidP="00673C9A">
            <w:pPr>
              <w:pStyle w:val="MDPI42tablebody"/>
              <w:rPr>
                <w:rFonts w:eastAsia="Palatino Linotype" w:cs="Palatino Linotype"/>
                <w:b/>
                <w:bCs/>
              </w:rPr>
            </w:pPr>
            <w:r w:rsidRPr="00135B1C">
              <w:t>Enables efficient water distribution, supports agriculture/urban systems, promotes sustainability via IoT/AI integration</w:t>
            </w:r>
          </w:p>
        </w:tc>
        <w:tc>
          <w:tcPr>
            <w:tcW w:w="1988" w:type="dxa"/>
            <w:gridSpan w:val="3"/>
            <w:vAlign w:val="top"/>
          </w:tcPr>
          <w:p w14:paraId="6BA15CBB" w14:textId="77777777" w:rsidR="00913494" w:rsidRPr="00850A2D" w:rsidRDefault="00913494" w:rsidP="00673C9A">
            <w:pPr>
              <w:pStyle w:val="MDPI42tablebody"/>
              <w:rPr>
                <w:rFonts w:eastAsia="Palatino Linotype" w:cs="Palatino Linotype"/>
                <w:b/>
                <w:bCs/>
              </w:rPr>
            </w:pPr>
            <w:r w:rsidRPr="0083054A">
              <w:t>Limited empirical evidence; lacks case study validation</w:t>
            </w:r>
          </w:p>
        </w:tc>
      </w:tr>
      <w:tr w:rsidR="00913494" w14:paraId="0AB7F633" w14:textId="77777777" w:rsidTr="00673C9A">
        <w:trPr>
          <w:gridAfter w:val="2"/>
          <w:wAfter w:w="280" w:type="dxa"/>
          <w:trHeight w:val="445"/>
        </w:trPr>
        <w:tc>
          <w:tcPr>
            <w:tcW w:w="1417" w:type="dxa"/>
            <w:vAlign w:val="top"/>
          </w:tcPr>
          <w:p w14:paraId="549D4FEE" w14:textId="77777777" w:rsidR="00913494" w:rsidRPr="00850A2D" w:rsidRDefault="00913494" w:rsidP="00673C9A">
            <w:pPr>
              <w:pStyle w:val="MDPI42tablebody"/>
              <w:rPr>
                <w:rFonts w:eastAsia="Palatino Linotype" w:cs="Palatino Linotype"/>
                <w:b/>
                <w:bCs/>
              </w:rPr>
            </w:pPr>
            <w:r w:rsidRPr="00057F2B">
              <w:t>(Olatomiwa et al., 2023)</w:t>
            </w:r>
          </w:p>
        </w:tc>
        <w:tc>
          <w:tcPr>
            <w:tcW w:w="566" w:type="dxa"/>
            <w:vAlign w:val="top"/>
          </w:tcPr>
          <w:p w14:paraId="32103760" w14:textId="77777777" w:rsidR="00913494" w:rsidRPr="00265B6E" w:rsidRDefault="00913494" w:rsidP="00673C9A">
            <w:pPr>
              <w:pStyle w:val="MDPI42tablebody"/>
              <w:rPr>
                <w:rFonts w:eastAsia="Palatino Linotype" w:cs="Palatino Linotype"/>
              </w:rPr>
            </w:pPr>
            <w:r w:rsidRPr="00135B1C">
              <w:t>8</w:t>
            </w:r>
          </w:p>
        </w:tc>
        <w:tc>
          <w:tcPr>
            <w:tcW w:w="709" w:type="dxa"/>
            <w:gridSpan w:val="2"/>
            <w:vAlign w:val="top"/>
          </w:tcPr>
          <w:p w14:paraId="33293684" w14:textId="77777777" w:rsidR="00913494" w:rsidRPr="00850A2D" w:rsidRDefault="00913494" w:rsidP="00673C9A">
            <w:pPr>
              <w:pStyle w:val="MDPI42tablebody"/>
              <w:rPr>
                <w:rFonts w:eastAsia="Palatino Linotype" w:cs="Palatino Linotype"/>
                <w:b/>
                <w:bCs/>
              </w:rPr>
            </w:pPr>
            <w:r w:rsidRPr="00135B1C">
              <w:t>2023</w:t>
            </w:r>
          </w:p>
        </w:tc>
        <w:tc>
          <w:tcPr>
            <w:tcW w:w="3543" w:type="dxa"/>
            <w:gridSpan w:val="2"/>
            <w:vAlign w:val="top"/>
          </w:tcPr>
          <w:p w14:paraId="4F1D3B39" w14:textId="77777777" w:rsidR="00913494" w:rsidRPr="00850A2D" w:rsidRDefault="00913494" w:rsidP="00673C9A">
            <w:pPr>
              <w:pStyle w:val="MDPI42tablebody"/>
              <w:rPr>
                <w:rFonts w:eastAsia="Palatino Linotype" w:cs="Palatino Linotype"/>
                <w:b/>
                <w:bCs/>
              </w:rPr>
            </w:pPr>
            <w:r w:rsidRPr="00135B1C">
              <w:t>Systematic review of IoT platforms for household carbon tracking; identifies benefits (real-time monitoring, energy efficiency, behavior change) and challenges (data accuracy, costs, privacy)</w:t>
            </w:r>
          </w:p>
        </w:tc>
        <w:tc>
          <w:tcPr>
            <w:tcW w:w="2409" w:type="dxa"/>
            <w:gridSpan w:val="2"/>
            <w:vAlign w:val="top"/>
          </w:tcPr>
          <w:p w14:paraId="2F75C84F" w14:textId="77777777" w:rsidR="00913494" w:rsidRPr="00850A2D" w:rsidRDefault="00913494" w:rsidP="00673C9A">
            <w:pPr>
              <w:pStyle w:val="MDPI42tablebody"/>
              <w:rPr>
                <w:rFonts w:eastAsia="Palatino Linotype" w:cs="Palatino Linotype"/>
                <w:b/>
                <w:bCs/>
              </w:rPr>
            </w:pPr>
            <w:r w:rsidRPr="00135B1C">
              <w:t>Real-time feedback, user engagement, actionable insights</w:t>
            </w:r>
          </w:p>
        </w:tc>
        <w:tc>
          <w:tcPr>
            <w:tcW w:w="1988" w:type="dxa"/>
            <w:gridSpan w:val="3"/>
            <w:vAlign w:val="top"/>
          </w:tcPr>
          <w:p w14:paraId="549246EE" w14:textId="77777777" w:rsidR="00913494" w:rsidRPr="00850A2D" w:rsidRDefault="00913494" w:rsidP="00673C9A">
            <w:pPr>
              <w:pStyle w:val="MDPI42tablebody"/>
              <w:rPr>
                <w:rFonts w:eastAsia="Palatino Linotype" w:cs="Palatino Linotype"/>
                <w:b/>
                <w:bCs/>
              </w:rPr>
            </w:pPr>
            <w:r w:rsidRPr="0083054A">
              <w:t>Implementation varies across organizations; requires cultural adaptation</w:t>
            </w:r>
          </w:p>
        </w:tc>
      </w:tr>
      <w:tr w:rsidR="00913494" w14:paraId="397BF0B9" w14:textId="77777777" w:rsidTr="00673C9A">
        <w:trPr>
          <w:gridAfter w:val="2"/>
          <w:wAfter w:w="280" w:type="dxa"/>
          <w:trHeight w:val="445"/>
        </w:trPr>
        <w:tc>
          <w:tcPr>
            <w:tcW w:w="1417" w:type="dxa"/>
            <w:vAlign w:val="top"/>
          </w:tcPr>
          <w:p w14:paraId="4E6CBEEB" w14:textId="77777777" w:rsidR="00913494" w:rsidRPr="00850A2D" w:rsidRDefault="00913494" w:rsidP="00673C9A">
            <w:pPr>
              <w:pStyle w:val="MDPI42tablebody"/>
              <w:rPr>
                <w:rFonts w:eastAsia="Palatino Linotype" w:cs="Palatino Linotype"/>
                <w:b/>
                <w:bCs/>
              </w:rPr>
            </w:pPr>
            <w:r w:rsidRPr="00057F2B">
              <w:t>(Vakalis et al., 2023)</w:t>
            </w:r>
          </w:p>
        </w:tc>
        <w:tc>
          <w:tcPr>
            <w:tcW w:w="566" w:type="dxa"/>
            <w:vAlign w:val="top"/>
          </w:tcPr>
          <w:p w14:paraId="3CE526A5" w14:textId="77777777" w:rsidR="00913494" w:rsidRPr="00265B6E" w:rsidRDefault="00913494" w:rsidP="00673C9A">
            <w:pPr>
              <w:pStyle w:val="MDPI42tablebody"/>
              <w:rPr>
                <w:rFonts w:eastAsia="Palatino Linotype" w:cs="Palatino Linotype"/>
              </w:rPr>
            </w:pPr>
            <w:r w:rsidRPr="00135B1C">
              <w:t>7</w:t>
            </w:r>
          </w:p>
        </w:tc>
        <w:tc>
          <w:tcPr>
            <w:tcW w:w="709" w:type="dxa"/>
            <w:gridSpan w:val="2"/>
            <w:vAlign w:val="top"/>
          </w:tcPr>
          <w:p w14:paraId="3E0869A6" w14:textId="77777777" w:rsidR="00913494" w:rsidRPr="00850A2D" w:rsidRDefault="00913494" w:rsidP="00673C9A">
            <w:pPr>
              <w:pStyle w:val="MDPI42tablebody"/>
              <w:rPr>
                <w:rFonts w:eastAsia="Palatino Linotype" w:cs="Palatino Linotype"/>
                <w:b/>
                <w:bCs/>
              </w:rPr>
            </w:pPr>
            <w:r w:rsidRPr="00135B1C">
              <w:t>2023</w:t>
            </w:r>
          </w:p>
        </w:tc>
        <w:tc>
          <w:tcPr>
            <w:tcW w:w="3543" w:type="dxa"/>
            <w:gridSpan w:val="2"/>
            <w:vAlign w:val="top"/>
          </w:tcPr>
          <w:p w14:paraId="63C9D9BF" w14:textId="77777777" w:rsidR="00913494" w:rsidRPr="00850A2D" w:rsidRDefault="00913494" w:rsidP="00673C9A">
            <w:pPr>
              <w:pStyle w:val="MDPI42tablebody"/>
              <w:rPr>
                <w:rFonts w:eastAsia="Palatino Linotype" w:cs="Palatino Linotype"/>
                <w:b/>
                <w:bCs/>
              </w:rPr>
            </w:pPr>
            <w:r w:rsidRPr="00135B1C">
              <w:t>Proposes an LCA framework to evaluate IoT's environmental impact in buildings (embodied/operational emissions, occupant behavior, rebound effects)</w:t>
            </w:r>
          </w:p>
        </w:tc>
        <w:tc>
          <w:tcPr>
            <w:tcW w:w="2409" w:type="dxa"/>
            <w:gridSpan w:val="2"/>
            <w:vAlign w:val="top"/>
          </w:tcPr>
          <w:p w14:paraId="51B3696D" w14:textId="77777777" w:rsidR="00913494" w:rsidRPr="00850A2D" w:rsidRDefault="00913494" w:rsidP="00673C9A">
            <w:pPr>
              <w:pStyle w:val="MDPI42tablebody"/>
              <w:rPr>
                <w:rFonts w:eastAsia="Palatino Linotype" w:cs="Palatino Linotype"/>
                <w:b/>
                <w:bCs/>
              </w:rPr>
            </w:pPr>
            <w:r w:rsidRPr="00135B1C">
              <w:t>Enables holistic environmental assessment, identifies IoT energy trade-offs, addresses occupant behavior dynamics</w:t>
            </w:r>
          </w:p>
        </w:tc>
        <w:tc>
          <w:tcPr>
            <w:tcW w:w="1988" w:type="dxa"/>
            <w:gridSpan w:val="3"/>
            <w:vAlign w:val="top"/>
          </w:tcPr>
          <w:p w14:paraId="6AE049CB" w14:textId="77777777" w:rsidR="00913494" w:rsidRPr="00850A2D" w:rsidRDefault="00913494" w:rsidP="00673C9A">
            <w:pPr>
              <w:pStyle w:val="MDPI42tablebody"/>
              <w:rPr>
                <w:rFonts w:eastAsia="Palatino Linotype" w:cs="Palatino Linotype"/>
                <w:b/>
                <w:bCs/>
              </w:rPr>
            </w:pPr>
            <w:r w:rsidRPr="0083054A">
              <w:t>Based on literature synthesis; lacks empirical validation through case studies or data analysis</w:t>
            </w:r>
          </w:p>
        </w:tc>
      </w:tr>
      <w:tr w:rsidR="00913494" w14:paraId="53C6E792" w14:textId="77777777" w:rsidTr="00673C9A">
        <w:trPr>
          <w:gridAfter w:val="2"/>
          <w:wAfter w:w="280" w:type="dxa"/>
          <w:trHeight w:val="445"/>
        </w:trPr>
        <w:tc>
          <w:tcPr>
            <w:tcW w:w="1417" w:type="dxa"/>
            <w:vAlign w:val="top"/>
          </w:tcPr>
          <w:p w14:paraId="62CECC56" w14:textId="77777777" w:rsidR="00913494" w:rsidRPr="00850A2D" w:rsidRDefault="00913494" w:rsidP="00673C9A">
            <w:pPr>
              <w:pStyle w:val="MDPI42tablebody"/>
              <w:rPr>
                <w:rFonts w:eastAsia="Palatino Linotype" w:cs="Palatino Linotype"/>
                <w:b/>
                <w:bCs/>
              </w:rPr>
            </w:pPr>
            <w:r w:rsidRPr="00057F2B">
              <w:t>(Yu et al., 2023)</w:t>
            </w:r>
          </w:p>
        </w:tc>
        <w:tc>
          <w:tcPr>
            <w:tcW w:w="566" w:type="dxa"/>
            <w:vAlign w:val="top"/>
          </w:tcPr>
          <w:p w14:paraId="3281E4FF" w14:textId="77777777" w:rsidR="00913494" w:rsidRPr="00265B6E" w:rsidRDefault="00913494" w:rsidP="00673C9A">
            <w:pPr>
              <w:pStyle w:val="MDPI42tablebody"/>
              <w:rPr>
                <w:rFonts w:eastAsia="Palatino Linotype" w:cs="Palatino Linotype"/>
              </w:rPr>
            </w:pPr>
            <w:r w:rsidRPr="00135B1C">
              <w:t>50</w:t>
            </w:r>
          </w:p>
        </w:tc>
        <w:tc>
          <w:tcPr>
            <w:tcW w:w="709" w:type="dxa"/>
            <w:gridSpan w:val="2"/>
            <w:vAlign w:val="top"/>
          </w:tcPr>
          <w:p w14:paraId="3C3AD7BD" w14:textId="77777777" w:rsidR="00913494" w:rsidRPr="00850A2D" w:rsidRDefault="00913494" w:rsidP="00673C9A">
            <w:pPr>
              <w:pStyle w:val="MDPI42tablebody"/>
              <w:rPr>
                <w:rFonts w:eastAsia="Palatino Linotype" w:cs="Palatino Linotype"/>
                <w:b/>
                <w:bCs/>
              </w:rPr>
            </w:pPr>
            <w:r w:rsidRPr="00135B1C">
              <w:t>2023</w:t>
            </w:r>
          </w:p>
        </w:tc>
        <w:tc>
          <w:tcPr>
            <w:tcW w:w="3543" w:type="dxa"/>
            <w:gridSpan w:val="2"/>
            <w:vAlign w:val="top"/>
          </w:tcPr>
          <w:p w14:paraId="387343FA" w14:textId="77777777" w:rsidR="00913494" w:rsidRPr="00850A2D" w:rsidRDefault="00913494" w:rsidP="00673C9A">
            <w:pPr>
              <w:pStyle w:val="MDPI42tablebody"/>
              <w:rPr>
                <w:rFonts w:eastAsia="Palatino Linotype" w:cs="Palatino Linotype"/>
                <w:b/>
                <w:bCs/>
              </w:rPr>
            </w:pPr>
            <w:r w:rsidRPr="00135B1C">
              <w:t>Reviews BFT mechanisms (microbial nutrient cycling), critical factors (C/N ratio, water quality), and IoT/ICT integration for sustainable aquaculture</w:t>
            </w:r>
          </w:p>
        </w:tc>
        <w:tc>
          <w:tcPr>
            <w:tcW w:w="2409" w:type="dxa"/>
            <w:gridSpan w:val="2"/>
            <w:vAlign w:val="top"/>
          </w:tcPr>
          <w:p w14:paraId="3903B140" w14:textId="77777777" w:rsidR="00913494" w:rsidRPr="00850A2D" w:rsidRDefault="00913494" w:rsidP="00673C9A">
            <w:pPr>
              <w:pStyle w:val="MDPI42tablebody"/>
              <w:rPr>
                <w:rFonts w:eastAsia="Palatino Linotype" w:cs="Palatino Linotype"/>
                <w:b/>
                <w:bCs/>
              </w:rPr>
            </w:pPr>
            <w:r w:rsidRPr="00135B1C">
              <w:t>Eco-friendly; reduces water use by 30%; lowers feed costs; minimizes antibiotics; improves biosecurity</w:t>
            </w:r>
          </w:p>
        </w:tc>
        <w:tc>
          <w:tcPr>
            <w:tcW w:w="1988" w:type="dxa"/>
            <w:gridSpan w:val="3"/>
            <w:vAlign w:val="top"/>
          </w:tcPr>
          <w:p w14:paraId="5DB3BF83" w14:textId="77777777" w:rsidR="00913494" w:rsidRPr="00850A2D" w:rsidRDefault="00913494" w:rsidP="00673C9A">
            <w:pPr>
              <w:pStyle w:val="MDPI42tablebody"/>
              <w:rPr>
                <w:rFonts w:eastAsia="Palatino Linotype" w:cs="Palatino Linotype"/>
                <w:b/>
                <w:bCs/>
              </w:rPr>
            </w:pPr>
            <w:r w:rsidRPr="0083054A">
              <w:t>Limited to literature synthesis; lacks empirical validation through case studies or data analysis</w:t>
            </w:r>
          </w:p>
        </w:tc>
      </w:tr>
      <w:tr w:rsidR="00913494" w14:paraId="325CC70D" w14:textId="77777777" w:rsidTr="00673C9A">
        <w:trPr>
          <w:gridAfter w:val="2"/>
          <w:wAfter w:w="280" w:type="dxa"/>
          <w:trHeight w:val="445"/>
        </w:trPr>
        <w:tc>
          <w:tcPr>
            <w:tcW w:w="1417" w:type="dxa"/>
            <w:vAlign w:val="top"/>
          </w:tcPr>
          <w:p w14:paraId="10AEA3DC" w14:textId="77777777" w:rsidR="00913494" w:rsidRPr="00850A2D" w:rsidRDefault="00913494" w:rsidP="00673C9A">
            <w:pPr>
              <w:pStyle w:val="MDPI42tablebody"/>
              <w:rPr>
                <w:rFonts w:eastAsia="Palatino Linotype" w:cs="Palatino Linotype"/>
                <w:b/>
                <w:bCs/>
              </w:rPr>
            </w:pPr>
            <w:r w:rsidRPr="00057F2B">
              <w:t>(Amador-Castro et al., 2024)</w:t>
            </w:r>
          </w:p>
        </w:tc>
        <w:tc>
          <w:tcPr>
            <w:tcW w:w="566" w:type="dxa"/>
            <w:vAlign w:val="top"/>
          </w:tcPr>
          <w:p w14:paraId="16D0DDE8" w14:textId="77777777" w:rsidR="00913494" w:rsidRPr="00265B6E" w:rsidRDefault="00913494" w:rsidP="00673C9A">
            <w:pPr>
              <w:pStyle w:val="MDPI42tablebody"/>
              <w:rPr>
                <w:rFonts w:eastAsia="Palatino Linotype" w:cs="Palatino Linotype"/>
              </w:rPr>
            </w:pPr>
            <w:r w:rsidRPr="00135B1C">
              <w:t>9</w:t>
            </w:r>
          </w:p>
        </w:tc>
        <w:tc>
          <w:tcPr>
            <w:tcW w:w="709" w:type="dxa"/>
            <w:gridSpan w:val="2"/>
            <w:vAlign w:val="top"/>
          </w:tcPr>
          <w:p w14:paraId="65DDBC7C" w14:textId="77777777" w:rsidR="00913494" w:rsidRPr="00850A2D" w:rsidRDefault="00913494" w:rsidP="00673C9A">
            <w:pPr>
              <w:pStyle w:val="MDPI42tablebody"/>
              <w:rPr>
                <w:rFonts w:eastAsia="Palatino Linotype" w:cs="Palatino Linotype"/>
                <w:b/>
                <w:bCs/>
              </w:rPr>
            </w:pPr>
            <w:r w:rsidRPr="00135B1C">
              <w:t>2024</w:t>
            </w:r>
          </w:p>
        </w:tc>
        <w:tc>
          <w:tcPr>
            <w:tcW w:w="3543" w:type="dxa"/>
            <w:gridSpan w:val="2"/>
            <w:vAlign w:val="top"/>
          </w:tcPr>
          <w:p w14:paraId="0694CB86" w14:textId="77777777" w:rsidR="00913494" w:rsidRPr="00850A2D" w:rsidRDefault="00913494" w:rsidP="00673C9A">
            <w:pPr>
              <w:pStyle w:val="MDPI42tablebody"/>
              <w:rPr>
                <w:rFonts w:eastAsia="Palatino Linotype" w:cs="Palatino Linotype"/>
                <w:b/>
                <w:bCs/>
              </w:rPr>
            </w:pPr>
            <w:r w:rsidRPr="00135B1C">
              <w:t>Explores IoT and citizen science for water quality monitoring; emphasizes effective communication strategies to enhance public understanding</w:t>
            </w:r>
          </w:p>
        </w:tc>
        <w:tc>
          <w:tcPr>
            <w:tcW w:w="2409" w:type="dxa"/>
            <w:gridSpan w:val="2"/>
            <w:vAlign w:val="top"/>
          </w:tcPr>
          <w:p w14:paraId="15508B6E" w14:textId="77777777" w:rsidR="00913494" w:rsidRPr="00850A2D" w:rsidRDefault="00913494" w:rsidP="00673C9A">
            <w:pPr>
              <w:pStyle w:val="MDPI42tablebody"/>
              <w:rPr>
                <w:rFonts w:eastAsia="Palatino Linotype" w:cs="Palatino Linotype"/>
                <w:b/>
                <w:bCs/>
              </w:rPr>
            </w:pPr>
            <w:r w:rsidRPr="00135B1C">
              <w:t>IoT enables real-time, high-resolution data; citizen science increases spatiotemporal coverage and public engagement; communication tools improve data accessibility</w:t>
            </w:r>
          </w:p>
        </w:tc>
        <w:tc>
          <w:tcPr>
            <w:tcW w:w="1988" w:type="dxa"/>
            <w:gridSpan w:val="3"/>
            <w:vAlign w:val="top"/>
          </w:tcPr>
          <w:p w14:paraId="4E01B3D5" w14:textId="77777777" w:rsidR="00913494" w:rsidRPr="00850A2D" w:rsidRDefault="00913494" w:rsidP="00673C9A">
            <w:pPr>
              <w:pStyle w:val="MDPI42tablebody"/>
              <w:rPr>
                <w:rFonts w:eastAsia="Palatino Linotype" w:cs="Palatino Linotype"/>
                <w:b/>
                <w:bCs/>
              </w:rPr>
            </w:pPr>
            <w:r w:rsidRPr="0083054A">
              <w:t>Based on literature review; lacks empirical validation through case studies</w:t>
            </w:r>
          </w:p>
        </w:tc>
      </w:tr>
      <w:tr w:rsidR="00913494" w14:paraId="77589A4D" w14:textId="77777777" w:rsidTr="00673C9A">
        <w:trPr>
          <w:gridAfter w:val="2"/>
          <w:wAfter w:w="280" w:type="dxa"/>
          <w:trHeight w:val="445"/>
        </w:trPr>
        <w:tc>
          <w:tcPr>
            <w:tcW w:w="1417" w:type="dxa"/>
            <w:vAlign w:val="top"/>
          </w:tcPr>
          <w:p w14:paraId="2C4CFAF1" w14:textId="77777777" w:rsidR="00913494" w:rsidRPr="00850A2D" w:rsidRDefault="00913494" w:rsidP="00673C9A">
            <w:pPr>
              <w:pStyle w:val="MDPI42tablebody"/>
              <w:rPr>
                <w:rFonts w:eastAsia="Palatino Linotype" w:cs="Palatino Linotype"/>
                <w:b/>
                <w:bCs/>
              </w:rPr>
            </w:pPr>
            <w:r w:rsidRPr="00057F2B">
              <w:t>(Wongkiew et al., 2021)</w:t>
            </w:r>
          </w:p>
        </w:tc>
        <w:tc>
          <w:tcPr>
            <w:tcW w:w="566" w:type="dxa"/>
            <w:vAlign w:val="top"/>
          </w:tcPr>
          <w:p w14:paraId="2043B264" w14:textId="77777777" w:rsidR="00913494" w:rsidRPr="00265B6E" w:rsidRDefault="00913494" w:rsidP="00673C9A">
            <w:pPr>
              <w:pStyle w:val="MDPI42tablebody"/>
              <w:rPr>
                <w:rFonts w:eastAsia="Palatino Linotype" w:cs="Palatino Linotype"/>
              </w:rPr>
            </w:pPr>
            <w:r w:rsidRPr="00135B1C">
              <w:t>27</w:t>
            </w:r>
          </w:p>
        </w:tc>
        <w:tc>
          <w:tcPr>
            <w:tcW w:w="709" w:type="dxa"/>
            <w:gridSpan w:val="2"/>
            <w:vAlign w:val="top"/>
          </w:tcPr>
          <w:p w14:paraId="601F5AB4" w14:textId="77777777" w:rsidR="00913494" w:rsidRPr="00850A2D" w:rsidRDefault="00913494" w:rsidP="00673C9A">
            <w:pPr>
              <w:pStyle w:val="MDPI42tablebody"/>
              <w:rPr>
                <w:rFonts w:eastAsia="Palatino Linotype" w:cs="Palatino Linotype"/>
                <w:b/>
                <w:bCs/>
              </w:rPr>
            </w:pPr>
            <w:r w:rsidRPr="00135B1C">
              <w:t>2021</w:t>
            </w:r>
          </w:p>
        </w:tc>
        <w:tc>
          <w:tcPr>
            <w:tcW w:w="3543" w:type="dxa"/>
            <w:gridSpan w:val="2"/>
            <w:vAlign w:val="top"/>
          </w:tcPr>
          <w:p w14:paraId="2DE783F5" w14:textId="77777777" w:rsidR="00913494" w:rsidRPr="00850A2D" w:rsidRDefault="00913494" w:rsidP="00673C9A">
            <w:pPr>
              <w:pStyle w:val="MDPI42tablebody"/>
              <w:rPr>
                <w:rFonts w:eastAsia="Palatino Linotype" w:cs="Palatino Linotype"/>
                <w:b/>
                <w:bCs/>
              </w:rPr>
            </w:pPr>
            <w:r w:rsidRPr="00135B1C">
              <w:t>Reviews nitrogen recovery via aquaponics-bioponics, discusses nitrogen transformations, microbial dynamics, and proposes integration of IoT, aeration tech, algae cocultivation, and vertical farming</w:t>
            </w:r>
          </w:p>
        </w:tc>
        <w:tc>
          <w:tcPr>
            <w:tcW w:w="2409" w:type="dxa"/>
            <w:gridSpan w:val="2"/>
            <w:vAlign w:val="top"/>
          </w:tcPr>
          <w:p w14:paraId="25BE1C4E" w14:textId="77777777" w:rsidR="00913494" w:rsidRPr="00850A2D" w:rsidRDefault="00913494" w:rsidP="00673C9A">
            <w:pPr>
              <w:pStyle w:val="MDPI42tablebody"/>
              <w:rPr>
                <w:rFonts w:eastAsia="Palatino Linotype" w:cs="Palatino Linotype"/>
                <w:b/>
                <w:bCs/>
              </w:rPr>
            </w:pPr>
            <w:r w:rsidRPr="00135B1C">
              <w:t>Sustainable N recovery, reduces pollution, organic waste reuse, tech integration improves efficiency</w:t>
            </w:r>
          </w:p>
        </w:tc>
        <w:tc>
          <w:tcPr>
            <w:tcW w:w="1988" w:type="dxa"/>
            <w:gridSpan w:val="3"/>
            <w:vAlign w:val="top"/>
          </w:tcPr>
          <w:p w14:paraId="0950AF0F" w14:textId="77777777" w:rsidR="00913494" w:rsidRPr="00850A2D" w:rsidRDefault="00913494" w:rsidP="00673C9A">
            <w:pPr>
              <w:pStyle w:val="MDPI42tablebody"/>
              <w:rPr>
                <w:rFonts w:eastAsia="Palatino Linotype" w:cs="Palatino Linotype"/>
                <w:b/>
                <w:bCs/>
              </w:rPr>
            </w:pPr>
            <w:r w:rsidRPr="0083054A">
              <w:t>Limited empirical validation; lacks case study data to support findings</w:t>
            </w:r>
          </w:p>
        </w:tc>
      </w:tr>
      <w:tr w:rsidR="00913494" w14:paraId="03FFB460" w14:textId="77777777" w:rsidTr="00673C9A">
        <w:trPr>
          <w:trHeight w:val="76"/>
        </w:trPr>
        <w:tc>
          <w:tcPr>
            <w:tcW w:w="2125" w:type="dxa"/>
            <w:gridSpan w:val="3"/>
            <w:shd w:val="clear" w:color="auto" w:fill="auto"/>
            <w:vAlign w:val="top"/>
          </w:tcPr>
          <w:p w14:paraId="1D248398" w14:textId="77777777" w:rsidR="00913494" w:rsidRPr="004A7DC9" w:rsidRDefault="00913494" w:rsidP="00673C9A">
            <w:pPr>
              <w:pStyle w:val="MDPI42tablebody"/>
              <w:rPr>
                <w:rFonts w:eastAsia="Palatino Linotype" w:cs="Palatino Linotype"/>
              </w:rPr>
            </w:pPr>
            <w:r w:rsidRPr="00023F1C">
              <w:t>Proposed systematic review</w:t>
            </w:r>
          </w:p>
        </w:tc>
        <w:tc>
          <w:tcPr>
            <w:tcW w:w="4110" w:type="dxa"/>
            <w:gridSpan w:val="3"/>
            <w:shd w:val="clear" w:color="auto" w:fill="auto"/>
            <w:vAlign w:val="top"/>
          </w:tcPr>
          <w:p w14:paraId="1CD92F5E" w14:textId="77777777" w:rsidR="00913494" w:rsidRPr="002A7FD0" w:rsidRDefault="00913494" w:rsidP="00673C9A">
            <w:pPr>
              <w:pStyle w:val="MDPI42tablebody"/>
              <w:rPr>
                <w:rFonts w:eastAsia="Palatino Linotype" w:cs="Palatino Linotype"/>
              </w:rPr>
            </w:pPr>
            <w:r w:rsidRPr="00023F1C">
              <w:t>Provides a comprehensive consolidation of existing research on the integration of IoT and Cloud Computing in biological water monitoring, identifies technological configurations, performance indicators, and recurring challenges. Proposes conceptual models for data management and system efficiency.</w:t>
            </w:r>
          </w:p>
        </w:tc>
        <w:tc>
          <w:tcPr>
            <w:tcW w:w="3259" w:type="dxa"/>
            <w:gridSpan w:val="4"/>
            <w:shd w:val="clear" w:color="auto" w:fill="auto"/>
            <w:vAlign w:val="top"/>
          </w:tcPr>
          <w:p w14:paraId="52FAF81F" w14:textId="77777777" w:rsidR="00913494" w:rsidRPr="00162A87" w:rsidRDefault="00913494" w:rsidP="00673C9A">
            <w:pPr>
              <w:pStyle w:val="MDPI42tablebody"/>
              <w:rPr>
                <w:rFonts w:eastAsia="Palatino Linotype" w:cs="Palatino Linotype"/>
                <w:lang w:val="en-ZA"/>
              </w:rPr>
            </w:pPr>
            <w:r w:rsidRPr="00023F1C">
              <w:t>Offers a holistic analysis of IoT and Cloud Computing applications, bridging gaps in monitoring effectiveness across various biological contexts; highlights research gaps for future exploration.</w:t>
            </w:r>
          </w:p>
        </w:tc>
        <w:tc>
          <w:tcPr>
            <w:tcW w:w="1418" w:type="dxa"/>
            <w:gridSpan w:val="3"/>
            <w:shd w:val="clear" w:color="auto" w:fill="auto"/>
            <w:vAlign w:val="top"/>
          </w:tcPr>
          <w:p w14:paraId="010DA857" w14:textId="77777777" w:rsidR="00913494" w:rsidRPr="00F41EA0" w:rsidRDefault="00913494" w:rsidP="00673C9A">
            <w:pPr>
              <w:pStyle w:val="MDPI42tablebody"/>
              <w:rPr>
                <w:rFonts w:eastAsia="Palatino Linotype" w:cs="Palatino Linotype"/>
              </w:rPr>
            </w:pPr>
            <w:r w:rsidRPr="00023F1C">
              <w:t>Proposed systematic review</w:t>
            </w:r>
          </w:p>
        </w:tc>
      </w:tr>
    </w:tbl>
    <w:p w14:paraId="3A3FDCDE" w14:textId="77777777" w:rsidR="005D4228" w:rsidRDefault="005D4228" w:rsidP="005D4228">
      <w:pPr>
        <w:pStyle w:val="MDPI41tablecaption"/>
      </w:pPr>
      <w:r w:rsidRPr="001A0628">
        <w:rPr>
          <w:b/>
          <w:bCs/>
        </w:rPr>
        <w:lastRenderedPageBreak/>
        <w:t>Table 9.</w:t>
      </w:r>
      <w:r w:rsidRPr="00DA08FB">
        <w:t xml:space="preserve"> Certainty Assessment Criteria and Study Evaluation Summary</w:t>
      </w:r>
    </w:p>
    <w:tbl>
      <w:tblPr>
        <w:tblStyle w:val="MDPI41threelinetable"/>
        <w:tblW w:w="10288" w:type="dxa"/>
        <w:tblLayout w:type="fixed"/>
        <w:tblLook w:val="06A0" w:firstRow="1" w:lastRow="0" w:firstColumn="1" w:lastColumn="0" w:noHBand="1" w:noVBand="1"/>
      </w:tblPr>
      <w:tblGrid>
        <w:gridCol w:w="1973"/>
        <w:gridCol w:w="424"/>
        <w:gridCol w:w="2675"/>
        <w:gridCol w:w="143"/>
        <w:gridCol w:w="2534"/>
        <w:gridCol w:w="143"/>
        <w:gridCol w:w="2253"/>
        <w:gridCol w:w="143"/>
      </w:tblGrid>
      <w:tr w:rsidR="005D4228" w:rsidRPr="00F07EBD" w14:paraId="047B081D" w14:textId="77777777" w:rsidTr="00673C9A">
        <w:trPr>
          <w:cnfStyle w:val="100000000000" w:firstRow="1" w:lastRow="0" w:firstColumn="0" w:lastColumn="0" w:oddVBand="0" w:evenVBand="0" w:oddHBand="0" w:evenHBand="0" w:firstRowFirstColumn="0" w:firstRowLastColumn="0" w:lastRowFirstColumn="0" w:lastRowLastColumn="0"/>
          <w:trHeight w:val="233"/>
        </w:trPr>
        <w:tc>
          <w:tcPr>
            <w:tcW w:w="2397" w:type="dxa"/>
            <w:gridSpan w:val="2"/>
          </w:tcPr>
          <w:p w14:paraId="3F08F4D5" w14:textId="77777777" w:rsidR="005D4228" w:rsidRPr="00F07EBD" w:rsidRDefault="005D4228" w:rsidP="00673C9A">
            <w:pPr>
              <w:pStyle w:val="MDPI42tablebody"/>
              <w:rPr>
                <w:b w:val="0"/>
                <w:bCs/>
              </w:rPr>
            </w:pPr>
            <w:r w:rsidRPr="00F07EBD">
              <w:rPr>
                <w:bCs/>
              </w:rPr>
              <w:t>Criteria</w:t>
            </w:r>
          </w:p>
        </w:tc>
        <w:tc>
          <w:tcPr>
            <w:tcW w:w="2818" w:type="dxa"/>
            <w:gridSpan w:val="2"/>
          </w:tcPr>
          <w:p w14:paraId="55A57475" w14:textId="77777777" w:rsidR="005D4228" w:rsidRPr="00F07EBD" w:rsidRDefault="005D4228" w:rsidP="00673C9A">
            <w:pPr>
              <w:pStyle w:val="MDPI42tablebody"/>
              <w:rPr>
                <w:b w:val="0"/>
                <w:bCs/>
              </w:rPr>
            </w:pPr>
            <w:r w:rsidRPr="00F07EBD">
              <w:rPr>
                <w:bCs/>
              </w:rPr>
              <w:t>Description</w:t>
            </w:r>
          </w:p>
        </w:tc>
        <w:tc>
          <w:tcPr>
            <w:tcW w:w="2677" w:type="dxa"/>
            <w:gridSpan w:val="2"/>
          </w:tcPr>
          <w:p w14:paraId="4771879E" w14:textId="77777777" w:rsidR="005D4228" w:rsidRPr="00F07EBD" w:rsidRDefault="005D4228" w:rsidP="00673C9A">
            <w:pPr>
              <w:pStyle w:val="MDPI42tablebody"/>
              <w:ind w:left="-387" w:firstLine="387"/>
              <w:rPr>
                <w:b w:val="0"/>
                <w:bCs/>
              </w:rPr>
            </w:pPr>
            <w:r w:rsidRPr="00F07EBD">
              <w:rPr>
                <w:bCs/>
              </w:rPr>
              <w:t>High Certainty Indicator</w:t>
            </w:r>
          </w:p>
        </w:tc>
        <w:tc>
          <w:tcPr>
            <w:tcW w:w="2396" w:type="dxa"/>
            <w:gridSpan w:val="2"/>
          </w:tcPr>
          <w:p w14:paraId="696C8D71" w14:textId="77777777" w:rsidR="005D4228" w:rsidRPr="00F07EBD" w:rsidRDefault="005D4228" w:rsidP="00673C9A">
            <w:pPr>
              <w:pStyle w:val="MDPI42tablebody"/>
              <w:rPr>
                <w:b w:val="0"/>
                <w:bCs/>
              </w:rPr>
            </w:pPr>
            <w:r w:rsidRPr="00F07EBD">
              <w:rPr>
                <w:bCs/>
              </w:rPr>
              <w:t>Example of Downgrade Cause</w:t>
            </w:r>
          </w:p>
        </w:tc>
      </w:tr>
      <w:tr w:rsidR="005D4228" w:rsidRPr="00F07EBD" w14:paraId="7EBFD650" w14:textId="77777777" w:rsidTr="00673C9A">
        <w:trPr>
          <w:gridAfter w:val="1"/>
          <w:wAfter w:w="143" w:type="dxa"/>
          <w:trHeight w:val="233"/>
        </w:trPr>
        <w:tc>
          <w:tcPr>
            <w:tcW w:w="1973" w:type="dxa"/>
          </w:tcPr>
          <w:p w14:paraId="7EF2EEC3" w14:textId="77777777" w:rsidR="005D4228" w:rsidRPr="00F07EBD" w:rsidRDefault="005D4228" w:rsidP="00673C9A">
            <w:pPr>
              <w:pStyle w:val="MDPI42tablebody"/>
            </w:pPr>
            <w:r w:rsidRPr="00F07EBD">
              <w:t>Study Design</w:t>
            </w:r>
          </w:p>
        </w:tc>
        <w:tc>
          <w:tcPr>
            <w:tcW w:w="3099" w:type="dxa"/>
            <w:gridSpan w:val="2"/>
          </w:tcPr>
          <w:p w14:paraId="48BEB1D0" w14:textId="77777777" w:rsidR="005D4228" w:rsidRPr="00F07EBD" w:rsidRDefault="005D4228" w:rsidP="00673C9A">
            <w:pPr>
              <w:pStyle w:val="MDPI42tablebody"/>
              <w:ind w:left="27" w:hanging="102"/>
              <w:jc w:val="both"/>
            </w:pPr>
            <w:r>
              <w:t xml:space="preserve"> </w:t>
            </w:r>
            <w:r w:rsidRPr="00F07EBD">
              <w:t>Type and rigor of research (experimental, field-based, simulation)</w:t>
            </w:r>
          </w:p>
        </w:tc>
        <w:tc>
          <w:tcPr>
            <w:tcW w:w="2677" w:type="dxa"/>
            <w:gridSpan w:val="2"/>
          </w:tcPr>
          <w:p w14:paraId="56B865E2" w14:textId="77777777" w:rsidR="005D4228" w:rsidRPr="00F07EBD" w:rsidRDefault="005D4228" w:rsidP="00673C9A">
            <w:pPr>
              <w:pStyle w:val="MDPI42tablebody"/>
              <w:jc w:val="both"/>
            </w:pPr>
            <w:r w:rsidRPr="00F07EBD">
              <w:t>Field-tested, peer-reviewed, reproducible systems</w:t>
            </w:r>
          </w:p>
        </w:tc>
        <w:tc>
          <w:tcPr>
            <w:tcW w:w="2396" w:type="dxa"/>
            <w:gridSpan w:val="2"/>
          </w:tcPr>
          <w:p w14:paraId="7B296976" w14:textId="77777777" w:rsidR="005D4228" w:rsidRPr="00F07EBD" w:rsidRDefault="005D4228" w:rsidP="00673C9A">
            <w:pPr>
              <w:pStyle w:val="MDPI42tablebody"/>
              <w:jc w:val="both"/>
            </w:pPr>
            <w:r w:rsidRPr="00F07EBD">
              <w:t>Simulation-only or conceptual models</w:t>
            </w:r>
          </w:p>
        </w:tc>
      </w:tr>
      <w:tr w:rsidR="005D4228" w:rsidRPr="00F07EBD" w14:paraId="50D5806F" w14:textId="77777777" w:rsidTr="00673C9A">
        <w:trPr>
          <w:gridAfter w:val="1"/>
          <w:wAfter w:w="143" w:type="dxa"/>
          <w:trHeight w:val="233"/>
        </w:trPr>
        <w:tc>
          <w:tcPr>
            <w:tcW w:w="1973" w:type="dxa"/>
          </w:tcPr>
          <w:p w14:paraId="208DC469" w14:textId="77777777" w:rsidR="005D4228" w:rsidRPr="00F07EBD" w:rsidRDefault="005D4228" w:rsidP="00673C9A">
            <w:pPr>
              <w:pStyle w:val="MDPI42tablebody"/>
            </w:pPr>
            <w:r w:rsidRPr="00F07EBD">
              <w:t>Cloud Integration Clarity</w:t>
            </w:r>
          </w:p>
        </w:tc>
        <w:tc>
          <w:tcPr>
            <w:tcW w:w="3099" w:type="dxa"/>
            <w:gridSpan w:val="2"/>
          </w:tcPr>
          <w:p w14:paraId="79B4A1AB" w14:textId="77777777" w:rsidR="005D4228" w:rsidRPr="00F07EBD" w:rsidRDefault="005D4228" w:rsidP="00673C9A">
            <w:pPr>
              <w:pStyle w:val="MDPI42tablebody"/>
              <w:jc w:val="both"/>
            </w:pPr>
            <w:r w:rsidRPr="00F07EBD">
              <w:t>Specification and transparency of cloud platforms used</w:t>
            </w:r>
          </w:p>
        </w:tc>
        <w:tc>
          <w:tcPr>
            <w:tcW w:w="2677" w:type="dxa"/>
            <w:gridSpan w:val="2"/>
          </w:tcPr>
          <w:p w14:paraId="21AB1FCC" w14:textId="77777777" w:rsidR="005D4228" w:rsidRPr="00F07EBD" w:rsidRDefault="005D4228" w:rsidP="00673C9A">
            <w:pPr>
              <w:pStyle w:val="MDPI42tablebody"/>
              <w:jc w:val="both"/>
            </w:pPr>
            <w:r w:rsidRPr="00F07EBD">
              <w:t>Detailed implementation of AWS, Azure, ThingSpeak, etc.</w:t>
            </w:r>
          </w:p>
        </w:tc>
        <w:tc>
          <w:tcPr>
            <w:tcW w:w="2396" w:type="dxa"/>
            <w:gridSpan w:val="2"/>
          </w:tcPr>
          <w:p w14:paraId="3CEFA68F" w14:textId="77777777" w:rsidR="005D4228" w:rsidRPr="00F07EBD" w:rsidRDefault="005D4228" w:rsidP="00673C9A">
            <w:pPr>
              <w:pStyle w:val="MDPI42tablebody"/>
              <w:jc w:val="both"/>
            </w:pPr>
            <w:r w:rsidRPr="00F07EBD">
              <w:t>Ambiguous or Unspecified cloud services</w:t>
            </w:r>
          </w:p>
        </w:tc>
      </w:tr>
      <w:tr w:rsidR="005D4228" w:rsidRPr="00F07EBD" w14:paraId="0C8E5C8D" w14:textId="77777777" w:rsidTr="00673C9A">
        <w:trPr>
          <w:gridAfter w:val="1"/>
          <w:wAfter w:w="143" w:type="dxa"/>
          <w:trHeight w:val="233"/>
        </w:trPr>
        <w:tc>
          <w:tcPr>
            <w:tcW w:w="1973" w:type="dxa"/>
          </w:tcPr>
          <w:p w14:paraId="29ACFCEA" w14:textId="77777777" w:rsidR="005D4228" w:rsidRPr="00F07EBD" w:rsidRDefault="005D4228" w:rsidP="00673C9A">
            <w:pPr>
              <w:pStyle w:val="MDPI42tablebody"/>
            </w:pPr>
            <w:r w:rsidRPr="00F07EBD">
              <w:t>Protocol Specification</w:t>
            </w:r>
          </w:p>
        </w:tc>
        <w:tc>
          <w:tcPr>
            <w:tcW w:w="3099" w:type="dxa"/>
            <w:gridSpan w:val="2"/>
          </w:tcPr>
          <w:p w14:paraId="6C6F67A2" w14:textId="77777777" w:rsidR="005D4228" w:rsidRPr="00F07EBD" w:rsidRDefault="005D4228" w:rsidP="00673C9A">
            <w:pPr>
              <w:pStyle w:val="MDPI42tablebody"/>
              <w:jc w:val="both"/>
            </w:pPr>
            <w:r w:rsidRPr="00F07EBD">
              <w:t>Use of standard communication protocols</w:t>
            </w:r>
          </w:p>
        </w:tc>
        <w:tc>
          <w:tcPr>
            <w:tcW w:w="2677" w:type="dxa"/>
            <w:gridSpan w:val="2"/>
          </w:tcPr>
          <w:p w14:paraId="08E7AEC3" w14:textId="77777777" w:rsidR="005D4228" w:rsidRPr="00F07EBD" w:rsidRDefault="005D4228" w:rsidP="00673C9A">
            <w:pPr>
              <w:pStyle w:val="MDPI42tablebody"/>
              <w:jc w:val="both"/>
            </w:pPr>
            <w:r w:rsidRPr="00F07EBD">
              <w:t>Use of MQTT, HTTPS, CoAP with justification</w:t>
            </w:r>
          </w:p>
        </w:tc>
        <w:tc>
          <w:tcPr>
            <w:tcW w:w="2396" w:type="dxa"/>
            <w:gridSpan w:val="2"/>
          </w:tcPr>
          <w:p w14:paraId="3B281A86" w14:textId="77777777" w:rsidR="005D4228" w:rsidRPr="00F07EBD" w:rsidRDefault="005D4228" w:rsidP="00673C9A">
            <w:pPr>
              <w:pStyle w:val="MDPI42tablebody"/>
              <w:jc w:val="both"/>
            </w:pPr>
            <w:r w:rsidRPr="00F07EBD">
              <w:t>Missing or outdated protocol information</w:t>
            </w:r>
          </w:p>
        </w:tc>
      </w:tr>
      <w:tr w:rsidR="005D4228" w:rsidRPr="00F07EBD" w14:paraId="6E47223D" w14:textId="77777777" w:rsidTr="00673C9A">
        <w:trPr>
          <w:gridAfter w:val="1"/>
          <w:wAfter w:w="143" w:type="dxa"/>
          <w:trHeight w:val="233"/>
        </w:trPr>
        <w:tc>
          <w:tcPr>
            <w:tcW w:w="1973" w:type="dxa"/>
          </w:tcPr>
          <w:p w14:paraId="4C8146D8" w14:textId="77777777" w:rsidR="005D4228" w:rsidRPr="00F07EBD" w:rsidRDefault="005D4228" w:rsidP="00673C9A">
            <w:pPr>
              <w:pStyle w:val="MDPI42tablebody"/>
            </w:pPr>
            <w:r w:rsidRPr="00F07EBD">
              <w:t>Processing Architecture</w:t>
            </w:r>
          </w:p>
        </w:tc>
        <w:tc>
          <w:tcPr>
            <w:tcW w:w="3099" w:type="dxa"/>
            <w:gridSpan w:val="2"/>
          </w:tcPr>
          <w:p w14:paraId="16879A19" w14:textId="77777777" w:rsidR="005D4228" w:rsidRPr="00F07EBD" w:rsidRDefault="005D4228" w:rsidP="00673C9A">
            <w:pPr>
              <w:pStyle w:val="MDPI42tablebody"/>
              <w:jc w:val="both"/>
            </w:pPr>
            <w:r w:rsidRPr="00F07EBD">
              <w:t>Clear description of edge, cloud, or hybrid architecture</w:t>
            </w:r>
          </w:p>
        </w:tc>
        <w:tc>
          <w:tcPr>
            <w:tcW w:w="2677" w:type="dxa"/>
            <w:gridSpan w:val="2"/>
          </w:tcPr>
          <w:p w14:paraId="6B2F6B73" w14:textId="77777777" w:rsidR="005D4228" w:rsidRPr="00F07EBD" w:rsidRDefault="005D4228" w:rsidP="00673C9A">
            <w:pPr>
              <w:pStyle w:val="MDPI42tablebody"/>
              <w:jc w:val="both"/>
            </w:pPr>
            <w:r w:rsidRPr="00F07EBD">
              <w:t>Clearly explained hybrid or edge-cloud models</w:t>
            </w:r>
          </w:p>
        </w:tc>
        <w:tc>
          <w:tcPr>
            <w:tcW w:w="2396" w:type="dxa"/>
            <w:gridSpan w:val="2"/>
          </w:tcPr>
          <w:p w14:paraId="153A07BA" w14:textId="77777777" w:rsidR="005D4228" w:rsidRPr="00F07EBD" w:rsidRDefault="005D4228" w:rsidP="00673C9A">
            <w:pPr>
              <w:pStyle w:val="MDPI42tablebody"/>
              <w:jc w:val="both"/>
            </w:pPr>
            <w:r w:rsidRPr="00F07EBD">
              <w:t>Unclear processing mechanism</w:t>
            </w:r>
          </w:p>
        </w:tc>
      </w:tr>
      <w:tr w:rsidR="005D4228" w:rsidRPr="00F07EBD" w14:paraId="0462D949" w14:textId="77777777" w:rsidTr="00673C9A">
        <w:trPr>
          <w:gridAfter w:val="1"/>
          <w:wAfter w:w="143" w:type="dxa"/>
          <w:trHeight w:val="233"/>
        </w:trPr>
        <w:tc>
          <w:tcPr>
            <w:tcW w:w="1973" w:type="dxa"/>
          </w:tcPr>
          <w:p w14:paraId="39F97CCA" w14:textId="77777777" w:rsidR="005D4228" w:rsidRPr="00F07EBD" w:rsidRDefault="005D4228" w:rsidP="00673C9A">
            <w:pPr>
              <w:pStyle w:val="MDPI42tablebody"/>
            </w:pPr>
            <w:r w:rsidRPr="00F07EBD">
              <w:t>Security &amp; Privacy Considerations</w:t>
            </w:r>
          </w:p>
        </w:tc>
        <w:tc>
          <w:tcPr>
            <w:tcW w:w="3099" w:type="dxa"/>
            <w:gridSpan w:val="2"/>
          </w:tcPr>
          <w:p w14:paraId="33352A53" w14:textId="77777777" w:rsidR="005D4228" w:rsidRPr="00F07EBD" w:rsidRDefault="005D4228" w:rsidP="00673C9A">
            <w:pPr>
              <w:pStyle w:val="MDPI42tablebody"/>
              <w:jc w:val="both"/>
            </w:pPr>
            <w:r w:rsidRPr="00F07EBD">
              <w:t>Inclusion of encryption, authentication, and privacy-preserving methods</w:t>
            </w:r>
          </w:p>
        </w:tc>
        <w:tc>
          <w:tcPr>
            <w:tcW w:w="2677" w:type="dxa"/>
            <w:gridSpan w:val="2"/>
          </w:tcPr>
          <w:p w14:paraId="19A57CEF" w14:textId="77777777" w:rsidR="005D4228" w:rsidRPr="00F07EBD" w:rsidRDefault="005D4228" w:rsidP="00673C9A">
            <w:pPr>
              <w:pStyle w:val="MDPI42tablebody"/>
              <w:jc w:val="both"/>
            </w:pPr>
            <w:r w:rsidRPr="00F07EBD">
              <w:t>Explicit mention of token-based access, anonymization, etc.</w:t>
            </w:r>
          </w:p>
        </w:tc>
        <w:tc>
          <w:tcPr>
            <w:tcW w:w="2396" w:type="dxa"/>
            <w:gridSpan w:val="2"/>
          </w:tcPr>
          <w:p w14:paraId="7CB69AF0" w14:textId="77777777" w:rsidR="005D4228" w:rsidRPr="00F07EBD" w:rsidRDefault="005D4228" w:rsidP="00673C9A">
            <w:pPr>
              <w:pStyle w:val="MDPI42tablebody"/>
              <w:jc w:val="both"/>
            </w:pPr>
            <w:r w:rsidRPr="00F07EBD">
              <w:t>Not addressed or vaguely mentioned</w:t>
            </w:r>
          </w:p>
        </w:tc>
      </w:tr>
      <w:tr w:rsidR="005D4228" w:rsidRPr="00F07EBD" w14:paraId="486945B3" w14:textId="77777777" w:rsidTr="00673C9A">
        <w:trPr>
          <w:gridAfter w:val="1"/>
          <w:wAfter w:w="143" w:type="dxa"/>
          <w:trHeight w:val="233"/>
        </w:trPr>
        <w:tc>
          <w:tcPr>
            <w:tcW w:w="1973" w:type="dxa"/>
          </w:tcPr>
          <w:p w14:paraId="5F366ECE" w14:textId="77777777" w:rsidR="005D4228" w:rsidRPr="00F07EBD" w:rsidRDefault="005D4228" w:rsidP="00673C9A">
            <w:pPr>
              <w:pStyle w:val="MDPI42tablebody"/>
            </w:pPr>
            <w:r w:rsidRPr="00F07EBD">
              <w:t>Latency &amp; Real-Time Metrics</w:t>
            </w:r>
          </w:p>
        </w:tc>
        <w:tc>
          <w:tcPr>
            <w:tcW w:w="3099" w:type="dxa"/>
            <w:gridSpan w:val="2"/>
          </w:tcPr>
          <w:p w14:paraId="4645B1E6" w14:textId="77777777" w:rsidR="005D4228" w:rsidRPr="00F07EBD" w:rsidRDefault="005D4228" w:rsidP="00673C9A">
            <w:pPr>
              <w:pStyle w:val="MDPI42tablebody"/>
              <w:jc w:val="both"/>
            </w:pPr>
            <w:r w:rsidRPr="00F07EBD">
              <w:t>Measurement and reporting of real-time responsiveness</w:t>
            </w:r>
          </w:p>
        </w:tc>
        <w:tc>
          <w:tcPr>
            <w:tcW w:w="2677" w:type="dxa"/>
            <w:gridSpan w:val="2"/>
          </w:tcPr>
          <w:p w14:paraId="7AC68EF5" w14:textId="77777777" w:rsidR="005D4228" w:rsidRPr="00F07EBD" w:rsidRDefault="005D4228" w:rsidP="00673C9A">
            <w:pPr>
              <w:pStyle w:val="MDPI42tablebody"/>
              <w:jc w:val="both"/>
            </w:pPr>
            <w:r w:rsidRPr="00F07EBD">
              <w:t>Reported latency (&lt;1s), system responsiveness benchmarks</w:t>
            </w:r>
          </w:p>
        </w:tc>
        <w:tc>
          <w:tcPr>
            <w:tcW w:w="2396" w:type="dxa"/>
            <w:gridSpan w:val="2"/>
          </w:tcPr>
          <w:p w14:paraId="2E673501" w14:textId="77777777" w:rsidR="005D4228" w:rsidRPr="00F07EBD" w:rsidRDefault="005D4228" w:rsidP="00673C9A">
            <w:pPr>
              <w:pStyle w:val="MDPI42tablebody"/>
              <w:jc w:val="both"/>
            </w:pPr>
            <w:r w:rsidRPr="00F07EBD">
              <w:t>Lacking latency data or not real-time</w:t>
            </w:r>
          </w:p>
        </w:tc>
      </w:tr>
      <w:tr w:rsidR="005D4228" w:rsidRPr="00F07EBD" w14:paraId="2FFF309C" w14:textId="77777777" w:rsidTr="00673C9A">
        <w:trPr>
          <w:gridAfter w:val="1"/>
          <w:wAfter w:w="143" w:type="dxa"/>
          <w:trHeight w:val="233"/>
        </w:trPr>
        <w:tc>
          <w:tcPr>
            <w:tcW w:w="1973" w:type="dxa"/>
          </w:tcPr>
          <w:p w14:paraId="09A3B1CE" w14:textId="77777777" w:rsidR="005D4228" w:rsidRPr="00DA08FB" w:rsidRDefault="005D4228" w:rsidP="00673C9A">
            <w:pPr>
              <w:pStyle w:val="MDPI42tablebody"/>
            </w:pPr>
            <w:r w:rsidRPr="00DA08FB">
              <w:t>Scalability &amp; Expansion Opportunities</w:t>
            </w:r>
          </w:p>
        </w:tc>
        <w:tc>
          <w:tcPr>
            <w:tcW w:w="3099" w:type="dxa"/>
            <w:gridSpan w:val="2"/>
          </w:tcPr>
          <w:p w14:paraId="67E8F424" w14:textId="77777777" w:rsidR="005D4228" w:rsidRPr="00DA08FB" w:rsidRDefault="005D4228" w:rsidP="00673C9A">
            <w:pPr>
              <w:pStyle w:val="MDPI42tablebody"/>
              <w:jc w:val="both"/>
            </w:pPr>
            <w:r w:rsidRPr="00DA08FB">
              <w:t>Discussion on system scalability and future integration</w:t>
            </w:r>
          </w:p>
        </w:tc>
        <w:tc>
          <w:tcPr>
            <w:tcW w:w="2677" w:type="dxa"/>
            <w:gridSpan w:val="2"/>
          </w:tcPr>
          <w:p w14:paraId="6EEAEDC7" w14:textId="77777777" w:rsidR="005D4228" w:rsidRPr="00DA08FB" w:rsidRDefault="005D4228" w:rsidP="00673C9A">
            <w:pPr>
              <w:pStyle w:val="MDPI42tablebody"/>
              <w:jc w:val="both"/>
            </w:pPr>
            <w:r w:rsidRPr="00DA08FB">
              <w:t>Addressing sensor expansion, AI potential, integration planning</w:t>
            </w:r>
          </w:p>
        </w:tc>
        <w:tc>
          <w:tcPr>
            <w:tcW w:w="2396" w:type="dxa"/>
            <w:gridSpan w:val="2"/>
          </w:tcPr>
          <w:p w14:paraId="45B0F04A" w14:textId="77777777" w:rsidR="005D4228" w:rsidRPr="00DA08FB" w:rsidRDefault="005D4228" w:rsidP="00673C9A">
            <w:pPr>
              <w:pStyle w:val="MDPI42tablebody"/>
              <w:jc w:val="both"/>
            </w:pPr>
            <w:r w:rsidRPr="00DA08FB">
              <w:t>Ignored or briefly mentioned without depth</w:t>
            </w:r>
          </w:p>
        </w:tc>
      </w:tr>
      <w:tr w:rsidR="005D4228" w:rsidRPr="00F07EBD" w14:paraId="4248EE55" w14:textId="77777777" w:rsidTr="00673C9A">
        <w:trPr>
          <w:gridAfter w:val="1"/>
          <w:wAfter w:w="143" w:type="dxa"/>
          <w:trHeight w:val="233"/>
        </w:trPr>
        <w:tc>
          <w:tcPr>
            <w:tcW w:w="1973" w:type="dxa"/>
          </w:tcPr>
          <w:p w14:paraId="6BF88F76" w14:textId="77777777" w:rsidR="005D4228" w:rsidRPr="00DA08FB" w:rsidRDefault="005D4228" w:rsidP="00673C9A">
            <w:pPr>
              <w:pStyle w:val="MDPI42tablebody"/>
            </w:pPr>
            <w:r w:rsidRPr="00DA08FB">
              <w:t>Reproducibility &amp; Implementation Transparency</w:t>
            </w:r>
          </w:p>
        </w:tc>
        <w:tc>
          <w:tcPr>
            <w:tcW w:w="3099" w:type="dxa"/>
            <w:gridSpan w:val="2"/>
          </w:tcPr>
          <w:p w14:paraId="39A483F3" w14:textId="77777777" w:rsidR="005D4228" w:rsidRPr="00DA08FB" w:rsidRDefault="005D4228" w:rsidP="00673C9A">
            <w:pPr>
              <w:pStyle w:val="MDPI42tablebody"/>
              <w:jc w:val="both"/>
            </w:pPr>
            <w:r w:rsidRPr="00DA08FB">
              <w:t>Detailed documentation enabling replication</w:t>
            </w:r>
          </w:p>
        </w:tc>
        <w:tc>
          <w:tcPr>
            <w:tcW w:w="2677" w:type="dxa"/>
            <w:gridSpan w:val="2"/>
          </w:tcPr>
          <w:p w14:paraId="7766D246" w14:textId="77777777" w:rsidR="005D4228" w:rsidRPr="00DA08FB" w:rsidRDefault="005D4228" w:rsidP="00673C9A">
            <w:pPr>
              <w:pStyle w:val="MDPI42tablebody"/>
              <w:jc w:val="both"/>
            </w:pPr>
            <w:r w:rsidRPr="00DA08FB">
              <w:t>Open access hardware/software specs, detailed system workflows</w:t>
            </w:r>
          </w:p>
        </w:tc>
        <w:tc>
          <w:tcPr>
            <w:tcW w:w="2396" w:type="dxa"/>
            <w:gridSpan w:val="2"/>
          </w:tcPr>
          <w:p w14:paraId="3E9DAED5" w14:textId="77777777" w:rsidR="005D4228" w:rsidRPr="00DA08FB" w:rsidRDefault="005D4228" w:rsidP="00673C9A">
            <w:pPr>
              <w:pStyle w:val="MDPI42tablebody"/>
              <w:jc w:val="both"/>
            </w:pPr>
            <w:r w:rsidRPr="00DA08FB">
              <w:t>Proprietary, unclear, or unavailable setup information</w:t>
            </w:r>
          </w:p>
        </w:tc>
      </w:tr>
    </w:tbl>
    <w:p w14:paraId="50998855" w14:textId="0450B536" w:rsidR="00755780" w:rsidRDefault="00755780" w:rsidP="00913494">
      <w:pPr>
        <w:pStyle w:val="MDPI22heading2"/>
        <w:ind w:left="0"/>
      </w:pP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494"/>
    <w:rsid w:val="00011C58"/>
    <w:rsid w:val="0006021D"/>
    <w:rsid w:val="00331A6B"/>
    <w:rsid w:val="005D4228"/>
    <w:rsid w:val="00603211"/>
    <w:rsid w:val="00755780"/>
    <w:rsid w:val="00857596"/>
    <w:rsid w:val="00913494"/>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6CAD6"/>
  <w15:chartTrackingRefBased/>
  <w15:docId w15:val="{BD364D1E-4B8B-4B5A-8CE5-99FD669E2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494"/>
    <w:pPr>
      <w:spacing w:after="0" w:line="240" w:lineRule="auto"/>
    </w:pPr>
    <w:rPr>
      <w:rFonts w:ascii="Times New Roman" w:eastAsia="Times New Roman" w:hAnsi="Times New Roman" w:cs="Times New Roman"/>
      <w:kern w:val="0"/>
      <w:lang w:val="en-ZA" w:eastAsia="en-GB"/>
      <w14:ligatures w14:val="none"/>
    </w:rPr>
  </w:style>
  <w:style w:type="paragraph" w:styleId="Heading1">
    <w:name w:val="heading 1"/>
    <w:basedOn w:val="Normal"/>
    <w:next w:val="Normal"/>
    <w:link w:val="Heading1Char"/>
    <w:uiPriority w:val="9"/>
    <w:qFormat/>
    <w:rsid w:val="0091349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91349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91349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913494"/>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913494"/>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913494"/>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913494"/>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913494"/>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913494"/>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34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34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34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34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34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34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34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34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3494"/>
    <w:rPr>
      <w:rFonts w:eastAsiaTheme="majorEastAsia" w:cstheme="majorBidi"/>
      <w:color w:val="272727" w:themeColor="text1" w:themeTint="D8"/>
    </w:rPr>
  </w:style>
  <w:style w:type="paragraph" w:styleId="Title">
    <w:name w:val="Title"/>
    <w:basedOn w:val="Normal"/>
    <w:next w:val="Normal"/>
    <w:link w:val="TitleChar"/>
    <w:uiPriority w:val="10"/>
    <w:qFormat/>
    <w:rsid w:val="00913494"/>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9134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349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9134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3494"/>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913494"/>
    <w:rPr>
      <w:i/>
      <w:iCs/>
      <w:color w:val="404040" w:themeColor="text1" w:themeTint="BF"/>
    </w:rPr>
  </w:style>
  <w:style w:type="paragraph" w:styleId="ListParagraph">
    <w:name w:val="List Paragraph"/>
    <w:basedOn w:val="Normal"/>
    <w:uiPriority w:val="34"/>
    <w:qFormat/>
    <w:rsid w:val="00913494"/>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913494"/>
    <w:rPr>
      <w:i/>
      <w:iCs/>
      <w:color w:val="0F4761" w:themeColor="accent1" w:themeShade="BF"/>
    </w:rPr>
  </w:style>
  <w:style w:type="paragraph" w:styleId="IntenseQuote">
    <w:name w:val="Intense Quote"/>
    <w:basedOn w:val="Normal"/>
    <w:next w:val="Normal"/>
    <w:link w:val="IntenseQuoteChar"/>
    <w:uiPriority w:val="30"/>
    <w:qFormat/>
    <w:rsid w:val="0091349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913494"/>
    <w:rPr>
      <w:i/>
      <w:iCs/>
      <w:color w:val="0F4761" w:themeColor="accent1" w:themeShade="BF"/>
    </w:rPr>
  </w:style>
  <w:style w:type="character" w:styleId="IntenseReference">
    <w:name w:val="Intense Reference"/>
    <w:basedOn w:val="DefaultParagraphFont"/>
    <w:uiPriority w:val="32"/>
    <w:qFormat/>
    <w:rsid w:val="00913494"/>
    <w:rPr>
      <w:b/>
      <w:bCs/>
      <w:smallCaps/>
      <w:color w:val="0F4761" w:themeColor="accent1" w:themeShade="BF"/>
      <w:spacing w:val="5"/>
    </w:rPr>
  </w:style>
  <w:style w:type="paragraph" w:customStyle="1" w:styleId="MDPI41tablecaption">
    <w:name w:val="MDPI_4.1_table_caption"/>
    <w:qFormat/>
    <w:rsid w:val="00913494"/>
    <w:pPr>
      <w:adjustRightInd w:val="0"/>
      <w:snapToGrid w:val="0"/>
      <w:spacing w:before="240" w:after="120" w:line="280" w:lineRule="atLeast"/>
      <w:ind w:left="2608"/>
      <w:jc w:val="both"/>
    </w:pPr>
    <w:rPr>
      <w:rFonts w:ascii="Palatino Linotype" w:eastAsia="Times New Roman" w:hAnsi="Palatino Linotype" w:cs="Cordia New"/>
      <w:color w:val="000000"/>
      <w:kern w:val="0"/>
      <w:sz w:val="18"/>
      <w:szCs w:val="22"/>
      <w:lang w:eastAsia="de-DE" w:bidi="en-US"/>
      <w14:ligatures w14:val="none"/>
    </w:rPr>
  </w:style>
  <w:style w:type="paragraph" w:customStyle="1" w:styleId="MDPI42tablebody">
    <w:name w:val="MDPI_4.2_table_body"/>
    <w:qFormat/>
    <w:rsid w:val="00913494"/>
    <w:pPr>
      <w:adjustRightInd w:val="0"/>
      <w:snapToGrid w:val="0"/>
      <w:spacing w:after="0" w:line="260" w:lineRule="atLeast"/>
      <w:jc w:val="center"/>
    </w:pPr>
    <w:rPr>
      <w:rFonts w:ascii="Palatino Linotype" w:eastAsia="Times New Roman" w:hAnsi="Palatino Linotype" w:cs="Times New Roman"/>
      <w:snapToGrid w:val="0"/>
      <w:color w:val="000000"/>
      <w:kern w:val="0"/>
      <w:sz w:val="20"/>
      <w:szCs w:val="20"/>
      <w:lang w:eastAsia="de-DE" w:bidi="en-US"/>
      <w14:ligatures w14:val="none"/>
    </w:rPr>
  </w:style>
  <w:style w:type="paragraph" w:customStyle="1" w:styleId="MDPI22heading2">
    <w:name w:val="MDPI_2.2_heading2"/>
    <w:qFormat/>
    <w:rsid w:val="00913494"/>
    <w:pPr>
      <w:adjustRightInd w:val="0"/>
      <w:snapToGrid w:val="0"/>
      <w:spacing w:before="60" w:after="60" w:line="280" w:lineRule="atLeast"/>
      <w:ind w:left="2608"/>
      <w:outlineLvl w:val="1"/>
    </w:pPr>
    <w:rPr>
      <w:rFonts w:ascii="Palatino Linotype" w:eastAsia="Times New Roman" w:hAnsi="Palatino Linotype" w:cs="Times New Roman"/>
      <w:i/>
      <w:noProof/>
      <w:snapToGrid w:val="0"/>
      <w:color w:val="000000"/>
      <w:kern w:val="0"/>
      <w:sz w:val="20"/>
      <w:szCs w:val="22"/>
      <w:lang w:eastAsia="de-DE" w:bidi="en-US"/>
      <w14:ligatures w14:val="none"/>
    </w:rPr>
  </w:style>
  <w:style w:type="table" w:customStyle="1" w:styleId="MDPI41threelinetable">
    <w:name w:val="MDPI_4.1_three_line_table"/>
    <w:basedOn w:val="TableNormal"/>
    <w:uiPriority w:val="99"/>
    <w:rsid w:val="00913494"/>
    <w:pPr>
      <w:adjustRightInd w:val="0"/>
      <w:snapToGrid w:val="0"/>
      <w:spacing w:after="0" w:line="280" w:lineRule="atLeast"/>
      <w:jc w:val="center"/>
    </w:pPr>
    <w:rPr>
      <w:rFonts w:ascii="Palatino Linotype" w:eastAsia="SimSun" w:hAnsi="Palatino Linotype" w:cs="Times New Roman"/>
      <w:color w:val="000000"/>
      <w:kern w:val="0"/>
      <w:sz w:val="20"/>
      <w:szCs w:val="20"/>
      <w:lang w:eastAsia="zh-CN"/>
      <w14:ligatures w14:val="none"/>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1433</Words>
  <Characters>8170</Characters>
  <Application>Microsoft Office Word</Application>
  <DocSecurity>0</DocSecurity>
  <Lines>68</Lines>
  <Paragraphs>19</Paragraphs>
  <ScaleCrop>false</ScaleCrop>
  <Company>Springer Nature</Company>
  <LinksUpToDate>false</LinksUpToDate>
  <CharactersWithSpaces>9584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2025-06-11T07:03:00Z</dcterms:created>
  <dcterms:modified xsi:type="dcterms:W3CDTF">2025-06-11T07:10:00Z</dcterms:modified>
</cp:coreProperties>
</file>