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F65F78" w14:textId="77777777" w:rsidR="00B4701D" w:rsidRPr="00D87F21" w:rsidRDefault="00B4701D" w:rsidP="00B4701D">
      <w:pPr>
        <w:jc w:val="left"/>
        <w:rPr>
          <w:rFonts w:ascii="Times New Roman" w:hAnsi="Times New Roman" w:cs="Times New Roman"/>
          <w:b/>
          <w:sz w:val="28"/>
          <w:szCs w:val="20"/>
        </w:rPr>
      </w:pPr>
      <w:r w:rsidRPr="00D87F21">
        <w:rPr>
          <w:rFonts w:ascii="Times New Roman" w:hAnsi="Times New Roman" w:cs="Times New Roman"/>
          <w:b/>
          <w:sz w:val="28"/>
          <w:szCs w:val="20"/>
        </w:rPr>
        <w:t>Appendix: Historical bird’s-eye views of the Kusatsu spa area</w:t>
      </w:r>
    </w:p>
    <w:p w14:paraId="3FB93298" w14:textId="77777777" w:rsidR="00B4701D" w:rsidRPr="00D87F21" w:rsidRDefault="00B4701D" w:rsidP="00B4701D">
      <w:pPr>
        <w:rPr>
          <w:rFonts w:ascii="Times New Roman" w:hAnsi="Times New Roman" w:cs="Times New Roman"/>
          <w:b/>
          <w:sz w:val="24"/>
          <w:szCs w:val="20"/>
        </w:rPr>
      </w:pPr>
    </w:p>
    <w:p w14:paraId="3ED6CD4E" w14:textId="77777777" w:rsidR="00B4701D" w:rsidRPr="00D87F21" w:rsidRDefault="00B4701D" w:rsidP="00B4701D">
      <w:pPr>
        <w:rPr>
          <w:rFonts w:ascii="Times New Roman" w:hAnsi="Times New Roman" w:cs="Times New Roman"/>
          <w:b/>
          <w:sz w:val="24"/>
          <w:szCs w:val="20"/>
        </w:rPr>
      </w:pPr>
      <w:r w:rsidRPr="00D87F21">
        <w:rPr>
          <w:rFonts w:ascii="Times New Roman" w:hAnsi="Times New Roman" w:cs="Times New Roman"/>
          <w:b/>
          <w:sz w:val="24"/>
          <w:szCs w:val="20"/>
        </w:rPr>
        <w:t>Outline</w:t>
      </w:r>
    </w:p>
    <w:p w14:paraId="518F0C3E" w14:textId="77777777" w:rsidR="00B4701D" w:rsidRPr="00D87F21" w:rsidRDefault="00B4701D" w:rsidP="00B4701D">
      <w:pPr>
        <w:ind w:firstLineChars="100" w:firstLine="200"/>
        <w:rPr>
          <w:rFonts w:ascii="Times New Roman" w:hAnsi="Times New Roman" w:cs="Times New Roman"/>
          <w:sz w:val="20"/>
          <w:szCs w:val="20"/>
        </w:rPr>
      </w:pPr>
      <w:r w:rsidRPr="00D87F21">
        <w:rPr>
          <w:rFonts w:ascii="Times New Roman" w:hAnsi="Times New Roman" w:cs="Times New Roman"/>
          <w:sz w:val="20"/>
          <w:szCs w:val="20"/>
        </w:rPr>
        <w:t>We defined a historical bird’s-eye views (BEVs) as a painting that depicts an aerial view of a wide area of the ground surface, town, and people based on the perspective drawing technique. A historical BEV combines geographic information, such as the names of mountains and facilities, with a landscape painting. Religious objects and tourist attractions were often depicted on a larger scale. BEVs have been published in Japan since the 1770s (Kishi 1997). BEVs have been useful in reconstructing the original landscape of Japanese tourist destinations, such as Matsushima and Itsukushima (Nakanishi 2007; Nakanishi and Sekido 2008), Ikaho Spa (Sekido 2002, 2025), Shima Spa (Sekido 2004), and Atami Spa (Nakanishi and Sekido 2008).</w:t>
      </w:r>
    </w:p>
    <w:p w14:paraId="77D5775E" w14:textId="77777777" w:rsidR="00B4701D" w:rsidRPr="00D87F21" w:rsidRDefault="00B4701D" w:rsidP="00B4701D">
      <w:pPr>
        <w:ind w:firstLineChars="100" w:firstLine="200"/>
        <w:rPr>
          <w:rFonts w:ascii="Times New Roman" w:hAnsi="Times New Roman" w:cs="Times New Roman"/>
          <w:sz w:val="20"/>
          <w:szCs w:val="20"/>
        </w:rPr>
      </w:pPr>
      <w:r w:rsidRPr="00D87F21">
        <w:rPr>
          <w:rFonts w:ascii="Times New Roman" w:hAnsi="Times New Roman" w:cs="Times New Roman"/>
          <w:sz w:val="20"/>
          <w:szCs w:val="20"/>
        </w:rPr>
        <w:t>The oldest BEV of the Kusatsu spa area used in this study is No. 1 (1810) (Fig. 2a), whereas the perspective drawing technique has almost never been used at some locations, such as Sankei–Mandara (Pilgrimage Mandala; a pictorial map illustrating religious pilgrimages to sacred sites in Japan) (Mende 2008). BEVs Nos 6–8 (1821‒1825) only partially used the perspective drawing technique. From 1827 (No. 11) onwards, features such as hotels and mountains were depicted in the perspective drawings. For simplicity, all paintings (Nos 1‒69) are referred to as BEVs in this study.</w:t>
      </w:r>
    </w:p>
    <w:p w14:paraId="535150FA" w14:textId="77777777" w:rsidR="00B4701D" w:rsidRPr="00D87F21" w:rsidRDefault="00B4701D" w:rsidP="00B4701D">
      <w:pPr>
        <w:rPr>
          <w:rFonts w:ascii="Times New Roman" w:hAnsi="Times New Roman" w:cs="Times New Roman"/>
          <w:b/>
          <w:sz w:val="24"/>
          <w:szCs w:val="20"/>
        </w:rPr>
      </w:pPr>
    </w:p>
    <w:p w14:paraId="719C5C29" w14:textId="77777777" w:rsidR="00B4701D" w:rsidRPr="00D87F21" w:rsidRDefault="00B4701D" w:rsidP="00B4701D">
      <w:pPr>
        <w:rPr>
          <w:rFonts w:ascii="Times New Roman" w:hAnsi="Times New Roman" w:cs="Times New Roman"/>
          <w:b/>
          <w:sz w:val="24"/>
          <w:szCs w:val="20"/>
        </w:rPr>
      </w:pPr>
      <w:r w:rsidRPr="00D87F21">
        <w:rPr>
          <w:rFonts w:ascii="Times New Roman" w:hAnsi="Times New Roman" w:cs="Times New Roman"/>
          <w:b/>
          <w:sz w:val="24"/>
          <w:szCs w:val="20"/>
        </w:rPr>
        <w:t>Contents</w:t>
      </w:r>
    </w:p>
    <w:p w14:paraId="16888CD4" w14:textId="77777777" w:rsidR="00B4701D" w:rsidRPr="00D87F21" w:rsidRDefault="00B4701D" w:rsidP="00B4701D">
      <w:pPr>
        <w:ind w:firstLineChars="100" w:firstLine="200"/>
        <w:rPr>
          <w:rFonts w:ascii="Times New Roman" w:hAnsi="Times New Roman" w:cs="Times New Roman"/>
          <w:kern w:val="0"/>
          <w:sz w:val="20"/>
          <w:szCs w:val="20"/>
        </w:rPr>
      </w:pPr>
      <w:r w:rsidRPr="00D87F21">
        <w:rPr>
          <w:rFonts w:ascii="Times New Roman" w:hAnsi="Times New Roman" w:cs="Times New Roman"/>
          <w:kern w:val="0"/>
          <w:sz w:val="20"/>
          <w:szCs w:val="20"/>
        </w:rPr>
        <w:t>To promote the Kusatsu spa area to visitors, BEV</w:t>
      </w:r>
      <w:r w:rsidRPr="00D87F21">
        <w:rPr>
          <w:rFonts w:ascii="Times New Roman" w:hAnsi="Times New Roman" w:cs="Times New Roman"/>
          <w:sz w:val="20"/>
          <w:szCs w:val="20"/>
        </w:rPr>
        <w:t>s of the area w</w:t>
      </w:r>
      <w:r w:rsidRPr="00D87F21">
        <w:rPr>
          <w:rFonts w:ascii="Times New Roman" w:hAnsi="Times New Roman" w:cs="Times New Roman"/>
          <w:kern w:val="0"/>
          <w:sz w:val="20"/>
          <w:szCs w:val="20"/>
        </w:rPr>
        <w:t>ere frequently published and sold as souvenirs from the early 19th to early 20th centuries. The Kusatsu spa area is a famous tourist destination, drawing 10,000 people per year in the early 19th century (Hagiwara 1948), &gt;24,000 in 1889, and 200,000 in the early 20th century (Sekido 2018a), indicating these BEVs were widely circulated.</w:t>
      </w:r>
    </w:p>
    <w:p w14:paraId="0F8F6547" w14:textId="77777777" w:rsidR="00B4701D" w:rsidRPr="00D87F21" w:rsidRDefault="00B4701D" w:rsidP="00B4701D">
      <w:pPr>
        <w:ind w:firstLineChars="100" w:firstLine="200"/>
        <w:rPr>
          <w:rFonts w:ascii="Times New Roman" w:hAnsi="Times New Roman" w:cs="Times New Roman"/>
          <w:sz w:val="20"/>
          <w:szCs w:val="20"/>
        </w:rPr>
      </w:pPr>
      <w:r w:rsidRPr="00D87F21">
        <w:rPr>
          <w:rFonts w:ascii="Times New Roman" w:hAnsi="Times New Roman" w:cs="Times New Roman"/>
          <w:sz w:val="20"/>
          <w:szCs w:val="20"/>
        </w:rPr>
        <w:t>The BEVs depicted the Yubatake, one of the representative hot water fountains, at their center (Fig. 2). Also shown were hotels, public bathhouses, offices, and shrines around the Yubatake, and mountains in the distance annotated with their names. The mountain shapes and sizes differ among the BEVs. The Shirane and Motoshirane PC were often depicted as trapezoids, similar to their actual topography (Figs 1 and 3).</w:t>
      </w:r>
    </w:p>
    <w:p w14:paraId="0B2D1A7B" w14:textId="77777777" w:rsidR="00B4701D" w:rsidRPr="00D87F21" w:rsidRDefault="00B4701D" w:rsidP="00B4701D">
      <w:pPr>
        <w:autoSpaceDE w:val="0"/>
        <w:autoSpaceDN w:val="0"/>
        <w:adjustRightInd w:val="0"/>
        <w:ind w:firstLineChars="100" w:firstLine="200"/>
        <w:rPr>
          <w:rFonts w:ascii="Times New Roman" w:hAnsi="Times New Roman" w:cs="Times New Roman"/>
          <w:kern w:val="0"/>
          <w:sz w:val="20"/>
          <w:szCs w:val="20"/>
        </w:rPr>
      </w:pPr>
      <w:r w:rsidRPr="00D87F21">
        <w:rPr>
          <w:rFonts w:ascii="Times New Roman" w:hAnsi="Times New Roman" w:cs="Times New Roman"/>
          <w:kern w:val="0"/>
          <w:sz w:val="20"/>
          <w:szCs w:val="20"/>
        </w:rPr>
        <w:t xml:space="preserve">The year of publication was sometimes noted on the edges of the BEVs (red squares in Fig. 2). </w:t>
      </w:r>
      <w:bookmarkStart w:id="0" w:name="_Hlk196302791"/>
      <w:r w:rsidRPr="00D87F21">
        <w:rPr>
          <w:rFonts w:ascii="Times New Roman" w:hAnsi="Times New Roman" w:cs="Times New Roman"/>
          <w:kern w:val="0"/>
          <w:sz w:val="20"/>
          <w:szCs w:val="20"/>
        </w:rPr>
        <w:t>The BEVs we examined were published at 1</w:t>
      </w:r>
      <w:r w:rsidRPr="00D87F21">
        <w:rPr>
          <w:rFonts w:ascii="Times New Roman" w:hAnsi="Times New Roman" w:cs="Times New Roman"/>
          <w:sz w:val="20"/>
          <w:szCs w:val="20"/>
          <w:shd w:val="clear" w:color="auto" w:fill="FFFFFF"/>
        </w:rPr>
        <w:t>–</w:t>
      </w:r>
      <w:r w:rsidRPr="00D87F21">
        <w:rPr>
          <w:rFonts w:ascii="Times New Roman" w:hAnsi="Times New Roman" w:cs="Times New Roman"/>
          <w:kern w:val="0"/>
          <w:sz w:val="20"/>
          <w:szCs w:val="20"/>
        </w:rPr>
        <w:t>3 yr intervals during 1810–1938, with exceptions of a 9 yr interval during 1831</w:t>
      </w:r>
      <w:r w:rsidRPr="00D87F21">
        <w:rPr>
          <w:rFonts w:ascii="Times New Roman" w:hAnsi="Times New Roman" w:cs="Times New Roman"/>
          <w:sz w:val="20"/>
          <w:szCs w:val="20"/>
          <w:shd w:val="clear" w:color="auto" w:fill="FFFFFF"/>
        </w:rPr>
        <w:t>–</w:t>
      </w:r>
      <w:r w:rsidRPr="00D87F21">
        <w:rPr>
          <w:rFonts w:ascii="Times New Roman" w:hAnsi="Times New Roman" w:cs="Times New Roman"/>
          <w:kern w:val="0"/>
          <w:sz w:val="20"/>
          <w:szCs w:val="20"/>
        </w:rPr>
        <w:t>1839 and a 10 yr interval during 1864</w:t>
      </w:r>
      <w:r w:rsidRPr="00D87F21">
        <w:rPr>
          <w:rFonts w:ascii="Times New Roman" w:hAnsi="Times New Roman" w:cs="Times New Roman"/>
          <w:sz w:val="20"/>
          <w:szCs w:val="20"/>
          <w:shd w:val="clear" w:color="auto" w:fill="FFFFFF"/>
        </w:rPr>
        <w:t>–</w:t>
      </w:r>
      <w:r w:rsidRPr="00D87F21">
        <w:rPr>
          <w:rFonts w:ascii="Times New Roman" w:hAnsi="Times New Roman" w:cs="Times New Roman"/>
          <w:kern w:val="0"/>
          <w:sz w:val="20"/>
          <w:szCs w:val="20"/>
        </w:rPr>
        <w:t>1873 (Table 3).</w:t>
      </w:r>
    </w:p>
    <w:p w14:paraId="5C5D9150" w14:textId="77777777" w:rsidR="00B4701D" w:rsidRPr="00D87F21" w:rsidRDefault="00B4701D" w:rsidP="00B4701D">
      <w:pPr>
        <w:autoSpaceDE w:val="0"/>
        <w:autoSpaceDN w:val="0"/>
        <w:adjustRightInd w:val="0"/>
        <w:rPr>
          <w:rFonts w:ascii="Times New Roman" w:hAnsi="Times New Roman" w:cs="Times New Roman"/>
          <w:kern w:val="0"/>
          <w:sz w:val="20"/>
          <w:szCs w:val="20"/>
        </w:rPr>
      </w:pPr>
    </w:p>
    <w:bookmarkEnd w:id="0"/>
    <w:p w14:paraId="0C9C7F7C" w14:textId="77777777" w:rsidR="00B4701D" w:rsidRPr="00D87F21" w:rsidRDefault="00B4701D" w:rsidP="00B4701D">
      <w:pPr>
        <w:rPr>
          <w:rFonts w:ascii="Times New Roman" w:hAnsi="Times New Roman" w:cs="Times New Roman"/>
          <w:sz w:val="22"/>
          <w:szCs w:val="20"/>
        </w:rPr>
      </w:pPr>
      <w:r w:rsidRPr="00D87F21">
        <w:rPr>
          <w:rFonts w:ascii="Times New Roman" w:hAnsi="Times New Roman" w:cs="Times New Roman"/>
          <w:b/>
          <w:sz w:val="22"/>
          <w:szCs w:val="20"/>
        </w:rPr>
        <w:t>Publisher and place of publication</w:t>
      </w:r>
    </w:p>
    <w:p w14:paraId="6AD36E38" w14:textId="77777777" w:rsidR="00B4701D" w:rsidRPr="00D87F21" w:rsidRDefault="00B4701D" w:rsidP="00B4701D">
      <w:pPr>
        <w:ind w:firstLineChars="100" w:firstLine="200"/>
        <w:rPr>
          <w:rFonts w:ascii="Times New Roman" w:hAnsi="Times New Roman" w:cs="Times New Roman"/>
          <w:kern w:val="0"/>
          <w:sz w:val="20"/>
          <w:szCs w:val="20"/>
        </w:rPr>
      </w:pPr>
      <w:r w:rsidRPr="00D87F21">
        <w:rPr>
          <w:rFonts w:ascii="Times New Roman" w:hAnsi="Times New Roman" w:cs="Times New Roman"/>
          <w:kern w:val="0"/>
          <w:sz w:val="20"/>
          <w:szCs w:val="20"/>
        </w:rPr>
        <w:t xml:space="preserve">The publisher and place of publication were noted on 50 of the 69 BEVs (blue square in Fig. 2). </w:t>
      </w:r>
      <w:r w:rsidRPr="00D87F21">
        <w:rPr>
          <w:rFonts w:ascii="Times New Roman" w:eastAsiaTheme="minorHAnsi" w:hAnsi="Times New Roman" w:cs="Times New Roman"/>
          <w:kern w:val="0"/>
          <w:sz w:val="20"/>
          <w:szCs w:val="20"/>
        </w:rPr>
        <w:t>Twenty-five BEV</w:t>
      </w:r>
      <w:r w:rsidRPr="00D87F21">
        <w:rPr>
          <w:rFonts w:ascii="Times New Roman" w:hAnsi="Times New Roman" w:cs="Times New Roman"/>
          <w:kern w:val="0"/>
          <w:sz w:val="20"/>
          <w:szCs w:val="20"/>
        </w:rPr>
        <w:t xml:space="preserve">s were inferred as having been published in the Kusatsu spa area or in cooperation with inhabitants of the area (Fig. 2; </w:t>
      </w:r>
      <w:r>
        <w:rPr>
          <w:rFonts w:ascii="Times New Roman" w:hAnsi="Times New Roman" w:cs="Times New Roman"/>
          <w:kern w:val="0"/>
          <w:sz w:val="20"/>
          <w:szCs w:val="20"/>
        </w:rPr>
        <w:t>Table 3</w:t>
      </w:r>
      <w:r w:rsidRPr="00D87F21">
        <w:rPr>
          <w:rFonts w:ascii="Times New Roman" w:hAnsi="Times New Roman" w:cs="Times New Roman"/>
          <w:kern w:val="0"/>
          <w:sz w:val="20"/>
          <w:szCs w:val="20"/>
        </w:rPr>
        <w:t>).</w:t>
      </w:r>
    </w:p>
    <w:p w14:paraId="4C3840B2" w14:textId="77777777" w:rsidR="00B4701D" w:rsidRPr="00D87F21" w:rsidRDefault="00B4701D" w:rsidP="00B4701D">
      <w:pPr>
        <w:ind w:firstLineChars="100" w:firstLine="200"/>
        <w:rPr>
          <w:rFonts w:ascii="Times New Roman" w:hAnsi="Times New Roman" w:cs="Times New Roman"/>
          <w:sz w:val="20"/>
          <w:szCs w:val="20"/>
        </w:rPr>
      </w:pPr>
      <w:r w:rsidRPr="00D87F21">
        <w:rPr>
          <w:rFonts w:ascii="Times New Roman" w:hAnsi="Times New Roman" w:cs="Times New Roman"/>
          <w:kern w:val="0"/>
          <w:sz w:val="20"/>
          <w:szCs w:val="20"/>
        </w:rPr>
        <w:t>The place of publication was not usually noted on the BEVs published during the Edo period</w:t>
      </w:r>
      <w:r w:rsidRPr="00D87F21">
        <w:rPr>
          <w:rFonts w:ascii="Times New Roman" w:hAnsi="Times New Roman" w:cs="Times New Roman"/>
          <w:sz w:val="20"/>
          <w:szCs w:val="20"/>
        </w:rPr>
        <w:t xml:space="preserve"> (1603</w:t>
      </w:r>
      <w:r w:rsidRPr="00D87F21">
        <w:rPr>
          <w:rFonts w:ascii="Times New Roman" w:hAnsi="Times New Roman" w:cs="Times New Roman"/>
          <w:sz w:val="20"/>
          <w:szCs w:val="20"/>
          <w:shd w:val="clear" w:color="auto" w:fill="FFFFFF"/>
        </w:rPr>
        <w:t>–</w:t>
      </w:r>
      <w:r w:rsidRPr="00D87F21">
        <w:rPr>
          <w:rFonts w:ascii="Times New Roman" w:hAnsi="Times New Roman" w:cs="Times New Roman"/>
          <w:sz w:val="20"/>
          <w:szCs w:val="20"/>
        </w:rPr>
        <w:t>1868). Instead, “</w:t>
      </w:r>
      <w:r w:rsidRPr="00D87F21">
        <w:rPr>
          <w:rFonts w:ascii="Times New Roman" w:hAnsi="Times New Roman" w:cs="Times New Roman"/>
          <w:kern w:val="0"/>
          <w:sz w:val="20"/>
          <w:szCs w:val="20"/>
        </w:rPr>
        <w:t xml:space="preserve">Oumiya and Toshimaya”, “Mishimaya”, “Choujiya”, and “Matsunoya” are noted on </w:t>
      </w:r>
      <w:r w:rsidRPr="00D87F21">
        <w:rPr>
          <w:rFonts w:ascii="Times New Roman" w:hAnsi="Times New Roman" w:cs="Times New Roman"/>
          <w:sz w:val="20"/>
          <w:szCs w:val="20"/>
        </w:rPr>
        <w:t>Nos 1, 2, 15, 16, 23, and 25,</w:t>
      </w:r>
      <w:r w:rsidRPr="00D87F21">
        <w:rPr>
          <w:rFonts w:ascii="Times New Roman" w:hAnsi="Times New Roman" w:cs="Times New Roman"/>
          <w:kern w:val="0"/>
          <w:sz w:val="20"/>
          <w:szCs w:val="20"/>
        </w:rPr>
        <w:t xml:space="preserve"> respectively. </w:t>
      </w:r>
      <w:r w:rsidRPr="00D87F21">
        <w:rPr>
          <w:rFonts w:ascii="Times New Roman" w:hAnsi="Times New Roman" w:cs="Times New Roman"/>
          <w:sz w:val="20"/>
          <w:szCs w:val="20"/>
        </w:rPr>
        <w:t>These probably correspond to the name of a hotel or restaurant in the Kusatsu spa area at the time, although further details are unknown.</w:t>
      </w:r>
    </w:p>
    <w:p w14:paraId="2516CB4D" w14:textId="77777777" w:rsidR="00B4701D" w:rsidRPr="00D87F21" w:rsidRDefault="00B4701D" w:rsidP="00B4701D">
      <w:pPr>
        <w:widowControl/>
        <w:ind w:firstLineChars="100" w:firstLine="200"/>
        <w:rPr>
          <w:rFonts w:ascii="Times New Roman" w:hAnsi="Times New Roman" w:cs="Times New Roman"/>
          <w:sz w:val="20"/>
          <w:szCs w:val="20"/>
        </w:rPr>
      </w:pPr>
      <w:r w:rsidRPr="00D87F21">
        <w:rPr>
          <w:rFonts w:ascii="Times New Roman" w:hAnsi="Times New Roman" w:cs="Times New Roman"/>
          <w:sz w:val="20"/>
          <w:szCs w:val="20"/>
        </w:rPr>
        <w:t xml:space="preserve">Ootusya, which is noted on No. 29, was a restaurant in the Kusatsu spa area at that time </w:t>
      </w:r>
      <w:bookmarkStart w:id="1" w:name="_Hlk196303345"/>
      <w:r w:rsidRPr="00D87F21">
        <w:rPr>
          <w:rFonts w:ascii="Times New Roman" w:hAnsi="Times New Roman" w:cs="Times New Roman"/>
          <w:sz w:val="20"/>
          <w:szCs w:val="20"/>
        </w:rPr>
        <w:t>(Sekido 2018b)</w:t>
      </w:r>
      <w:bookmarkEnd w:id="1"/>
      <w:r w:rsidRPr="00D87F21">
        <w:rPr>
          <w:rFonts w:ascii="Times New Roman" w:hAnsi="Times New Roman" w:cs="Times New Roman"/>
          <w:sz w:val="20"/>
          <w:szCs w:val="20"/>
        </w:rPr>
        <w:t xml:space="preserve">. </w:t>
      </w:r>
      <w:bookmarkStart w:id="2" w:name="_Hlk196303353"/>
      <w:r w:rsidRPr="00D87F21">
        <w:rPr>
          <w:rFonts w:ascii="Times New Roman" w:hAnsi="Times New Roman" w:cs="Times New Roman"/>
          <w:sz w:val="20"/>
          <w:szCs w:val="20"/>
        </w:rPr>
        <w:t xml:space="preserve">Ichidaya (Nos 15 and 21) and Oosakaya (No. 32) </w:t>
      </w:r>
      <w:bookmarkEnd w:id="2"/>
      <w:r w:rsidRPr="00D87F21">
        <w:rPr>
          <w:rFonts w:ascii="Times New Roman" w:hAnsi="Times New Roman" w:cs="Times New Roman"/>
          <w:sz w:val="20"/>
          <w:szCs w:val="20"/>
        </w:rPr>
        <w:t>are hotels that were still operating in the 21th century. We infer that these BEVs were published in the Kusatsu spa area</w:t>
      </w:r>
      <w:r>
        <w:rPr>
          <w:rFonts w:ascii="Times New Roman" w:hAnsi="Times New Roman" w:cs="Times New Roman"/>
          <w:sz w:val="20"/>
          <w:szCs w:val="20"/>
        </w:rPr>
        <w:t xml:space="preserve"> (Table 3</w:t>
      </w:r>
      <w:r w:rsidRPr="00D87F21">
        <w:rPr>
          <w:rFonts w:ascii="Times New Roman" w:hAnsi="Times New Roman" w:cs="Times New Roman"/>
          <w:sz w:val="20"/>
          <w:szCs w:val="20"/>
        </w:rPr>
        <w:t>).</w:t>
      </w:r>
    </w:p>
    <w:p w14:paraId="76820C41" w14:textId="77777777" w:rsidR="00B4701D" w:rsidRPr="00D87F21" w:rsidRDefault="00B4701D" w:rsidP="00B4701D">
      <w:pPr>
        <w:widowControl/>
        <w:ind w:firstLineChars="100" w:firstLine="200"/>
        <w:rPr>
          <w:rFonts w:ascii="Times New Roman" w:hAnsi="Times New Roman" w:cs="Times New Roman"/>
          <w:sz w:val="20"/>
          <w:szCs w:val="20"/>
        </w:rPr>
      </w:pPr>
      <w:r w:rsidRPr="00D87F21">
        <w:rPr>
          <w:rFonts w:ascii="Times New Roman" w:hAnsi="Times New Roman" w:cs="Times New Roman"/>
          <w:sz w:val="20"/>
          <w:szCs w:val="20"/>
        </w:rPr>
        <w:t>Since the Meiji period (1868‒1912), the publisher and place of publication are usually noted on the BEVs. If “Kusatsu” was included in the details of the publisher or place of publication, it was interpreted that the BEV was published in the Kusatsu spa area. There are some cases in which a person’s name is given but the place of publication is not (e.g., No. 24). Sekido (2018a and b) confirmed that Yasubei Yumoto operated a hotel in the Kusatsu spa area and Yohei Ichikawa was a resident of the Kusatsu spa area. Yoheiji Yamamoto was the mayor of Kusatsu Town, and Danjyu Miyazaki, Gorobei Miyazaki, and Tsunekichi Miyazaki were members of the town council (Sekido 2012). We infer that BEVs with these names were published in the Kusatsu spa area</w:t>
      </w:r>
      <w:r>
        <w:rPr>
          <w:rFonts w:ascii="Times New Roman" w:hAnsi="Times New Roman" w:cs="Times New Roman"/>
          <w:sz w:val="20"/>
          <w:szCs w:val="20"/>
        </w:rPr>
        <w:t xml:space="preserve"> (Table 3</w:t>
      </w:r>
      <w:r w:rsidRPr="00D87F21">
        <w:rPr>
          <w:rFonts w:ascii="Times New Roman" w:hAnsi="Times New Roman" w:cs="Times New Roman"/>
          <w:sz w:val="20"/>
          <w:szCs w:val="20"/>
        </w:rPr>
        <w:t>). Zenkichi Abe of Tokyo (No. 38 in 1889) moved to Kusatsu (No. 49 in 1897), as indicated by the notes on the BEVs.</w:t>
      </w:r>
    </w:p>
    <w:p w14:paraId="761D1E29" w14:textId="77777777" w:rsidR="00B4701D" w:rsidRPr="00D87F21" w:rsidRDefault="00B4701D" w:rsidP="00B4701D">
      <w:pPr>
        <w:widowControl/>
        <w:ind w:firstLineChars="100" w:firstLine="200"/>
        <w:rPr>
          <w:rFonts w:ascii="Times New Roman" w:hAnsi="Times New Roman" w:cs="Times New Roman"/>
          <w:sz w:val="20"/>
          <w:szCs w:val="20"/>
        </w:rPr>
      </w:pPr>
      <w:r w:rsidRPr="00D87F21">
        <w:rPr>
          <w:rFonts w:ascii="Times New Roman" w:hAnsi="Times New Roman" w:cs="Times New Roman"/>
          <w:sz w:val="20"/>
          <w:szCs w:val="20"/>
        </w:rPr>
        <w:t>In some BEVs, both the publisher and place of publication are noted as being outside of the Kusatsu spa area (No. 35 in 1885 by Matsuda Atsutomo; No. 55 in 1909 by Jiemon Yamada; No. 56 in 1914 by Kunisaburo Tomaru). These maps were published in Tokyo by publishing companies that produced BEVs of tourist attractions throughout Japan (Sekido 2012).</w:t>
      </w:r>
    </w:p>
    <w:p w14:paraId="525FF2CB" w14:textId="77777777" w:rsidR="008C374B" w:rsidRDefault="008C374B"/>
    <w:sectPr w:rsidR="008C3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01D"/>
    <w:rsid w:val="002A5090"/>
    <w:rsid w:val="003F36CB"/>
    <w:rsid w:val="005C6F5D"/>
    <w:rsid w:val="005D5E84"/>
    <w:rsid w:val="007620B2"/>
    <w:rsid w:val="00787B7D"/>
    <w:rsid w:val="008C374B"/>
    <w:rsid w:val="00954821"/>
    <w:rsid w:val="00A800EA"/>
    <w:rsid w:val="00AF416B"/>
    <w:rsid w:val="00B4701D"/>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68706"/>
  <w15:chartTrackingRefBased/>
  <w15:docId w15:val="{48BF8F4F-4BB0-4995-9F8D-23C70A23C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01D"/>
    <w:pPr>
      <w:widowControl w:val="0"/>
      <w:spacing w:after="0" w:line="240" w:lineRule="auto"/>
      <w:jc w:val="both"/>
    </w:pPr>
    <w:rPr>
      <w:rFonts w:eastAsiaTheme="minorEastAsia"/>
      <w:sz w:val="21"/>
      <w:szCs w:val="22"/>
      <w:lang w:eastAsia="ja-JP"/>
      <w14:ligatures w14:val="none"/>
    </w:rPr>
  </w:style>
  <w:style w:type="paragraph" w:styleId="Heading1">
    <w:name w:val="heading 1"/>
    <w:basedOn w:val="Normal"/>
    <w:next w:val="Normal"/>
    <w:link w:val="Heading1Char"/>
    <w:uiPriority w:val="9"/>
    <w:qFormat/>
    <w:rsid w:val="00B4701D"/>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B4701D"/>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B4701D"/>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B4701D"/>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B4701D"/>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B4701D"/>
    <w:pPr>
      <w:keepNext/>
      <w:keepLines/>
      <w:widowControl/>
      <w:spacing w:before="40" w:line="278" w:lineRule="auto"/>
      <w:jc w:val="left"/>
      <w:outlineLvl w:val="5"/>
    </w:pPr>
    <w:rPr>
      <w:rFonts w:eastAsiaTheme="majorEastAsia"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B4701D"/>
    <w:pPr>
      <w:keepNext/>
      <w:keepLines/>
      <w:widowControl/>
      <w:spacing w:before="40" w:line="278" w:lineRule="auto"/>
      <w:jc w:val="left"/>
      <w:outlineLvl w:val="6"/>
    </w:pPr>
    <w:rPr>
      <w:rFonts w:eastAsiaTheme="majorEastAsia"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B4701D"/>
    <w:pPr>
      <w:keepNext/>
      <w:keepLines/>
      <w:widowControl/>
      <w:spacing w:line="278" w:lineRule="auto"/>
      <w:jc w:val="left"/>
      <w:outlineLvl w:val="7"/>
    </w:pPr>
    <w:rPr>
      <w:rFonts w:eastAsiaTheme="majorEastAsia"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B4701D"/>
    <w:pPr>
      <w:keepNext/>
      <w:keepLines/>
      <w:widowControl/>
      <w:spacing w:line="278" w:lineRule="auto"/>
      <w:jc w:val="left"/>
      <w:outlineLvl w:val="8"/>
    </w:pPr>
    <w:rPr>
      <w:rFonts w:eastAsiaTheme="majorEastAsia"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70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70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70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70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70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70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70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70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701D"/>
    <w:rPr>
      <w:rFonts w:eastAsiaTheme="majorEastAsia" w:cstheme="majorBidi"/>
      <w:color w:val="272727" w:themeColor="text1" w:themeTint="D8"/>
    </w:rPr>
  </w:style>
  <w:style w:type="paragraph" w:styleId="Title">
    <w:name w:val="Title"/>
    <w:basedOn w:val="Normal"/>
    <w:next w:val="Normal"/>
    <w:link w:val="TitleChar"/>
    <w:uiPriority w:val="10"/>
    <w:qFormat/>
    <w:rsid w:val="00B4701D"/>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B470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701D"/>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B470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701D"/>
    <w:pPr>
      <w:widowControl/>
      <w:spacing w:before="160" w:after="160" w:line="278" w:lineRule="auto"/>
      <w:jc w:val="center"/>
    </w:pPr>
    <w:rPr>
      <w:rFonts w:eastAsiaTheme="minorHAns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B4701D"/>
    <w:rPr>
      <w:i/>
      <w:iCs/>
      <w:color w:val="404040" w:themeColor="text1" w:themeTint="BF"/>
    </w:rPr>
  </w:style>
  <w:style w:type="paragraph" w:styleId="ListParagraph">
    <w:name w:val="List Paragraph"/>
    <w:basedOn w:val="Normal"/>
    <w:uiPriority w:val="34"/>
    <w:qFormat/>
    <w:rsid w:val="00B4701D"/>
    <w:pPr>
      <w:widowControl/>
      <w:spacing w:after="160" w:line="278" w:lineRule="auto"/>
      <w:ind w:left="720"/>
      <w:contextualSpacing/>
      <w:jc w:val="left"/>
    </w:pPr>
    <w:rPr>
      <w:rFonts w:eastAsiaTheme="minorHAnsi"/>
      <w:sz w:val="24"/>
      <w:szCs w:val="24"/>
      <w:lang w:eastAsia="en-US"/>
      <w14:ligatures w14:val="standardContextual"/>
    </w:rPr>
  </w:style>
  <w:style w:type="character" w:styleId="IntenseEmphasis">
    <w:name w:val="Intense Emphasis"/>
    <w:basedOn w:val="DefaultParagraphFont"/>
    <w:uiPriority w:val="21"/>
    <w:qFormat/>
    <w:rsid w:val="00B4701D"/>
    <w:rPr>
      <w:i/>
      <w:iCs/>
      <w:color w:val="0F4761" w:themeColor="accent1" w:themeShade="BF"/>
    </w:rPr>
  </w:style>
  <w:style w:type="paragraph" w:styleId="IntenseQuote">
    <w:name w:val="Intense Quote"/>
    <w:basedOn w:val="Normal"/>
    <w:next w:val="Normal"/>
    <w:link w:val="IntenseQuoteChar"/>
    <w:uiPriority w:val="30"/>
    <w:qFormat/>
    <w:rsid w:val="00B4701D"/>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B4701D"/>
    <w:rPr>
      <w:i/>
      <w:iCs/>
      <w:color w:val="0F4761" w:themeColor="accent1" w:themeShade="BF"/>
    </w:rPr>
  </w:style>
  <w:style w:type="character" w:styleId="IntenseReference">
    <w:name w:val="Intense Reference"/>
    <w:basedOn w:val="DefaultParagraphFont"/>
    <w:uiPriority w:val="32"/>
    <w:qFormat/>
    <w:rsid w:val="00B4701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692</Words>
  <Characters>3950</Characters>
  <Application>Microsoft Office Word</Application>
  <DocSecurity>0</DocSecurity>
  <Lines>32</Lines>
  <Paragraphs>9</Paragraphs>
  <ScaleCrop>false</ScaleCrop>
  <Company>Springer Nature</Company>
  <LinksUpToDate>false</LinksUpToDate>
  <CharactersWithSpaces>4633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2025-06-25T08:42:00Z</dcterms:created>
  <dcterms:modified xsi:type="dcterms:W3CDTF">2025-06-25T08:42:00Z</dcterms:modified>
</cp:coreProperties>
</file>