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Calibri" w:hAnsi="Calibri" w:cs="Calibri"/>
          <w:sz w:val="24"/>
          <w:szCs w:val="24"/>
        </w:rPr>
      </w:pPr>
    </w:p>
    <w:p>
      <w:pPr>
        <w:jc w:val="center"/>
        <w:rPr>
          <w:rFonts w:ascii="Calibri" w:hAnsi="Calibri" w:cs="Calibri"/>
          <w:b/>
          <w:bCs/>
          <w:color w:val="000000"/>
          <w:sz w:val="36"/>
          <w:szCs w:val="36"/>
        </w:rPr>
      </w:pPr>
      <w:r>
        <w:rPr>
          <w:rFonts w:ascii="Calibri" w:hAnsi="Calibri" w:cs="Calibri"/>
          <w:b/>
          <w:bCs/>
          <w:color w:val="000000"/>
          <w:sz w:val="36"/>
          <w:szCs w:val="36"/>
        </w:rPr>
        <w:t>Supplementary Material</w:t>
      </w:r>
    </w:p>
    <w:p>
      <w:pPr>
        <w:rPr>
          <w:rFonts w:ascii="Calibri" w:hAnsi="Calibri" w:cs="Calibri"/>
          <w:color w:val="000000"/>
          <w:sz w:val="22"/>
        </w:rPr>
      </w:pPr>
    </w:p>
    <w:p>
      <w:pPr>
        <w:pStyle w:val="10"/>
        <w:jc w:val="both"/>
        <w:rPr>
          <w:rFonts w:ascii="Calibri" w:hAnsi="Calibri" w:cs="Calibri"/>
          <w:color w:val="0070C0"/>
        </w:rPr>
      </w:pPr>
      <w:r>
        <w:rPr>
          <w:rFonts w:ascii="Calibri" w:hAnsi="Calibri" w:cs="Calibri"/>
          <w:color w:val="0070C0"/>
        </w:rPr>
        <w:t>Comparative analysis of daily and hourly temperature variability in association with all-cause and cardiorespiratory mortality in 45 US cities</w:t>
      </w:r>
    </w:p>
    <w:p>
      <w:pPr>
        <w:pStyle w:val="29"/>
        <w:spacing w:line="240" w:lineRule="auto"/>
        <w:ind w:hanging="311"/>
        <w:jc w:val="both"/>
        <w:rPr>
          <w:rFonts w:ascii="Calibri" w:hAnsi="Calibri" w:cs="Calibri"/>
          <w:b/>
          <w:bCs/>
          <w:color w:val="0070C0"/>
          <w:sz w:val="32"/>
          <w:szCs w:val="32"/>
          <w:vertAlign w:val="superscript"/>
        </w:rPr>
      </w:pPr>
    </w:p>
    <w:p>
      <w:pPr>
        <w:pStyle w:val="29"/>
        <w:spacing w:line="240" w:lineRule="auto"/>
        <w:ind w:hanging="311"/>
        <w:jc w:val="center"/>
        <w:rPr>
          <w:rFonts w:ascii="Calibri" w:hAnsi="Calibri" w:cs="Calibri"/>
          <w:color w:val="0070C0"/>
          <w:sz w:val="22"/>
          <w:vertAlign w:val="superscript"/>
        </w:rPr>
      </w:pPr>
      <w:bookmarkStart w:id="0" w:name="_Hlk75976694"/>
      <w:r>
        <w:rPr>
          <w:rFonts w:ascii="Calibri" w:hAnsi="Calibri" w:cs="Calibri"/>
          <w:color w:val="0070C0"/>
          <w:sz w:val="22"/>
        </w:rPr>
        <w:t>Yong Yu</w:t>
      </w:r>
      <w:bookmarkEnd w:id="0"/>
      <w:r>
        <w:rPr>
          <w:rFonts w:ascii="Calibri" w:hAnsi="Calibri" w:cs="Calibri"/>
          <w:color w:val="0070C0"/>
          <w:sz w:val="22"/>
          <w:vertAlign w:val="superscript"/>
        </w:rPr>
        <w:t xml:space="preserve"> a, 1</w:t>
      </w:r>
      <w:r>
        <w:rPr>
          <w:rFonts w:ascii="Calibri" w:hAnsi="Calibri" w:cs="Calibri"/>
          <w:color w:val="0070C0"/>
          <w:sz w:val="22"/>
        </w:rPr>
        <w:t xml:space="preserve">, Siqi Luo </w:t>
      </w:r>
      <w:r>
        <w:rPr>
          <w:rFonts w:ascii="Calibri" w:hAnsi="Calibri" w:cs="Calibri"/>
          <w:color w:val="0070C0"/>
          <w:sz w:val="22"/>
          <w:vertAlign w:val="superscript"/>
        </w:rPr>
        <w:t>b, 1</w:t>
      </w:r>
      <w:r>
        <w:rPr>
          <w:rFonts w:ascii="Calibri" w:hAnsi="Calibri" w:cs="Calibri"/>
          <w:color w:val="0070C0"/>
          <w:sz w:val="22"/>
        </w:rPr>
        <w:t xml:space="preserve">, Yunquan Zhang </w:t>
      </w:r>
      <w:r>
        <w:rPr>
          <w:rFonts w:ascii="Calibri" w:hAnsi="Calibri" w:cs="Calibri"/>
          <w:color w:val="0070C0"/>
          <w:sz w:val="22"/>
          <w:vertAlign w:val="superscript"/>
        </w:rPr>
        <w:t>b</w:t>
      </w:r>
      <w:r>
        <w:rPr>
          <w:rFonts w:ascii="Calibri" w:hAnsi="Calibri" w:cs="Calibri"/>
          <w:color w:val="0070C0"/>
          <w:sz w:val="22"/>
        </w:rPr>
        <w:t xml:space="preserve">, Linjiong Liu </w:t>
      </w:r>
      <w:r>
        <w:rPr>
          <w:rFonts w:ascii="Calibri" w:hAnsi="Calibri" w:cs="Calibri"/>
          <w:color w:val="0070C0"/>
          <w:sz w:val="22"/>
          <w:vertAlign w:val="superscript"/>
        </w:rPr>
        <w:t>b</w:t>
      </w:r>
      <w:r>
        <w:rPr>
          <w:rFonts w:ascii="Calibri" w:hAnsi="Calibri" w:cs="Calibri"/>
          <w:color w:val="0070C0"/>
          <w:sz w:val="22"/>
        </w:rPr>
        <w:t>, Ke Wang</w:t>
      </w:r>
      <w:r>
        <w:rPr>
          <w:rFonts w:ascii="Calibri" w:hAnsi="Calibri" w:cs="Calibri"/>
          <w:color w:val="0070C0"/>
          <w:sz w:val="22"/>
          <w:vertAlign w:val="superscript"/>
        </w:rPr>
        <w:t xml:space="preserve"> c</w:t>
      </w:r>
      <w:r>
        <w:rPr>
          <w:rFonts w:ascii="Calibri" w:hAnsi="Calibri" w:cs="Calibri"/>
          <w:color w:val="0070C0"/>
          <w:sz w:val="22"/>
        </w:rPr>
        <w:t>, Le Hong</w:t>
      </w:r>
      <w:r>
        <w:rPr>
          <w:rFonts w:ascii="Calibri" w:hAnsi="Calibri" w:cs="Calibri"/>
          <w:color w:val="0070C0"/>
          <w:sz w:val="22"/>
          <w:vertAlign w:val="superscript"/>
        </w:rPr>
        <w:t xml:space="preserve"> b</w:t>
      </w:r>
      <w:r>
        <w:rPr>
          <w:rFonts w:ascii="Calibri" w:hAnsi="Calibri" w:cs="Calibri"/>
          <w:color w:val="0070C0"/>
          <w:sz w:val="22"/>
        </w:rPr>
        <w:t xml:space="preserve">, Qun Wang </w:t>
      </w:r>
      <w:r>
        <w:rPr>
          <w:rFonts w:ascii="Calibri" w:hAnsi="Calibri" w:cs="Calibri"/>
          <w:color w:val="0070C0"/>
          <w:sz w:val="22"/>
          <w:vertAlign w:val="superscript"/>
        </w:rPr>
        <w:t>a, *</w:t>
      </w:r>
    </w:p>
    <w:p>
      <w:pPr>
        <w:pStyle w:val="29"/>
        <w:spacing w:line="240" w:lineRule="auto"/>
        <w:ind w:left="312" w:hanging="312"/>
        <w:rPr>
          <w:rFonts w:ascii="Calibri" w:hAnsi="Calibri" w:cs="Calibri"/>
          <w:sz w:val="22"/>
          <w:szCs w:val="22"/>
          <w:vertAlign w:val="superscript"/>
        </w:rPr>
      </w:pPr>
    </w:p>
    <w:p>
      <w:pPr>
        <w:pStyle w:val="29"/>
        <w:spacing w:line="240" w:lineRule="auto"/>
        <w:ind w:left="312" w:hanging="312"/>
        <w:rPr>
          <w:rFonts w:ascii="Calibri" w:hAnsi="Calibri" w:cs="Calibri"/>
          <w:sz w:val="22"/>
          <w:szCs w:val="22"/>
          <w:vertAlign w:val="superscript"/>
        </w:rPr>
      </w:pPr>
    </w:p>
    <w:p>
      <w:pPr>
        <w:pStyle w:val="29"/>
        <w:spacing w:before="156" w:beforeLines="50" w:after="156" w:afterLines="50"/>
        <w:ind w:left="312" w:hanging="31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vertAlign w:val="superscript"/>
        </w:rPr>
        <w:t>a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School of Public Health, Hubei University of Medicine, Shiyan 442000, China</w:t>
      </w:r>
    </w:p>
    <w:p>
      <w:pPr>
        <w:pStyle w:val="29"/>
        <w:spacing w:before="156" w:beforeLines="50" w:after="156" w:afterLines="50"/>
        <w:ind w:left="312" w:hanging="31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  <w:vertAlign w:val="superscript"/>
        </w:rPr>
        <w:t>b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Department of Epidemiology and Biostatistics, School of Public Health, Wuhan University of Science and Technology, Wuhan 430065, China</w:t>
      </w:r>
    </w:p>
    <w:p>
      <w:pPr>
        <w:pStyle w:val="29"/>
        <w:spacing w:before="156" w:beforeLines="50" w:after="156" w:afterLines="50" w:line="240" w:lineRule="auto"/>
        <w:ind w:left="312" w:hanging="312"/>
        <w:rPr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  <w:vertAlign w:val="superscript"/>
        </w:rPr>
        <w:t>c</w:t>
      </w:r>
      <w:r>
        <w:rPr>
          <w:rFonts w:ascii="Calibri" w:hAnsi="Calibri" w:cs="Calibri"/>
          <w:color w:val="auto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>Department of Nursing, Medical College, Wuhan University of Science and Technology</w:t>
      </w:r>
      <w:r>
        <w:rPr>
          <w:rFonts w:ascii="Calibri" w:hAnsi="Calibri" w:cs="Calibri"/>
          <w:color w:val="auto"/>
          <w:sz w:val="22"/>
          <w:szCs w:val="22"/>
        </w:rPr>
        <w:t>, Wuhan 430065</w:t>
      </w:r>
      <w:r>
        <w:rPr>
          <w:rFonts w:hint="eastAsia" w:ascii="Calibri" w:hAnsi="Calibri" w:cs="Calibri"/>
          <w:color w:val="auto"/>
          <w:sz w:val="22"/>
          <w:szCs w:val="22"/>
        </w:rPr>
        <w:t>,</w:t>
      </w:r>
      <w:r>
        <w:rPr>
          <w:rFonts w:ascii="Calibri" w:hAnsi="Calibri" w:cs="Calibri"/>
          <w:color w:val="auto"/>
          <w:sz w:val="22"/>
          <w:szCs w:val="22"/>
        </w:rPr>
        <w:t xml:space="preserve"> China</w:t>
      </w:r>
    </w:p>
    <w:p>
      <w:pPr>
        <w:widowControl/>
        <w:jc w:val="left"/>
        <w:rPr>
          <w:rFonts w:ascii="Calibri" w:hAnsi="Calibri" w:eastAsia="宋体" w:cs="Calibri"/>
          <w:color w:val="000000"/>
          <w:kern w:val="0"/>
          <w:sz w:val="22"/>
          <w:vertAlign w:val="superscript"/>
        </w:rPr>
      </w:pPr>
    </w:p>
    <w:p>
      <w:pPr>
        <w:widowControl/>
        <w:jc w:val="left"/>
        <w:rPr>
          <w:rFonts w:ascii="Calibri" w:hAnsi="Calibri" w:eastAsia="宋体" w:cs="Calibri"/>
          <w:color w:val="000000"/>
          <w:kern w:val="0"/>
          <w:sz w:val="22"/>
        </w:rPr>
      </w:pPr>
      <w:r>
        <w:rPr>
          <w:rFonts w:ascii="Calibri" w:hAnsi="Calibri" w:eastAsia="宋体" w:cs="Calibri"/>
          <w:color w:val="000000"/>
          <w:kern w:val="0"/>
          <w:sz w:val="22"/>
          <w:vertAlign w:val="superscript"/>
        </w:rPr>
        <w:t>1</w:t>
      </w:r>
      <w:r>
        <w:rPr>
          <w:rFonts w:ascii="Calibri" w:hAnsi="Calibri" w:eastAsia="宋体" w:cs="Calibri"/>
          <w:color w:val="000000"/>
          <w:kern w:val="0"/>
          <w:sz w:val="14"/>
          <w:szCs w:val="14"/>
          <w:vertAlign w:val="superscript"/>
        </w:rPr>
        <w:t xml:space="preserve"> </w:t>
      </w:r>
      <w:r>
        <w:rPr>
          <w:rFonts w:ascii="Calibri" w:hAnsi="Calibri" w:eastAsia="宋体" w:cs="Calibri"/>
          <w:color w:val="000000"/>
          <w:kern w:val="0"/>
          <w:sz w:val="22"/>
        </w:rPr>
        <w:t xml:space="preserve">These authors are co-first authors who contributed equally to this paper. </w:t>
      </w:r>
      <w:r>
        <w:rPr>
          <w:rStyle w:val="17"/>
          <w:rFonts w:cs="Calibri" w:eastAsiaTheme="majorHAnsi"/>
          <w:sz w:val="22"/>
        </w:rPr>
        <w:footnoteReference w:id="0"/>
      </w:r>
      <w:r>
        <w:rPr>
          <w:rFonts w:ascii="Calibri" w:hAnsi="Calibri" w:cs="Calibri"/>
          <w:sz w:val="22"/>
        </w:rPr>
        <w:br w:type="page"/>
      </w:r>
    </w:p>
    <w:p>
      <w:pPr>
        <w:rPr>
          <w:rFonts w:hint="eastAsia" w:ascii="Calibri" w:hAnsi="Calibri" w:cs="Calibri"/>
          <w:sz w:val="22"/>
        </w:rPr>
      </w:pPr>
    </w:p>
    <w:p>
      <w:pPr>
        <w:jc w:val="center"/>
        <w:rPr>
          <w:rFonts w:ascii="Calibri" w:hAnsi="Calibri" w:cs="Calibri"/>
          <w:b/>
          <w:bCs/>
          <w:color w:val="0070C0"/>
          <w:sz w:val="28"/>
          <w:szCs w:val="28"/>
        </w:rPr>
      </w:pPr>
      <w:r>
        <w:rPr>
          <w:rFonts w:ascii="Calibri" w:hAnsi="Calibri" w:cs="Calibri"/>
          <w:b/>
          <w:bCs/>
          <w:color w:val="0070C0"/>
          <w:sz w:val="28"/>
          <w:szCs w:val="28"/>
        </w:rPr>
        <w:t>Table of contents</w:t>
      </w:r>
    </w:p>
    <w:p>
      <w:pPr>
        <w:spacing w:before="156" w:beforeLines="50" w:after="156" w:afterLines="50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Fig. S1</w:t>
      </w:r>
      <w:r>
        <w:rPr>
          <w:rFonts w:ascii="Calibri" w:hAnsi="Calibri" w:cs="Calibri"/>
          <w:sz w:val="22"/>
        </w:rPr>
        <w:t xml:space="preserve"> Locations of 45 metropolises in United States and daily temperature variability of each city (7 regions were divided by dotted lines)</w:t>
      </w:r>
    </w:p>
    <w:p>
      <w:pPr>
        <w:spacing w:before="156" w:beforeLines="50" w:after="156" w:afterLines="50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Fig. S2</w:t>
      </w:r>
      <w:r>
        <w:rPr>
          <w:rFonts w:ascii="Calibri" w:hAnsi="Calibri" w:cs="Calibri"/>
          <w:sz w:val="22"/>
        </w:rPr>
        <w:t xml:space="preserve"> Mortality changes (%, 95% CIs) associated with per 1 °C increase in TV</w:t>
      </w:r>
      <w:r>
        <w:rPr>
          <w:rFonts w:ascii="Calibri" w:hAnsi="Calibri" w:cs="Calibri"/>
          <w:sz w:val="22"/>
          <w:vertAlign w:val="subscript"/>
        </w:rPr>
        <w:t>daily</w:t>
      </w:r>
      <w:r>
        <w:rPr>
          <w:rFonts w:ascii="Calibri" w:hAnsi="Calibri" w:cs="Calibri"/>
          <w:sz w:val="22"/>
        </w:rPr>
        <w:t xml:space="preserve"> and TV</w:t>
      </w:r>
      <w:r>
        <w:rPr>
          <w:rFonts w:ascii="Calibri" w:hAnsi="Calibri" w:cs="Calibri"/>
          <w:sz w:val="22"/>
          <w:vertAlign w:val="subscript"/>
        </w:rPr>
        <w:t>hourly</w:t>
      </w:r>
      <w:r>
        <w:rPr>
          <w:rFonts w:ascii="Calibri" w:hAnsi="Calibri" w:cs="Calibri"/>
          <w:sz w:val="22"/>
        </w:rPr>
        <w:t xml:space="preserve"> along various exposure days. The solid dots are the average effect estimates and the error bars represent the 95% confidence intervals.</w:t>
      </w:r>
    </w:p>
    <w:p>
      <w:pPr>
        <w:spacing w:before="156" w:beforeLines="50" w:after="156" w:afterLines="5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2"/>
        </w:rPr>
        <w:t>Table S1</w:t>
      </w:r>
      <w:r>
        <w:rPr>
          <w:rFonts w:ascii="Calibri" w:hAnsi="Calibri" w:cs="Calibri"/>
          <w:sz w:val="22"/>
        </w:rPr>
        <w:t xml:space="preserve"> Location-specific summary statistics (mean and range) for daily deaths, average temperatures, relative humidity and temperature variability (daily and hourly) in 45 US cities, 1987</w:t>
      </w:r>
      <w:r>
        <w:rPr>
          <w:rFonts w:ascii="Calibri" w:hAnsi="Calibri" w:eastAsia="宋体" w:cs="Calibri"/>
          <w:color w:val="000000"/>
          <w:kern w:val="0"/>
          <w:sz w:val="22"/>
        </w:rPr>
        <w:t>–2000</w:t>
      </w:r>
      <w:r>
        <w:rPr>
          <w:rFonts w:ascii="Calibri" w:hAnsi="Calibri" w:cs="Calibri"/>
          <w:sz w:val="22"/>
        </w:rPr>
        <w:t>.</w:t>
      </w:r>
    </w:p>
    <w:p>
      <w:pPr>
        <w:spacing w:before="156" w:beforeLines="50" w:after="156" w:afterLines="50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Table S2</w:t>
      </w:r>
      <w:r>
        <w:rPr>
          <w:rFonts w:ascii="Calibri" w:hAnsi="Calibri" w:cs="Calibri"/>
          <w:sz w:val="22"/>
        </w:rPr>
        <w:t xml:space="preserve"> </w:t>
      </w:r>
      <w:r>
        <w:rPr>
          <w:rFonts w:hint="eastAsia" w:ascii="Calibri" w:hAnsi="Calibri" w:cs="Calibri"/>
          <w:sz w:val="22"/>
        </w:rPr>
        <w:t>Summary characteristics of d</w:t>
      </w:r>
      <w:r>
        <w:rPr>
          <w:rFonts w:ascii="Calibri" w:hAnsi="Calibri" w:cs="Calibri"/>
          <w:sz w:val="22"/>
        </w:rPr>
        <w:t xml:space="preserve">aily </w:t>
      </w:r>
      <w:r>
        <w:rPr>
          <w:rFonts w:hint="eastAsia" w:ascii="Calibri" w:hAnsi="Calibri" w:cs="Calibri"/>
          <w:sz w:val="22"/>
        </w:rPr>
        <w:t xml:space="preserve">number of </w:t>
      </w:r>
      <w:r>
        <w:rPr>
          <w:rFonts w:ascii="Calibri" w:hAnsi="Calibri" w:cs="Calibri"/>
          <w:sz w:val="22"/>
        </w:rPr>
        <w:t>cause-specific deaths (mean and range) in 45 US cities.</w:t>
      </w:r>
    </w:p>
    <w:p>
      <w:pPr>
        <w:spacing w:before="156" w:beforeLines="50" w:after="156" w:afterLines="50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Table S3</w:t>
      </w:r>
      <w:r>
        <w:rPr>
          <w:rFonts w:ascii="Calibri" w:hAnsi="Calibri" w:cs="Calibri"/>
          <w:sz w:val="22"/>
        </w:rPr>
        <w:t xml:space="preserve"> Cause-specific attributable fractions (%, 95% CIs) from lag 0</w:t>
      </w:r>
      <w:r>
        <w:rPr>
          <w:rFonts w:ascii="Calibri" w:hAnsi="Calibri" w:eastAsia="等线" w:cs="Calibri"/>
          <w:color w:val="000000"/>
          <w:kern w:val="0"/>
          <w:sz w:val="22"/>
          <w:lang w:bidi="ar"/>
        </w:rPr>
        <w:t>−</w:t>
      </w:r>
      <w:r>
        <w:rPr>
          <w:rFonts w:ascii="Calibri" w:hAnsi="Calibri" w:cs="Calibri"/>
          <w:sz w:val="22"/>
        </w:rPr>
        <w:t>1 days to lag 0</w:t>
      </w:r>
      <w:r>
        <w:rPr>
          <w:rFonts w:ascii="Calibri" w:hAnsi="Calibri" w:eastAsia="等线" w:cs="Calibri"/>
          <w:color w:val="000000"/>
          <w:kern w:val="0"/>
          <w:sz w:val="22"/>
          <w:lang w:bidi="ar"/>
        </w:rPr>
        <w:t>−</w:t>
      </w:r>
      <w:r>
        <w:rPr>
          <w:rFonts w:ascii="Calibri" w:hAnsi="Calibri" w:cs="Calibri"/>
          <w:sz w:val="22"/>
        </w:rPr>
        <w:t>10 days between two composite indexes.</w:t>
      </w:r>
    </w:p>
    <w:p>
      <w:pPr>
        <w:widowControl/>
        <w:spacing w:before="156" w:beforeLines="50" w:after="156" w:afterLines="50"/>
        <w:jc w:val="left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Table S4</w:t>
      </w:r>
      <w:r>
        <w:rPr>
          <w:rFonts w:ascii="Calibri" w:hAnsi="Calibri" w:cs="Calibri"/>
          <w:sz w:val="22"/>
        </w:rPr>
        <w:t xml:space="preserve"> All-cause and cause-specific attributable fractions (%, 95% CIs)</w:t>
      </w:r>
      <w:r>
        <w:rPr>
          <w:rFonts w:hint="eastAsia" w:ascii="Calibri" w:hAnsi="Calibri" w:cs="Calibri"/>
          <w:sz w:val="22"/>
        </w:rPr>
        <w:t xml:space="preserve"> </w:t>
      </w:r>
      <w:r>
        <w:rPr>
          <w:rFonts w:ascii="Calibri" w:hAnsi="Calibri" w:cs="Calibri"/>
          <w:sz w:val="22"/>
        </w:rPr>
        <w:t>at lag 0</w:t>
      </w:r>
      <w:r>
        <w:rPr>
          <w:rFonts w:ascii="Calibri" w:hAnsi="Calibri" w:eastAsia="宋体" w:cs="Calibri"/>
          <w:color w:val="000000"/>
          <w:kern w:val="0"/>
          <w:sz w:val="22"/>
          <w:lang w:bidi="ar"/>
        </w:rPr>
        <w:t>–7 days</w:t>
      </w:r>
      <w:r>
        <w:rPr>
          <w:rFonts w:ascii="Calibri" w:hAnsi="Calibri" w:cs="Calibri"/>
          <w:sz w:val="22"/>
        </w:rPr>
        <w:t xml:space="preserve"> </w:t>
      </w:r>
      <w:r>
        <w:rPr>
          <w:rFonts w:hint="eastAsia" w:ascii="Calibri" w:hAnsi="Calibri" w:cs="Calibri"/>
          <w:sz w:val="22"/>
        </w:rPr>
        <w:t>stratified by</w:t>
      </w:r>
      <w:r>
        <w:rPr>
          <w:rFonts w:ascii="Calibri" w:hAnsi="Calibri" w:cs="Calibri"/>
          <w:sz w:val="22"/>
        </w:rPr>
        <w:t xml:space="preserve"> three age groups</w:t>
      </w:r>
      <w:r>
        <w:rPr>
          <w:rFonts w:ascii="Calibri" w:hAnsi="Calibri" w:eastAsia="宋体" w:cs="Calibri"/>
          <w:color w:val="000000"/>
          <w:kern w:val="0"/>
          <w:sz w:val="22"/>
          <w:lang w:bidi="ar"/>
        </w:rPr>
        <w:t>.</w:t>
      </w:r>
    </w:p>
    <w:p>
      <w:pPr>
        <w:spacing w:before="156" w:beforeLines="50" w:after="156" w:afterLines="50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Table S5</w:t>
      </w:r>
      <w:r>
        <w:rPr>
          <w:rFonts w:ascii="Calibri" w:hAnsi="Calibri" w:cs="Calibri"/>
          <w:sz w:val="22"/>
        </w:rPr>
        <w:t xml:space="preserve"> Sensitivity Analysis by changing df for calendar time, maximum lag and internal knots for temperature in the first-stage regression.</w:t>
      </w:r>
      <w:r>
        <w:rPr>
          <w:rFonts w:ascii="Calibri" w:hAnsi="Calibri" w:cs="Calibri"/>
          <w:sz w:val="22"/>
        </w:rPr>
        <w:br w:type="page"/>
      </w:r>
    </w:p>
    <w:p>
      <w:pPr>
        <w:rPr>
          <w:rFonts w:ascii="Calibri" w:hAnsi="Calibri" w:cs="Calibri"/>
          <w:sz w:val="22"/>
        </w:rPr>
      </w:pPr>
    </w:p>
    <w:p>
      <w:pPr>
        <w:rPr>
          <w:rFonts w:ascii="Calibri" w:hAnsi="Calibri" w:cs="Calibri"/>
          <w:sz w:val="24"/>
          <w:szCs w:val="24"/>
        </w:rPr>
      </w:pPr>
      <w:r>
        <w:drawing>
          <wp:inline distT="0" distB="0" distL="0" distR="0">
            <wp:extent cx="5265420" cy="3159125"/>
            <wp:effectExtent l="0" t="0" r="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cs="Calibri"/>
          <w:sz w:val="22"/>
        </w:rPr>
      </w:pPr>
      <w:bookmarkStart w:id="1" w:name="_Hlk68188280"/>
      <w:r>
        <w:rPr>
          <w:rFonts w:ascii="Calibri" w:hAnsi="Calibri" w:cs="Calibri"/>
          <w:b/>
          <w:bCs/>
          <w:sz w:val="22"/>
        </w:rPr>
        <w:t>Fig. S1</w:t>
      </w:r>
      <w:r>
        <w:rPr>
          <w:rFonts w:ascii="Calibri" w:hAnsi="Calibri" w:cs="Calibri"/>
          <w:sz w:val="22"/>
        </w:rPr>
        <w:t xml:space="preserve"> Locations of 45 metropolises in United States and daily temperature variability of each city (7 regions were divided by dotted lines)</w:t>
      </w:r>
    </w:p>
    <w:bookmarkEnd w:id="1"/>
    <w:p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>
      <w:pPr>
        <w:rPr>
          <w:rFonts w:ascii="Calibri" w:hAnsi="Calibri" w:cs="Calibri"/>
          <w:sz w:val="24"/>
          <w:szCs w:val="24"/>
        </w:rPr>
      </w:pPr>
      <w:r>
        <w:drawing>
          <wp:inline distT="0" distB="0" distL="0" distR="0">
            <wp:extent cx="5272405" cy="2638425"/>
            <wp:effectExtent l="0" t="0" r="444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Calibri" w:hAnsi="Calibri" w:cs="Calibri"/>
          <w:sz w:val="22"/>
        </w:rPr>
      </w:pPr>
      <w:bookmarkStart w:id="2" w:name="_Hlk68188219"/>
      <w:r>
        <w:rPr>
          <w:rFonts w:ascii="Calibri" w:hAnsi="Calibri" w:cs="Calibri"/>
          <w:b/>
          <w:bCs/>
          <w:sz w:val="22"/>
        </w:rPr>
        <w:t>Fig. S2</w:t>
      </w:r>
      <w:r>
        <w:rPr>
          <w:rFonts w:ascii="Calibri" w:hAnsi="Calibri" w:cs="Calibri"/>
          <w:sz w:val="22"/>
        </w:rPr>
        <w:t xml:space="preserve"> Mortality changes (%, 95% CIs) associated with per 1 °C increase in TV</w:t>
      </w:r>
      <w:r>
        <w:rPr>
          <w:rFonts w:ascii="Calibri" w:hAnsi="Calibri" w:cs="Calibri"/>
          <w:sz w:val="22"/>
          <w:vertAlign w:val="subscript"/>
        </w:rPr>
        <w:t>daily</w:t>
      </w:r>
      <w:r>
        <w:rPr>
          <w:rFonts w:ascii="Calibri" w:hAnsi="Calibri" w:cs="Calibri"/>
          <w:sz w:val="22"/>
        </w:rPr>
        <w:t xml:space="preserve"> and TV</w:t>
      </w:r>
      <w:r>
        <w:rPr>
          <w:rFonts w:ascii="Calibri" w:hAnsi="Calibri" w:cs="Calibri"/>
          <w:sz w:val="22"/>
          <w:vertAlign w:val="subscript"/>
        </w:rPr>
        <w:t>hourly</w:t>
      </w:r>
      <w:r>
        <w:rPr>
          <w:rFonts w:ascii="Calibri" w:hAnsi="Calibri" w:cs="Calibri"/>
          <w:sz w:val="22"/>
        </w:rPr>
        <w:t xml:space="preserve"> along various exposure days. The solid dots are the average effect estimates and the error bars represent the 95% confidence intervals.</w:t>
      </w:r>
    </w:p>
    <w:bookmarkEnd w:id="2"/>
    <w:p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>
      <w:pPr>
        <w:rPr>
          <w:rFonts w:ascii="Calibri" w:hAnsi="Calibri" w:cs="Calibri"/>
          <w:sz w:val="24"/>
          <w:szCs w:val="24"/>
        </w:rPr>
      </w:pPr>
    </w:p>
    <w:p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2"/>
        </w:rPr>
        <w:t>Table S1</w:t>
      </w:r>
      <w:r>
        <w:rPr>
          <w:rFonts w:ascii="Calibri" w:hAnsi="Calibri" w:cs="Calibri"/>
          <w:sz w:val="22"/>
        </w:rPr>
        <w:t xml:space="preserve"> Location-specific summary statistics (mean and range) for daily deaths, average temperatures, relative humidity and temperature variability (daily and hourly) in 45 US cities, 1987</w:t>
      </w:r>
      <w:r>
        <w:rPr>
          <w:rFonts w:ascii="Calibri" w:hAnsi="Calibri" w:eastAsia="宋体" w:cs="Calibri"/>
          <w:color w:val="000000"/>
          <w:kern w:val="0"/>
          <w:sz w:val="22"/>
        </w:rPr>
        <w:t>–2000</w:t>
      </w:r>
      <w:r>
        <w:rPr>
          <w:rFonts w:ascii="Calibri" w:hAnsi="Calibri" w:cs="Calibri"/>
          <w:sz w:val="22"/>
        </w:rPr>
        <w:t>.</w:t>
      </w:r>
    </w:p>
    <w:p>
      <w:pPr>
        <w:rPr>
          <w:rFonts w:ascii="Calibri" w:hAnsi="Calibri" w:cs="Calibri"/>
          <w:sz w:val="24"/>
          <w:szCs w:val="24"/>
        </w:rPr>
      </w:pPr>
    </w:p>
    <w:tbl>
      <w:tblPr>
        <w:tblStyle w:val="11"/>
        <w:tblW w:w="83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395"/>
        <w:gridCol w:w="1398"/>
        <w:gridCol w:w="1396"/>
        <w:gridCol w:w="1396"/>
        <w:gridCol w:w="13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396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bookmarkStart w:id="3" w:name="_Hlk66387515"/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City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sz w:val="22"/>
                <w:lang w:bidi="ar"/>
              </w:rPr>
              <w:t>Daily number of deaths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 xml:space="preserve"> (count)</w:t>
            </w: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Temperature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br w:type="textWrapping"/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(°C)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Humidity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br w:type="textWrapping"/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TV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vertAlign w:val="subscript"/>
              </w:rPr>
              <w:t>hourly</w:t>
            </w:r>
          </w:p>
        </w:tc>
        <w:tc>
          <w:tcPr>
            <w:tcW w:w="13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TV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vertAlign w:val="subscript"/>
              </w:rPr>
              <w:t>daily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Albuquerque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5.3 (0–23)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15.8 (− 11.9 to 36.3)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37.2 (4.4–98.0)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5.1 (2.5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7.6 (3.9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Atlanta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12.4 (0–48)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18.5 (− 9.7 to 34.8)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61.6 (17.5–100)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4.5 (2.0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6.2 (3.1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Baltimore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10.7 (0–46)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14.0 (− 16.1 to 34.4)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66.6 (17.2–100)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4.8 (2.0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–9.9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6.6 (2.9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Birmingham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9.1 (0–51)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17.3 (− 13.5 to 33.4)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69.4 (21.8–100)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5.1 (2.0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7.1 (2.8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Boston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6.7 (0–32)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11.2 (− 15.8 to 34.2)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65.5 (15.5–100)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4.2 (1.4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–9.3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5.5 (2.3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Buffalo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12.8 (0–50)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9.8 (−19.5 to 32.0)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69.2 (23.0–100)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4.5 (1.3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–9.9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6.0 (1.9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Chicago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60.0 (8–434)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10.5 (− 25.9 to 34.9)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69.2 (25.6–100)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4.8 (1.5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6.5 (1.7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–13.0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Cincinnati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10.4 (0–43)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13.4 (− 24.5 to 33.8)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66.4 (24.9–100)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5.2 (1.6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6.7 (2.3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Cleveland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19.0 (1–68)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11.2 (− 23.9 to 34.4)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69.6 (25.1–100)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4.7 (1.1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6.3 (1.6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Colorado Springs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3.5 (0–17)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9.6 (−26.9 to 29.6)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52.6 (7.4–100)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5.9 (1.9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–14.1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8.3 (3.3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–16.0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Dallas/Fort Worth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28.9 (0–108)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20.2 (− 12.5 to 37.0)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58.4 (20.1–100)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4.9 (2.2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7.0 (3.2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–13.7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Dayton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6.7 (0–28)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12.3 (− 27.6 to 34.7)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67.5 (24.8–100)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5.0 (1.6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6.6 (2.5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Des Moines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4.1 (0–18)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11.3 (− 27.2 to 34.7)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66.4 (18.2–100)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5.1 (1.1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–13.8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6.8 (1.5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–14.6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Detroit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24.6 (2–86)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11.0 (− 22.2 to 33.8)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66.6 (23.1–100)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4.6 (1.2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6.2 (1.9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Fresno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6.6 (0–34)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20.0 (− 1.9 to 39.2)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53.6 (14.9–100)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5.1 (1.1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–7.9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7.4 (1.9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Houston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23.2 (1–80)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21.3 (− 8.1 to 34.3)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70.9 (21.5–100)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4.8 (1.3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6.7 (2.2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Indianapolis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9.3 (0–36)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12.9 (− 26.5 to 35.4)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67.5 (26.5–100)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4.9 (1.3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6.6 (2.0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–13.0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Kansas City, KS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2.3</w:t>
            </w:r>
          </w:p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(0–12)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13.9 (− 23.7 to 35.8)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62.9 (16.5–100)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5.2 (1.6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8.4 (2.5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–15.9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Los Angeles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77.3 (14–280)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17.5 (5.4 to 30.7)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71.6 (9.5–100)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2.6 (1.0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–6.3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5.8 (2.2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–9.9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Louisville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8.8 (0–35)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15.5 (− 22.5 to 34.9)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63.4 (22.5–100)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4.9 (1.3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6.5 (2.0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Memphis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9.9 (0–40)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17.7 (− 15.5 to 34.2)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65.0 (20.9–100)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4.7 (1.6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6.4 (2.5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Miami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23.1 (1–84)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25.1 (4.0 to 33.1)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71.2 (22.6–98.1)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2.8 (1.3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4.2 (2.3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Milwaukee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11.4 (0–56)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9.3 (− 26.1 to 35.6)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70.3 (19.9–100)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4.4 (1.0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5.8 (1.3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bookmarkStart w:id="4" w:name="_Hlk66302134"/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Minneapolis</w:t>
            </w:r>
            <w:bookmarkEnd w:id="4"/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/St. Paul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14.5 (0–57)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8.8 (− 30.0 to 35.5)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64.6 (17.0–100)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4.8 (1.0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–13.4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6.5 (1.2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–14.3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Nashville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6.1 (0–27)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16.2 (− 18.5 to 34.7)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65.8 (18.0–100)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5.0 (1.8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6.9 (2.8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New Orleans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6.4 (0–27)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20.6 (− 7.5 to 32.5)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75.2 (27.8–100)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4.1 (1.4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5.8 (2.6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Newark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9.8 (0–42)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13.8 (− 15.8 to 35.9)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61.6 (14.4–100)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4.3 (1.7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–9.2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5.8 (2.6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Oklahoma City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7.4 (0–33)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16.8 (− 17.7 to 36.6)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62.0 (14.6–100)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5.1 (1.8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7.0 (2.5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–13.7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Omaha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4.5 (0–21)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12.3 (− 27.9 to 36.0)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65.1 (23.4–100)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5.4 (1.4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–13.3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8.2 (2.5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–14.6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Philadelphia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22.4 (1–85)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14.0 (− 17.0 to 34.7)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64.2 (18.6–100)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4.4 (1.9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–9.5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6.0 (2.7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Phoenix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23.3 (1–94)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26.5 (4.2 to 46.2)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28.9 (5.5–96.4)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4.7 (2.3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7.0 (3.5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Portland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9.8 (0–43)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13.6 (− 10.8 to 32.4)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69.2 (19.4–100)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3.8 (1.2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5.5 (2.0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Providence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7.4 (0–38)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11.0 (− 16.1 to 32.4)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68.5 (17.1–100)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4.4 (1.7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6.1 (2.9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Rochester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7.8 (0–34)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9.5 (− 20.6 to 32.8)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70.5 (25.2–100)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4.8 (1.1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–9.8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6.4 (1.6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Salt Lake City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5.4 (0–27)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12.7 (− 20.8 to 35.2)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53.2 (10.6–99.6)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4.9 (1.2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7.0 (2.3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San Antonio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11.4 (0–50)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22.3 (</w:t>
            </w: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−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 8.0 to 35.9)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58.8 (16.7–99.6)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4.9 (1.8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6.9 (3.2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San Diego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22.7 (1–91)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17.6 (7.7 to 29.7)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73.8 (11.9–100)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2.4 (0.9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–6.1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3.8 (1.5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–7.9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San Francisco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9.2 (0–39)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14.2 (1.1 to 29.3)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74.5 (22.5–100)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2.9 (1.1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–6.3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4.6 (2.0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Seattle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13.6 (0–51)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12.3 (− 10.8 to 31.1)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71.5 (17.8–100)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3.3 (1.2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4.8 (1.9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Spokane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5.1 (0–23)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9.8 (− 23.0 to 33.6)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62.5 (14.6–100)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4.6 (1.0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6.5 (1.7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Stockton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5.2 (0–23)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18.4 (− 2.6 to 35.7)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54.9 (17.0–100)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5.0 (1.0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10.1 (3.8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–15.3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Syracuse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5.7 (0–27)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9.6 (− 22.6 to 31.7)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69.5 (26.0–100)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5.0 (1.1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6.6 (1.9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Toledo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5.6 (0–27)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11.1 (− 24.6 to 35.6)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68.9 (23.2–100)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5.0 (1.1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–10.1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6.7 (1.9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Tucson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8.0 (0–38)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23.2 (− 0.3 to 41.9)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32.9 (5.0–99.5)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5.8 (3.0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–8.9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8.4 (4.8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–11.9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Tulsa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5.8 (0–31)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17.3 (− 16.6 to 39.5)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60.8 (19.1–100)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5.1 (1.7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–12.5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6.9 (2.1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–14.0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bookmarkEnd w:id="3"/>
    </w:tbl>
    <w:p/>
    <w:p>
      <w:r>
        <w:br w:type="page"/>
      </w:r>
    </w:p>
    <w:p>
      <w:pPr>
        <w:rPr>
          <w:rFonts w:ascii="Calibri" w:hAnsi="Calibri" w:cs="Calibri"/>
          <w:sz w:val="22"/>
        </w:rPr>
      </w:pPr>
    </w:p>
    <w:p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Table S2</w:t>
      </w:r>
      <w:r>
        <w:rPr>
          <w:rFonts w:ascii="Calibri" w:hAnsi="Calibri" w:cs="Calibri"/>
          <w:sz w:val="22"/>
        </w:rPr>
        <w:t xml:space="preserve"> </w:t>
      </w:r>
      <w:bookmarkStart w:id="5" w:name="_Hlk68705430"/>
      <w:r>
        <w:rPr>
          <w:rFonts w:hint="eastAsia" w:ascii="Calibri" w:hAnsi="Calibri" w:cs="Calibri"/>
          <w:sz w:val="22"/>
        </w:rPr>
        <w:t>Summary characteristics of d</w:t>
      </w:r>
      <w:r>
        <w:rPr>
          <w:rFonts w:ascii="Calibri" w:hAnsi="Calibri" w:cs="Calibri"/>
          <w:sz w:val="22"/>
        </w:rPr>
        <w:t xml:space="preserve">aily </w:t>
      </w:r>
      <w:r>
        <w:rPr>
          <w:rFonts w:hint="eastAsia" w:ascii="Calibri" w:hAnsi="Calibri" w:cs="Calibri"/>
          <w:sz w:val="22"/>
        </w:rPr>
        <w:t xml:space="preserve">number of </w:t>
      </w:r>
      <w:r>
        <w:rPr>
          <w:rFonts w:ascii="Calibri" w:hAnsi="Calibri" w:cs="Calibri"/>
          <w:sz w:val="22"/>
        </w:rPr>
        <w:t>cause-specific deaths (mean and range) in 45 US cities.</w:t>
      </w:r>
      <w:bookmarkEnd w:id="5"/>
    </w:p>
    <w:p>
      <w:pPr>
        <w:rPr>
          <w:rFonts w:ascii="Calibri" w:hAnsi="Calibri" w:cs="Calibri"/>
          <w:sz w:val="22"/>
        </w:rPr>
      </w:pPr>
    </w:p>
    <w:tbl>
      <w:tblPr>
        <w:tblStyle w:val="11"/>
        <w:tblW w:w="79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701"/>
        <w:gridCol w:w="1833"/>
        <w:gridCol w:w="1569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City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Non-accidental</w:t>
            </w:r>
          </w:p>
        </w:tc>
        <w:tc>
          <w:tcPr>
            <w:tcW w:w="18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Cardiorespiratory</w:t>
            </w:r>
          </w:p>
        </w:tc>
        <w:tc>
          <w:tcPr>
            <w:tcW w:w="15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Cardiovascular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Respiratory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Albuquerque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(0–23)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2.3 (0–14)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1.9 (0–13)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0.4 (0–6)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Atlanta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(0–48)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5.2 (0–27)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4.3 (0–24)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0.9 (0–8)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Baltimore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10.4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(0–46)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4.6 (0–31)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3.9 (0–29)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0.7 (0–7)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Birmingham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4.1 (0–29)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3.4 (0–22)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0.7 (0–8)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Boston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(0–32)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3.0 (0–20)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2.5 (0–19)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0.6 (0–8)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Buffalo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12.5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(0–50)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6.7 (0–34)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5.8 (0–30)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0.9 (0–10)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Chicago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57.7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(8–411)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28.9 (1–327)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24.5 (1–312)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4.3 (0–34)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Cincinnati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10.1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(0–43)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5.1 (0–28)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4.2 (0–22)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0.9 (0–9)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Cleveland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18.4 (0–68)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9.4 (0–45)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8.2 (0–40)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1.2 (0–11)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Colorado Springs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(0–16)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1.4 (0–11)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1.0 (0–9)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0.4 (0–6)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Dallas/Fort Worth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27.5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(1–103)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13.6 (0–66)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11.4 (0–52)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2.2 (0–28)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Dayton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(0–27)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3.2 (0–18)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2.7 (0–17)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0.5 (0–7)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Des Moines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(0–18)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2.2 (0–13)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1.9 (0–11)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0.3 (0–6)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Detroit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23.8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(2–81)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12.5 (0–52)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10.8 (0–50)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1.7 (0–12)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Fresno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6.15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3.1 (0–20)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2.5 (0–17)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0.6 (0–10)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Houston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22.1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(1–78)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10.2 (0–46)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8.8 (0–39)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1.4 (0–13)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Indianapolis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(0–34)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4.4 (0–24)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3.6 (0–19)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0.8 (0–9)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Kansas City, KS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(0–12)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0.8 (0–9)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0.6 (0–9)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0.1 (0–3)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Los Angeles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74.0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(13–269)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39.8 (2–176)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33.3 (1–149)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6.6 (0–64)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Louisville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(0–34)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4.3 (0–22)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3.5 (0–19)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0.8 (0–9)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Memphis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4.9 (0–23)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4.2 (0–21)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0.7 (0–8)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Miami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22.1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(1–81)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11.1 (0–52)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9.5 (0–48)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1.6 (0–14)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Milwaukee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(0–47)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5.7 (0–37)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4.7 (0–29)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0.9 (0–8)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Minneapolis/St. Paul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13.93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(0–57)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6.4 (0–32)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5.1 (0–25)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1.3 (0–10)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Nashville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(0–26)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2.9 (0–20)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2.4 (0–16)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0.5 (0–7)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New Orleans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(0–27)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2.7 (0–16)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2.4 (0–15)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0.4 (0–5)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Newark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(0–40)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4.0 (0–22)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3.5 (0–20)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0.6 (0–10)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Oklahoma City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7.1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(0–31)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3.7 (0–21)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3.0 (0–18)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0.6 (0–9)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Omaha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(0–21)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2.2 (0–14)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1.8 (0–13)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0.4 (0–6)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Philadelphia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21.4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(1–77)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9.9 (0–49)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8.5 (0–48)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1.4 (0–11)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Phoenix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22.0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(0–90)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11.0 (0–54)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8.7 (0–44)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2.3 (0–20)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Portland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9.4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(0–43)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4.5 (0–29)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3.7 (0–22)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0.9 (0–13)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Providence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7.3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3.6 (0–24)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3.0 (0–20)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0.6 (0–9)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Rochester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7.6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(0–34)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3.7 (0–22)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3.0 (0–18)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0.7 (0–12)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Salt Lake City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5.2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(0–24)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2.4 (0–16)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1.9 (0–13)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0.5 (0–7)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San Antonio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10.9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(0–50)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5.2 (1–31)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4.4 (0–24)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0.8 (0–11)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San Diego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21.7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(0–89)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11.0 (0–61)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8.8 (0–44)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2.2 (0–26)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San Francisco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8.8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(0–38)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3.8 (0–22)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3.1 (0–21)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0.7 (0–8)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Seattle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13.1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(0–51)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6.3 (0–33)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5.0 (0–26)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1.2 (0–11)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Spokane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4.9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(0–23)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2.3 (0–15)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1.8 (0–13)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0.4 (0–7)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Stockton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4.7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(0–22)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2.5 (0–16)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2.0 (0–13)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0.4 (0–7)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Syracuse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5.5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(0–26)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2.6 (0–21)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2.1 (0–17)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0.5 (0–6)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Toledo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5.4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(0–26)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2.9 (0–19)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2.5 (0–17)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0.4 (0–7)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Tucson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7.6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(0–36)</w:t>
            </w:r>
          </w:p>
        </w:tc>
        <w:tc>
          <w:tcPr>
            <w:tcW w:w="18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3.9 (0–23)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3.1 (0–19)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0.8 (0–11)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Tulsa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5.6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(0–30)</w:t>
            </w: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2.9 (0–19)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2.4 (0–17)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Calibri"/>
                <w:color w:val="000000"/>
                <w:kern w:val="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0.5 (0–7)</w:t>
            </w:r>
          </w:p>
        </w:tc>
      </w:tr>
    </w:tbl>
    <w:p>
      <w:pPr>
        <w:rPr>
          <w:rFonts w:ascii="Calibri" w:hAnsi="Calibri" w:cs="Calibri"/>
          <w:sz w:val="22"/>
        </w:rPr>
      </w:pPr>
    </w:p>
    <w:p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br w:type="page"/>
      </w:r>
    </w:p>
    <w:p>
      <w:pPr>
        <w:rPr>
          <w:rFonts w:ascii="Calibri" w:hAnsi="Calibri" w:cs="Calibri"/>
          <w:sz w:val="22"/>
        </w:rPr>
      </w:pPr>
    </w:p>
    <w:p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Table S3</w:t>
      </w:r>
      <w:r>
        <w:rPr>
          <w:rFonts w:ascii="Calibri" w:hAnsi="Calibri" w:cs="Calibri"/>
          <w:sz w:val="22"/>
        </w:rPr>
        <w:t xml:space="preserve"> Cause-specific attributable fractions (%, 95% CIs) from lag 0</w:t>
      </w:r>
      <w:r>
        <w:rPr>
          <w:rFonts w:ascii="Calibri" w:hAnsi="Calibri" w:eastAsia="等线" w:cs="Calibri"/>
          <w:color w:val="000000"/>
          <w:kern w:val="0"/>
          <w:sz w:val="22"/>
          <w:lang w:bidi="ar"/>
        </w:rPr>
        <w:t>−</w:t>
      </w:r>
      <w:r>
        <w:rPr>
          <w:rFonts w:ascii="Calibri" w:hAnsi="Calibri" w:cs="Calibri"/>
          <w:sz w:val="22"/>
        </w:rPr>
        <w:t>1 days to lag 0</w:t>
      </w:r>
      <w:r>
        <w:rPr>
          <w:rFonts w:ascii="Calibri" w:hAnsi="Calibri" w:eastAsia="等线" w:cs="Calibri"/>
          <w:color w:val="000000"/>
          <w:kern w:val="0"/>
          <w:sz w:val="22"/>
          <w:lang w:bidi="ar"/>
        </w:rPr>
        <w:t>−</w:t>
      </w:r>
      <w:r>
        <w:rPr>
          <w:rFonts w:ascii="Calibri" w:hAnsi="Calibri" w:cs="Calibri"/>
          <w:sz w:val="22"/>
        </w:rPr>
        <w:t>10 days between two composite indexes.</w:t>
      </w:r>
    </w:p>
    <w:p>
      <w:pPr>
        <w:rPr>
          <w:rFonts w:ascii="Calibri" w:hAnsi="Calibri" w:cs="Calibri"/>
          <w:sz w:val="22"/>
        </w:rPr>
      </w:pPr>
    </w:p>
    <w:tbl>
      <w:tblPr>
        <w:tblStyle w:val="11"/>
        <w:tblW w:w="914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"/>
        <w:gridCol w:w="1666"/>
        <w:gridCol w:w="1629"/>
        <w:gridCol w:w="1673"/>
        <w:gridCol w:w="1538"/>
        <w:gridCol w:w="169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exact"/>
          <w:jc w:val="center"/>
        </w:trPr>
        <w:tc>
          <w:tcPr>
            <w:tcW w:w="9147" w:type="dxa"/>
            <w:gridSpan w:val="6"/>
            <w:tcBorders>
              <w:top w:val="single" w:color="auto" w:sz="8" w:space="0"/>
              <w:bottom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Calibri" w:hAnsi="Calibri" w:eastAsia="等线" w:cs="Calibri"/>
                <w:color w:val="000000"/>
                <w:sz w:val="22"/>
                <w:highlight w:val="yellow"/>
              </w:rPr>
            </w:pPr>
            <w:r>
              <w:rPr>
                <w:rStyle w:val="34"/>
                <w:rFonts w:ascii="Calibri" w:hAnsi="Calibri" w:eastAsia="等线" w:cs="Calibri"/>
                <w:lang w:bidi="ar"/>
              </w:rPr>
              <w:t>TV</w:t>
            </w:r>
            <w:r>
              <w:rPr>
                <w:rStyle w:val="35"/>
                <w:rFonts w:ascii="Calibri" w:hAnsi="Calibri" w:eastAsia="等线" w:cs="Calibri"/>
                <w:lang w:bidi="ar"/>
              </w:rPr>
              <w:t>daily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exact"/>
          <w:jc w:val="center"/>
        </w:trPr>
        <w:tc>
          <w:tcPr>
            <w:tcW w:w="945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Lag</w:t>
            </w:r>
          </w:p>
        </w:tc>
        <w:tc>
          <w:tcPr>
            <w:tcW w:w="1666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Total</w:t>
            </w:r>
          </w:p>
        </w:tc>
        <w:tc>
          <w:tcPr>
            <w:tcW w:w="1629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Non-accidental</w:t>
            </w:r>
          </w:p>
        </w:tc>
        <w:tc>
          <w:tcPr>
            <w:tcW w:w="1673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Cardiorespiratory</w:t>
            </w:r>
          </w:p>
        </w:tc>
        <w:tc>
          <w:tcPr>
            <w:tcW w:w="1538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Cardiovascular</w:t>
            </w:r>
          </w:p>
        </w:tc>
        <w:tc>
          <w:tcPr>
            <w:tcW w:w="1696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Respiratory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op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0−1</w:t>
            </w:r>
          </w:p>
        </w:tc>
        <w:tc>
          <w:tcPr>
            <w:tcW w:w="1666" w:type="dxa"/>
            <w:tcBorders>
              <w:top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1.26 (0.86−1.66)</w:t>
            </w:r>
          </w:p>
        </w:tc>
        <w:tc>
          <w:tcPr>
            <w:tcW w:w="1629" w:type="dxa"/>
            <w:tcBorders>
              <w:top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1.08 (0.66−1.48)</w:t>
            </w:r>
          </w:p>
        </w:tc>
        <w:tc>
          <w:tcPr>
            <w:tcW w:w="1673" w:type="dxa"/>
            <w:tcBorders>
              <w:top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1.26 (0.66−1.85)</w:t>
            </w:r>
          </w:p>
        </w:tc>
        <w:tc>
          <w:tcPr>
            <w:tcW w:w="1538" w:type="dxa"/>
            <w:tcBorders>
              <w:top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1.24 (0.51−1.97)</w:t>
            </w:r>
          </w:p>
        </w:tc>
        <w:tc>
          <w:tcPr>
            <w:tcW w:w="1696" w:type="dxa"/>
            <w:tcBorders>
              <w:top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1.54 (−0.29−3.33)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0−2</w:t>
            </w:r>
          </w:p>
        </w:tc>
        <w:tc>
          <w:tcPr>
            <w:tcW w:w="166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1.48 (1.04−1.91)</w:t>
            </w:r>
          </w:p>
        </w:tc>
        <w:tc>
          <w:tcPr>
            <w:tcW w:w="1629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1.30 (0.84−1.76)</w:t>
            </w:r>
          </w:p>
        </w:tc>
        <w:tc>
          <w:tcPr>
            <w:tcW w:w="167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1.44 (0.79−2.09)</w:t>
            </w:r>
          </w:p>
        </w:tc>
        <w:tc>
          <w:tcPr>
            <w:tcW w:w="1538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1.39 (0.60−2.18)</w:t>
            </w:r>
          </w:p>
        </w:tc>
        <w:tc>
          <w:tcPr>
            <w:tcW w:w="16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1.70 (−0.10−3.48)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0−3</w:t>
            </w:r>
          </w:p>
        </w:tc>
        <w:tc>
          <w:tcPr>
            <w:tcW w:w="166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1.80 (1.34−2.26)</w:t>
            </w:r>
          </w:p>
        </w:tc>
        <w:tc>
          <w:tcPr>
            <w:tcW w:w="1629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1.65 (1.15−2.14)</w:t>
            </w:r>
          </w:p>
        </w:tc>
        <w:tc>
          <w:tcPr>
            <w:tcW w:w="167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1.77 (1.04−2.48)</w:t>
            </w:r>
          </w:p>
        </w:tc>
        <w:tc>
          <w:tcPr>
            <w:tcW w:w="1538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1.67 (0.81−2.53)</w:t>
            </w:r>
          </w:p>
        </w:tc>
        <w:tc>
          <w:tcPr>
            <w:tcW w:w="16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2.19 (0.38−3.96)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0−4</w:t>
            </w:r>
          </w:p>
        </w:tc>
        <w:tc>
          <w:tcPr>
            <w:tcW w:w="166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2.06 (1.57−2.55)</w:t>
            </w:r>
          </w:p>
        </w:tc>
        <w:tc>
          <w:tcPr>
            <w:tcW w:w="1629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1.92 (1.40−2.44)</w:t>
            </w:r>
          </w:p>
        </w:tc>
        <w:tc>
          <w:tcPr>
            <w:tcW w:w="167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2.06 (1.30−2.82)</w:t>
            </w:r>
          </w:p>
        </w:tc>
        <w:tc>
          <w:tcPr>
            <w:tcW w:w="1538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1.94 (1.07−2.80)</w:t>
            </w:r>
          </w:p>
        </w:tc>
        <w:tc>
          <w:tcPr>
            <w:tcW w:w="16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2.64 (0.79−4.45)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0−5</w:t>
            </w:r>
          </w:p>
        </w:tc>
        <w:tc>
          <w:tcPr>
            <w:tcW w:w="166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2.26 (1.73−2.78)</w:t>
            </w:r>
          </w:p>
        </w:tc>
        <w:tc>
          <w:tcPr>
            <w:tcW w:w="1629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2.12 (1.56−2.68)</w:t>
            </w:r>
          </w:p>
        </w:tc>
        <w:tc>
          <w:tcPr>
            <w:tcW w:w="167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2.28 (1.50−3.05)</w:t>
            </w:r>
          </w:p>
        </w:tc>
        <w:tc>
          <w:tcPr>
            <w:tcW w:w="1538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Style w:val="34"/>
                <w:rFonts w:ascii="Calibri" w:hAnsi="Calibri" w:eastAsia="等线" w:cs="Calibri"/>
                <w:lang w:bidi="ar"/>
              </w:rPr>
              <w:t>2.15 (1.23−3.05</w:t>
            </w:r>
            <w:r>
              <w:rPr>
                <w:rStyle w:val="36"/>
                <w:rFonts w:hint="default" w:ascii="Calibri" w:hAnsi="Calibri" w:cs="Calibri"/>
                <w:lang w:bidi="ar"/>
              </w:rPr>
              <w:t>)</w:t>
            </w:r>
          </w:p>
        </w:tc>
        <w:tc>
          <w:tcPr>
            <w:tcW w:w="16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2.87 (0.96−4.74)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0−6</w:t>
            </w:r>
          </w:p>
        </w:tc>
        <w:tc>
          <w:tcPr>
            <w:tcW w:w="166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2.42 (1.85−2.98)</w:t>
            </w:r>
          </w:p>
        </w:tc>
        <w:tc>
          <w:tcPr>
            <w:tcW w:w="1629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2.28 (1.68−2.87)</w:t>
            </w:r>
          </w:p>
        </w:tc>
        <w:tc>
          <w:tcPr>
            <w:tcW w:w="167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2.42 (1.59−3.24)</w:t>
            </w:r>
          </w:p>
        </w:tc>
        <w:tc>
          <w:tcPr>
            <w:tcW w:w="1538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2.30 (1.34−3.25)</w:t>
            </w:r>
          </w:p>
        </w:tc>
        <w:tc>
          <w:tcPr>
            <w:tcW w:w="16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2.96 (1.02−4.85)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0−7</w:t>
            </w:r>
          </w:p>
        </w:tc>
        <w:tc>
          <w:tcPr>
            <w:tcW w:w="166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2.55 (1.94−3.15)</w:t>
            </w:r>
          </w:p>
        </w:tc>
        <w:tc>
          <w:tcPr>
            <w:tcW w:w="1629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2.41 (1.77−3.05)</w:t>
            </w:r>
          </w:p>
        </w:tc>
        <w:tc>
          <w:tcPr>
            <w:tcW w:w="167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2.55 (1.67−3.42)</w:t>
            </w:r>
          </w:p>
        </w:tc>
        <w:tc>
          <w:tcPr>
            <w:tcW w:w="1538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2.43 (1.42−3.43)</w:t>
            </w:r>
          </w:p>
        </w:tc>
        <w:tc>
          <w:tcPr>
            <w:tcW w:w="16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3.07 (1.11−4.99)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0−8</w:t>
            </w:r>
          </w:p>
        </w:tc>
        <w:tc>
          <w:tcPr>
            <w:tcW w:w="166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2.65 (2.00−3.29)</w:t>
            </w:r>
          </w:p>
        </w:tc>
        <w:tc>
          <w:tcPr>
            <w:tcW w:w="1629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2.52 (1.86−3.17)</w:t>
            </w:r>
          </w:p>
        </w:tc>
        <w:tc>
          <w:tcPr>
            <w:tcW w:w="167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2.67 (1.74−3.58)</w:t>
            </w:r>
          </w:p>
        </w:tc>
        <w:tc>
          <w:tcPr>
            <w:tcW w:w="1538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2.55 (1.49−3.60)</w:t>
            </w:r>
          </w:p>
        </w:tc>
        <w:tc>
          <w:tcPr>
            <w:tcW w:w="16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3.16 (1.15−5.13)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0−9</w:t>
            </w:r>
          </w:p>
        </w:tc>
        <w:tc>
          <w:tcPr>
            <w:tcW w:w="166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2.73 (2.07−3.38)</w:t>
            </w:r>
          </w:p>
        </w:tc>
        <w:tc>
          <w:tcPr>
            <w:tcW w:w="1629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2.60 (1.92−3.29)</w:t>
            </w:r>
          </w:p>
        </w:tc>
        <w:tc>
          <w:tcPr>
            <w:tcW w:w="1673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2.75 (1.79−3.69)</w:t>
            </w:r>
          </w:p>
        </w:tc>
        <w:tc>
          <w:tcPr>
            <w:tcW w:w="1538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2.63 (1.52−3.72)</w:t>
            </w:r>
          </w:p>
        </w:tc>
        <w:tc>
          <w:tcPr>
            <w:tcW w:w="1696" w:type="dxa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3.22 (1.15−5.24)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0−10</w:t>
            </w:r>
          </w:p>
        </w:tc>
        <w:tc>
          <w:tcPr>
            <w:tcW w:w="1666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2.80 (2.13−3.47)</w:t>
            </w:r>
          </w:p>
        </w:tc>
        <w:tc>
          <w:tcPr>
            <w:tcW w:w="1629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2.68 (1.97−3.39)</w:t>
            </w:r>
          </w:p>
        </w:tc>
        <w:tc>
          <w:tcPr>
            <w:tcW w:w="1673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2.82 (1.82−3.81)</w:t>
            </w:r>
          </w:p>
        </w:tc>
        <w:tc>
          <w:tcPr>
            <w:tcW w:w="1538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2.70 (1.55−3.83)</w:t>
            </w:r>
          </w:p>
        </w:tc>
        <w:tc>
          <w:tcPr>
            <w:tcW w:w="1696" w:type="dxa"/>
            <w:tcBorders>
              <w:bottom w:val="single" w:color="auto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3.29 (1.15−5.39)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6" w:hRule="exact"/>
          <w:jc w:val="center"/>
        </w:trPr>
        <w:tc>
          <w:tcPr>
            <w:tcW w:w="9147" w:type="dxa"/>
            <w:gridSpan w:val="6"/>
            <w:tcBorders>
              <w:top w:val="single" w:color="auto" w:sz="8" w:space="0"/>
              <w:bottom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Style w:val="34"/>
                <w:rFonts w:ascii="Calibri" w:hAnsi="Calibri" w:eastAsia="等线" w:cs="Calibri"/>
                <w:lang w:bidi="ar"/>
              </w:rPr>
              <w:t>TV</w:t>
            </w:r>
            <w:r>
              <w:rPr>
                <w:rStyle w:val="35"/>
                <w:rFonts w:ascii="Calibri" w:hAnsi="Calibri" w:eastAsia="等线" w:cs="Calibri"/>
                <w:lang w:bidi="ar"/>
              </w:rPr>
              <w:t>hourly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7" w:hRule="exact"/>
          <w:jc w:val="center"/>
        </w:trPr>
        <w:tc>
          <w:tcPr>
            <w:tcW w:w="945" w:type="dxa"/>
            <w:tcBorders>
              <w:top w:val="single" w:color="auto" w:sz="8" w:space="0"/>
              <w:bottom w:val="single" w:color="auto" w:sz="8" w:space="0"/>
              <w:tl2br w:val="nil"/>
              <w:tr2bl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Lag</w:t>
            </w:r>
          </w:p>
        </w:tc>
        <w:tc>
          <w:tcPr>
            <w:tcW w:w="1666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Total</w:t>
            </w:r>
          </w:p>
        </w:tc>
        <w:tc>
          <w:tcPr>
            <w:tcW w:w="1629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Non-accidental</w:t>
            </w:r>
          </w:p>
        </w:tc>
        <w:tc>
          <w:tcPr>
            <w:tcW w:w="1673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Cardiorespiratory</w:t>
            </w:r>
          </w:p>
        </w:tc>
        <w:tc>
          <w:tcPr>
            <w:tcW w:w="1538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Cardiovascular</w:t>
            </w:r>
          </w:p>
        </w:tc>
        <w:tc>
          <w:tcPr>
            <w:tcW w:w="1696" w:type="dxa"/>
            <w:tcBorders>
              <w:top w:val="single" w:color="auto" w:sz="8" w:space="0"/>
              <w:bottom w:val="single" w:color="auto" w:sz="8" w:space="0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Respiratory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0−1</w:t>
            </w:r>
          </w:p>
        </w:tc>
        <w:tc>
          <w:tcPr>
            <w:tcW w:w="166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0.86 (0.53−1.20)</w:t>
            </w:r>
          </w:p>
        </w:tc>
        <w:tc>
          <w:tcPr>
            <w:tcW w:w="1629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0.74 (0.40−1.08)</w:t>
            </w:r>
          </w:p>
        </w:tc>
        <w:tc>
          <w:tcPr>
            <w:tcW w:w="1673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0.90 (0.42−1.38)</w:t>
            </w:r>
          </w:p>
        </w:tc>
        <w:tc>
          <w:tcPr>
            <w:tcW w:w="1538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0.89 (0.30−1.40</w:t>
            </w:r>
            <w:r>
              <w:rPr>
                <w:rStyle w:val="36"/>
                <w:rFonts w:hint="default" w:ascii="Calibri" w:hAnsi="Calibri" w:cs="Calibri"/>
                <w:lang w:bidi="ar"/>
              </w:rPr>
              <w:t>)</w:t>
            </w:r>
          </w:p>
        </w:tc>
        <w:tc>
          <w:tcPr>
            <w:tcW w:w="169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1.26 (−0.10−2.59)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0−2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0.95 (0.57−1.33)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0.84 (0.46−1.22)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0.91 (0.40−1.43)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0.90 (0.29−1.51)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1.14 (−0.21−2.46)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0−3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1.17 (0.76−1.57)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1.07 (0.66−1.48)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1.12 (0.56−1.67)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1.06 (0.42−1.69)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1.45 (0.11−2.77)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0−4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1.34 (0.91−1.77)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1.26 (0.83−1.70)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1.33 (0.75−1.90)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1.25 (0.59−1.91)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1.73 (0.37−3.07)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0−5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1.47 (1.01−1.93)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1.39 (0.92−1.86)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1.48 (0.87−2.10)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1.42 (0.71−2.13)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1.81 (0.42−3.18)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0−6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1.56 (1.08−2.05)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1.49 (0.99−1.98)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1.58 (0.92−2.24)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1.53 (0.77−2.29)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1.84 (0.41−3.24)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0−7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1.65 (1.14−2.15)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1.57 (1.05−2.08)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1.67 (0.97−2.37)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1.63 (0.82−2.43)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1.89 (0.43−3.34)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0−8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1.71 (1.19−2.23)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1.64 (1.10−2.18)</w:t>
            </w:r>
          </w:p>
        </w:tc>
        <w:tc>
          <w:tcPr>
            <w:tcW w:w="16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1.75 (1.01−2.49)</w:t>
            </w:r>
          </w:p>
        </w:tc>
        <w:tc>
          <w:tcPr>
            <w:tcW w:w="153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1.72 (0.86−2.56)</w:t>
            </w:r>
          </w:p>
        </w:tc>
        <w:tc>
          <w:tcPr>
            <w:tcW w:w="169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1.93 (0.42−3.41)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0−9</w:t>
            </w:r>
          </w:p>
        </w:tc>
        <w:tc>
          <w:tcPr>
            <w:tcW w:w="1666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1.76 (1.21−2.30)</w:t>
            </w:r>
          </w:p>
        </w:tc>
        <w:tc>
          <w:tcPr>
            <w:tcW w:w="1629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1.69 (1.13−2.25)</w:t>
            </w:r>
          </w:p>
        </w:tc>
        <w:tc>
          <w:tcPr>
            <w:tcW w:w="1673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1.82 (1.05−2.59)</w:t>
            </w:r>
          </w:p>
        </w:tc>
        <w:tc>
          <w:tcPr>
            <w:tcW w:w="1538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1.79 (0.90−2.67)</w:t>
            </w:r>
          </w:p>
        </w:tc>
        <w:tc>
          <w:tcPr>
            <w:tcW w:w="1696" w:type="dxa"/>
            <w:tcBorders>
              <w:bottom w:val="nil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1.94 (0.38−3.47)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945" w:type="dxa"/>
            <w:tcBorders>
              <w:top w:val="nil"/>
              <w:bottom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0−10</w:t>
            </w:r>
          </w:p>
        </w:tc>
        <w:tc>
          <w:tcPr>
            <w:tcW w:w="1666" w:type="dxa"/>
            <w:tcBorders>
              <w:top w:val="nil"/>
              <w:bottom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1.81 (1.25−2.36)</w:t>
            </w:r>
          </w:p>
        </w:tc>
        <w:tc>
          <w:tcPr>
            <w:tcW w:w="1629" w:type="dxa"/>
            <w:tcBorders>
              <w:top w:val="nil"/>
              <w:bottom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1.75 (1.17−2.32)</w:t>
            </w:r>
          </w:p>
        </w:tc>
        <w:tc>
          <w:tcPr>
            <w:tcW w:w="1673" w:type="dxa"/>
            <w:tcBorders>
              <w:top w:val="nil"/>
              <w:bottom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1.88 (1.08−2.68)</w:t>
            </w:r>
          </w:p>
        </w:tc>
        <w:tc>
          <w:tcPr>
            <w:tcW w:w="1538" w:type="dxa"/>
            <w:tcBorders>
              <w:top w:val="nil"/>
              <w:bottom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1.85 (0.92−2.77)</w:t>
            </w:r>
          </w:p>
        </w:tc>
        <w:tc>
          <w:tcPr>
            <w:tcW w:w="1696" w:type="dxa"/>
            <w:tcBorders>
              <w:top w:val="nil"/>
              <w:bottom w:val="single" w:color="auto" w:sz="8" w:space="0"/>
              <w:tl2br w:val="nil"/>
              <w:tr2bl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1.97 (0.36−3.55)</w:t>
            </w:r>
          </w:p>
        </w:tc>
      </w:tr>
    </w:tbl>
    <w:p>
      <w:pPr>
        <w:rPr>
          <w:rFonts w:ascii="Calibri" w:hAnsi="Calibri" w:cs="Calibri"/>
          <w:sz w:val="22"/>
        </w:rPr>
      </w:pPr>
    </w:p>
    <w:p>
      <w:r>
        <w:br w:type="page"/>
      </w:r>
    </w:p>
    <w:p>
      <w:pPr>
        <w:widowControl/>
        <w:jc w:val="left"/>
        <w:rPr>
          <w:rFonts w:ascii="Calibri" w:hAnsi="Calibri" w:cs="Calibri"/>
          <w:sz w:val="22"/>
        </w:rPr>
      </w:pPr>
    </w:p>
    <w:p>
      <w:pPr>
        <w:widowControl/>
        <w:jc w:val="left"/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Table S4</w:t>
      </w:r>
      <w:r>
        <w:rPr>
          <w:rFonts w:ascii="Calibri" w:hAnsi="Calibri" w:cs="Calibri"/>
          <w:sz w:val="22"/>
        </w:rPr>
        <w:t xml:space="preserve"> All-cause and cause-specific attributable fractions (%, 95% CIs)</w:t>
      </w:r>
      <w:r>
        <w:rPr>
          <w:rFonts w:hint="eastAsia" w:ascii="Calibri" w:hAnsi="Calibri" w:cs="Calibri"/>
          <w:sz w:val="22"/>
        </w:rPr>
        <w:t xml:space="preserve"> </w:t>
      </w:r>
      <w:r>
        <w:rPr>
          <w:rFonts w:ascii="Calibri" w:hAnsi="Calibri" w:cs="Calibri"/>
          <w:sz w:val="22"/>
        </w:rPr>
        <w:t>at lag 0</w:t>
      </w:r>
      <w:r>
        <w:rPr>
          <w:rFonts w:ascii="Calibri" w:hAnsi="Calibri" w:eastAsia="宋体" w:cs="Calibri"/>
          <w:color w:val="000000"/>
          <w:kern w:val="0"/>
          <w:sz w:val="22"/>
          <w:lang w:bidi="ar"/>
        </w:rPr>
        <w:t>–7 days</w:t>
      </w:r>
      <w:r>
        <w:rPr>
          <w:rFonts w:ascii="Calibri" w:hAnsi="Calibri" w:cs="Calibri"/>
          <w:sz w:val="22"/>
        </w:rPr>
        <w:t xml:space="preserve"> </w:t>
      </w:r>
      <w:r>
        <w:rPr>
          <w:rFonts w:hint="eastAsia" w:ascii="Calibri" w:hAnsi="Calibri" w:cs="Calibri"/>
          <w:sz w:val="22"/>
        </w:rPr>
        <w:t>stratified by</w:t>
      </w:r>
      <w:r>
        <w:rPr>
          <w:rFonts w:ascii="Calibri" w:hAnsi="Calibri" w:cs="Calibri"/>
          <w:sz w:val="22"/>
        </w:rPr>
        <w:t xml:space="preserve"> three age groups</w:t>
      </w:r>
      <w:r>
        <w:rPr>
          <w:rFonts w:ascii="Calibri" w:hAnsi="Calibri" w:eastAsia="宋体" w:cs="Calibri"/>
          <w:color w:val="000000"/>
          <w:kern w:val="0"/>
          <w:sz w:val="22"/>
          <w:lang w:bidi="ar"/>
        </w:rPr>
        <w:t>.</w:t>
      </w:r>
    </w:p>
    <w:tbl>
      <w:tblPr>
        <w:tblStyle w:val="11"/>
        <w:tblpPr w:leftFromText="180" w:rightFromText="180" w:vertAnchor="text" w:horzAnchor="page" w:tblpXSpec="center" w:tblpY="298"/>
        <w:tblOverlap w:val="never"/>
        <w:tblW w:w="952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7"/>
        <w:gridCol w:w="1587"/>
        <w:gridCol w:w="1587"/>
        <w:gridCol w:w="1587"/>
        <w:gridCol w:w="1587"/>
        <w:gridCol w:w="15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TV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vertAlign w:val="subscript"/>
                <w:lang w:bidi="ar"/>
              </w:rPr>
              <w:t>daily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Calibri" w:hAnsi="Calibri" w:eastAsia="宋体" w:cs="Calibri"/>
                <w:color w:val="000000"/>
                <w:sz w:val="22"/>
              </w:rPr>
            </w:pPr>
            <w:bookmarkStart w:id="6" w:name="_GoBack"/>
            <w:bookmarkEnd w:id="6"/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Calibri" w:hAnsi="Calibri" w:eastAsia="宋体" w:cs="Calibri"/>
                <w:color w:val="000000"/>
                <w:sz w:val="22"/>
              </w:rPr>
            </w:pP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Calibri" w:hAnsi="Calibri" w:eastAsia="宋体" w:cs="Calibri"/>
                <w:color w:val="000000"/>
                <w:sz w:val="22"/>
              </w:rPr>
            </w:pP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ordWrap w:val="0"/>
              <w:jc w:val="right"/>
              <w:rPr>
                <w:rFonts w:ascii="Calibri" w:hAnsi="Calibri" w:eastAsia="宋体" w:cs="Calibri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sz w:val="22"/>
              </w:rPr>
              <w:t>Age(years)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Total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Non-accidental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Cardiorespiratory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Cardiovascular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Respiratory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All ages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2.55 (1.94–3.15)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2.41 (1.77–3.05)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2.55 (1.67–3.42)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2.43 (1.42–3.43)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3.07 (1.11–4.99)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0–6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2.55 (1.94–3.16)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2.42 (1.77–3.06)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2.57 (1.69–3.45)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2.45 (1.43–3.46)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3.10 (1.12–5.04)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–7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2.57 (1.95–3.18)</w:t>
            </w:r>
          </w:p>
        </w:tc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2.43 (1.78–3.07)</w:t>
            </w:r>
          </w:p>
        </w:tc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2.57 (1.69–3.45)</w:t>
            </w:r>
          </w:p>
        </w:tc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2.45 (1.43–3.46)</w:t>
            </w:r>
          </w:p>
        </w:tc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3.10 (1.12–5.04)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≥75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2.54 (1.93–3.14)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2.41 (1.76–3.04)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2.54 (1.67–3.41)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2.43 (1.41–3.42)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3.06 (1.10–4.97)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TV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  <w:vertAlign w:val="subscript"/>
                <w:lang w:bidi="ar"/>
              </w:rPr>
              <w:t>hourly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Calibri" w:hAnsi="Calibri" w:eastAsia="宋体" w:cs="Calibri"/>
                <w:color w:val="000000"/>
                <w:sz w:val="22"/>
              </w:rPr>
            </w:pP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Calibri" w:hAnsi="Calibri" w:eastAsia="宋体" w:cs="Calibri"/>
                <w:color w:val="000000"/>
                <w:sz w:val="22"/>
              </w:rPr>
            </w:pP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</w:rPr>
            </w:pP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</w:rPr>
            </w:pP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ordWrap w:val="0"/>
              <w:jc w:val="center"/>
              <w:rPr>
                <w:rFonts w:ascii="Calibri" w:hAnsi="Calibri" w:eastAsia="宋体" w:cs="Calibri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sz w:val="22"/>
              </w:rPr>
              <w:t>Age(years)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Total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Non-accidental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Cardiorespiratory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Cardiovascular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C5E0B3" w:themeFill="accent6" w:themeFillTint="66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  <w:lang w:bidi="ar"/>
              </w:rPr>
              <w:t>Respiratory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All ages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1.65 (1.14–2.15)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1.57 (1.05–2.08)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1.67 (0.97–2.37)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1.63 (0.82–2.43)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1.89 (0.43–3.34)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0–6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1.64 (1.14–2.15)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1.57 (1.05–2.08)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1.69 (0.98–2.40)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1.65 (0.83–2.46)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1.94 (0.44–3.41)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65–7</w:t>
            </w:r>
            <w:r>
              <w:rPr>
                <w:rFonts w:hint="eastAsia" w:ascii="Calibri" w:hAnsi="Calibri" w:eastAsia="宋体" w:cs="Calibri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1.66 (1.15–2.17)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1.59 (1.06–2.11)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1.69 (0.98–2.39)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1.65 (0.83–2.46)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1.92 (0.43–3.38)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≥75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1.64 (1.14–2.14)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1.56 (1.05–2.07)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1.66 (0.96–2.35)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1.62 (0.81–2.41)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sz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lang w:bidi="ar"/>
              </w:rPr>
              <w:t>1.88 (0.42–3.30)</w:t>
            </w:r>
          </w:p>
        </w:tc>
      </w:tr>
    </w:tbl>
    <w:p>
      <w:r>
        <w:br w:type="page"/>
      </w:r>
    </w:p>
    <w:p/>
    <w:p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b/>
          <w:bCs/>
          <w:sz w:val="22"/>
        </w:rPr>
        <w:t>Table S5</w:t>
      </w:r>
      <w:r>
        <w:rPr>
          <w:rFonts w:ascii="Calibri" w:hAnsi="Calibri" w:cs="Calibri"/>
          <w:sz w:val="22"/>
        </w:rPr>
        <w:t xml:space="preserve"> Sensitivity Analysis by changing df for calendar time, maximum lag and internal knots for temperature in the first-stage regression.</w:t>
      </w:r>
    </w:p>
    <w:p>
      <w:pPr>
        <w:rPr>
          <w:rFonts w:ascii="Calibri" w:hAnsi="Calibri" w:cs="Calibri"/>
          <w:sz w:val="22"/>
        </w:rPr>
      </w:pPr>
    </w:p>
    <w:tbl>
      <w:tblPr>
        <w:tblStyle w:val="37"/>
        <w:tblW w:w="9219" w:type="dxa"/>
        <w:jc w:val="center"/>
        <w:tblBorders>
          <w:top w:val="single" w:color="999999" w:themeColor="text1" w:themeTint="66" w:sz="4" w:space="0"/>
          <w:left w:val="single" w:color="999999" w:themeColor="text1" w:themeTint="66" w:sz="4" w:space="0"/>
          <w:bottom w:val="single" w:color="999999" w:themeColor="text1" w:themeTint="66" w:sz="4" w:space="0"/>
          <w:right w:val="single" w:color="999999" w:themeColor="text1" w:themeTint="66" w:sz="4" w:space="0"/>
          <w:insideH w:val="single" w:color="999999" w:themeColor="text1" w:themeTint="66" w:sz="4" w:space="0"/>
          <w:insideV w:val="single" w:color="999999" w:themeColor="text1" w:themeTint="6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913"/>
        <w:gridCol w:w="1914"/>
        <w:gridCol w:w="1913"/>
        <w:gridCol w:w="1914"/>
      </w:tblGrid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  <w:noWrap/>
          </w:tcPr>
          <w:p>
            <w:pPr>
              <w:widowControl/>
              <w:rPr>
                <w:rFonts w:ascii="Calibri" w:hAnsi="Calibri" w:eastAsia="等线" w:cs="Calibri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b w:val="0"/>
                <w:bCs w:val="0"/>
                <w:i/>
                <w:iCs/>
                <w:color w:val="000000"/>
                <w:kern w:val="0"/>
                <w:sz w:val="22"/>
              </w:rPr>
              <w:t>lag=7 days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  <w:noWrap/>
          </w:tcPr>
          <w:p>
            <w:pPr>
              <w:widowControl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</w:tcPr>
          <w:p>
            <w:pPr>
              <w:widowControl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</w:tcPr>
          <w:p>
            <w:pPr>
              <w:widowControl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</w:tcPr>
          <w:p>
            <w:pPr>
              <w:widowControl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single" w:color="999999" w:themeColor="text1" w:themeTint="66" w:sz="8" w:space="0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3827" w:type="dxa"/>
            <w:gridSpan w:val="2"/>
            <w:tcBorders>
              <w:top w:val="single" w:color="999999" w:themeColor="text1" w:themeTint="66" w:sz="4" w:space="0"/>
              <w:left w:val="nil"/>
              <w:bottom w:val="single" w:color="999999" w:themeColor="text1" w:themeTint="66" w:sz="4" w:space="0"/>
              <w:right w:val="nil"/>
            </w:tcBorders>
            <w:noWrap/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</w:rPr>
              <w:t>ERR (%, 95%CI)</w:t>
            </w:r>
          </w:p>
        </w:tc>
        <w:tc>
          <w:tcPr>
            <w:tcW w:w="3827" w:type="dxa"/>
            <w:gridSpan w:val="2"/>
            <w:tcBorders>
              <w:top w:val="single" w:color="999999" w:themeColor="text1" w:themeTint="66" w:sz="4" w:space="0"/>
              <w:left w:val="nil"/>
              <w:right w:val="nil"/>
            </w:tcBorders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</w:rPr>
              <w:t>AF (%, 95%CI)</w:t>
            </w: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</w:p>
        </w:tc>
        <w:tc>
          <w:tcPr>
            <w:tcW w:w="1913" w:type="dxa"/>
            <w:tcBorders>
              <w:top w:val="single" w:color="999999" w:themeColor="text1" w:themeTint="66" w:sz="8" w:space="0"/>
              <w:left w:val="nil"/>
              <w:bottom w:val="single" w:color="999999" w:themeColor="text1" w:themeTint="66" w:sz="8" w:space="0"/>
              <w:right w:val="nil"/>
            </w:tcBorders>
            <w:noWrap/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</w:rPr>
              <w:t>TV</w:t>
            </w:r>
            <w:r>
              <w:rPr>
                <w:rFonts w:ascii="Calibri" w:hAnsi="Calibri" w:eastAsia="等线" w:cs="Calibri"/>
                <w:color w:val="000000"/>
                <w:kern w:val="0"/>
                <w:sz w:val="22"/>
                <w:vertAlign w:val="subscript"/>
              </w:rPr>
              <w:t>daily</w:t>
            </w:r>
          </w:p>
        </w:tc>
        <w:tc>
          <w:tcPr>
            <w:tcW w:w="1914" w:type="dxa"/>
            <w:tcBorders>
              <w:top w:val="single" w:color="999999" w:themeColor="text1" w:themeTint="66" w:sz="8" w:space="0"/>
              <w:left w:val="nil"/>
              <w:bottom w:val="single" w:color="999999" w:themeColor="text1" w:themeTint="66" w:sz="8" w:space="0"/>
              <w:right w:val="nil"/>
            </w:tcBorders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</w:rPr>
              <w:t>TV</w:t>
            </w:r>
            <w:r>
              <w:rPr>
                <w:rFonts w:ascii="Calibri" w:hAnsi="Calibri" w:eastAsia="等线" w:cs="Calibri"/>
                <w:color w:val="000000"/>
                <w:kern w:val="0"/>
                <w:sz w:val="22"/>
                <w:vertAlign w:val="subscript"/>
              </w:rPr>
              <w:t>hourly</w:t>
            </w:r>
          </w:p>
        </w:tc>
        <w:tc>
          <w:tcPr>
            <w:tcW w:w="1913" w:type="dxa"/>
            <w:tcBorders>
              <w:top w:val="single" w:color="999999" w:themeColor="text1" w:themeTint="66" w:sz="8" w:space="0"/>
              <w:left w:val="nil"/>
              <w:bottom w:val="single" w:color="999999" w:themeColor="text1" w:themeTint="66" w:sz="8" w:space="0"/>
              <w:right w:val="nil"/>
            </w:tcBorders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</w:rPr>
              <w:t>TV</w:t>
            </w:r>
            <w:r>
              <w:rPr>
                <w:rFonts w:ascii="Calibri" w:hAnsi="Calibri" w:eastAsia="等线" w:cs="Calibri"/>
                <w:color w:val="000000"/>
                <w:kern w:val="0"/>
                <w:sz w:val="22"/>
                <w:vertAlign w:val="subscript"/>
              </w:rPr>
              <w:t>daily</w:t>
            </w:r>
          </w:p>
        </w:tc>
        <w:tc>
          <w:tcPr>
            <w:tcW w:w="1914" w:type="dxa"/>
            <w:tcBorders>
              <w:top w:val="single" w:color="999999" w:themeColor="text1" w:themeTint="66" w:sz="8" w:space="0"/>
              <w:left w:val="nil"/>
              <w:bottom w:val="single" w:color="999999" w:themeColor="text1" w:themeTint="66" w:sz="8" w:space="0"/>
              <w:right w:val="nil"/>
            </w:tcBorders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kern w:val="0"/>
                <w:sz w:val="22"/>
              </w:rPr>
              <w:t>TV</w:t>
            </w:r>
            <w:r>
              <w:rPr>
                <w:rFonts w:ascii="Calibri" w:hAnsi="Calibri" w:eastAsia="等线" w:cs="Calibri"/>
                <w:color w:val="000000"/>
                <w:kern w:val="0"/>
                <w:sz w:val="22"/>
                <w:vertAlign w:val="subscript"/>
              </w:rPr>
              <w:t>hourly</w:t>
            </w: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single" w:color="999999" w:themeColor="text1" w:themeTint="66" w:sz="8" w:space="0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b w:val="0"/>
                <w:bCs w:val="0"/>
                <w:i/>
                <w:iCs/>
                <w:color w:val="000000"/>
                <w:kern w:val="0"/>
                <w:sz w:val="22"/>
              </w:rPr>
              <w:t>df/year</w:t>
            </w:r>
          </w:p>
        </w:tc>
        <w:tc>
          <w:tcPr>
            <w:tcW w:w="1913" w:type="dxa"/>
            <w:tcBorders>
              <w:top w:val="single" w:color="999999" w:themeColor="text1" w:themeTint="66" w:sz="8" w:space="0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kern w:val="0"/>
                <w:sz w:val="22"/>
              </w:rPr>
            </w:pPr>
          </w:p>
        </w:tc>
        <w:tc>
          <w:tcPr>
            <w:tcW w:w="1914" w:type="dxa"/>
            <w:tcBorders>
              <w:top w:val="single" w:color="999999" w:themeColor="text1" w:themeTint="66" w:sz="8" w:space="0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kern w:val="0"/>
                <w:sz w:val="22"/>
              </w:rPr>
            </w:pPr>
          </w:p>
        </w:tc>
        <w:tc>
          <w:tcPr>
            <w:tcW w:w="1913" w:type="dxa"/>
            <w:tcBorders>
              <w:top w:val="single" w:color="999999" w:themeColor="text1" w:themeTint="66" w:sz="8" w:space="0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kern w:val="0"/>
                <w:sz w:val="22"/>
              </w:rPr>
            </w:pPr>
          </w:p>
        </w:tc>
        <w:tc>
          <w:tcPr>
            <w:tcW w:w="1914" w:type="dxa"/>
            <w:tcBorders>
              <w:top w:val="single" w:color="999999" w:themeColor="text1" w:themeTint="66" w:sz="8" w:space="0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>
            <w:pPr>
              <w:widowControl/>
              <w:jc w:val="center"/>
              <w:rPr>
                <w:rFonts w:ascii="Calibri" w:hAnsi="Calibri" w:eastAsia="等线" w:cs="Calibri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b/>
                <w:bCs/>
                <w:i/>
                <w:iCs/>
                <w:color w:val="000000"/>
                <w:kern w:val="0"/>
                <w:sz w:val="22"/>
              </w:rPr>
              <w:t>6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0.54 (0.42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0.65)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0.49 (0.33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0.65)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2.51 (1.90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–3.11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1.62 (1.11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–2.12)</w:t>
            </w: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b/>
                <w:bCs/>
                <w:i/>
                <w:iCs/>
                <w:color w:val="000000"/>
                <w:kern w:val="0"/>
                <w:sz w:val="22"/>
              </w:rPr>
              <w:t>8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0.54 (0.42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0.65)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0.50 (0.34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0.66)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2.51 (1.90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–3.11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1.62 (1.11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–2.12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b w:val="0"/>
                <w:bCs w:val="0"/>
                <w:i/>
                <w:iCs/>
                <w:color w:val="000000"/>
                <w:sz w:val="22"/>
              </w:rPr>
              <w:t>Maximum lag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b/>
                <w:bCs/>
                <w:i/>
                <w:iCs/>
                <w:color w:val="000000"/>
                <w:sz w:val="22"/>
              </w:rPr>
              <w:t>14 days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0.54 (0.42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0.66)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0.49 (0.33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0.65)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2.53 (1.94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–3.12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1.62 (1.10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2.14)</w:t>
            </w: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b/>
                <w:bCs/>
                <w:i/>
                <w:iCs/>
                <w:color w:val="000000"/>
                <w:sz w:val="22"/>
              </w:rPr>
              <w:t>28 days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0.56 (0.41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0.71)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0.52 (0.36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0.70)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2.58 (1.94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–3.21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1.67 (1.16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–2.18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/>
                <w:bCs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b w:val="0"/>
                <w:bCs w:val="0"/>
                <w:i/>
                <w:iCs/>
                <w:color w:val="000000"/>
                <w:kern w:val="0"/>
                <w:sz w:val="22"/>
              </w:rPr>
              <w:t>Internal knots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</w:p>
        </w:tc>
      </w:tr>
      <w:tr>
        <w:tblPrEx>
          <w:tblBorders>
            <w:top w:val="single" w:color="999999" w:themeColor="text1" w:themeTint="66" w:sz="4" w:space="0"/>
            <w:left w:val="single" w:color="999999" w:themeColor="text1" w:themeTint="66" w:sz="4" w:space="0"/>
            <w:bottom w:val="single" w:color="999999" w:themeColor="text1" w:themeTint="66" w:sz="4" w:space="0"/>
            <w:right w:val="single" w:color="999999" w:themeColor="text1" w:themeTint="66" w:sz="4" w:space="0"/>
            <w:insideH w:val="single" w:color="999999" w:themeColor="text1" w:themeTint="66" w:sz="4" w:space="0"/>
            <w:insideV w:val="single" w:color="999999" w:themeColor="tex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565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Calibri" w:hAnsi="Calibri" w:eastAsia="等线" w:cs="Calibri"/>
                <w:b/>
                <w:bCs/>
                <w:color w:val="000000"/>
                <w:kern w:val="0"/>
                <w:sz w:val="22"/>
              </w:rPr>
              <w:t>25</w:t>
            </w:r>
            <w:r>
              <w:rPr>
                <w:rFonts w:ascii="Calibri" w:hAnsi="Calibri" w:eastAsia="等线" w:cs="Calibri"/>
                <w:b/>
                <w:bCs/>
                <w:color w:val="000000"/>
                <w:kern w:val="0"/>
                <w:sz w:val="22"/>
                <w:vertAlign w:val="superscript"/>
              </w:rPr>
              <w:t>th</w:t>
            </w:r>
            <w:r>
              <w:rPr>
                <w:rFonts w:ascii="Calibri" w:hAnsi="Calibri" w:eastAsia="等线" w:cs="Calibri"/>
                <w:b/>
                <w:bCs/>
                <w:color w:val="000000"/>
                <w:kern w:val="0"/>
                <w:sz w:val="22"/>
              </w:rPr>
              <w:t>, 50</w:t>
            </w:r>
            <w:r>
              <w:rPr>
                <w:rFonts w:ascii="Calibri" w:hAnsi="Calibri" w:eastAsia="等线" w:cs="Calibri"/>
                <w:b/>
                <w:bCs/>
                <w:color w:val="000000"/>
                <w:kern w:val="0"/>
                <w:sz w:val="22"/>
                <w:vertAlign w:val="superscript"/>
              </w:rPr>
              <w:t>th</w:t>
            </w:r>
            <w:r>
              <w:rPr>
                <w:rFonts w:ascii="Calibri" w:hAnsi="Calibri" w:eastAsia="等线" w:cs="Calibri"/>
                <w:b/>
                <w:bCs/>
                <w:color w:val="000000"/>
                <w:kern w:val="0"/>
                <w:sz w:val="22"/>
              </w:rPr>
              <w:t>, 75</w:t>
            </w:r>
            <w:r>
              <w:rPr>
                <w:rFonts w:ascii="Calibri" w:hAnsi="Calibri" w:eastAsia="等线" w:cs="Calibri"/>
                <w:b/>
                <w:bCs/>
                <w:color w:val="000000"/>
                <w:kern w:val="0"/>
                <w:sz w:val="22"/>
                <w:vertAlign w:val="superscript"/>
              </w:rPr>
              <w:t>th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  <w:noWrap/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0.55 (0.41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–0.70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0.51 (0.36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–0.67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  <w:tc>
          <w:tcPr>
            <w:tcW w:w="1913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2.57 (1.97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–3.16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999999" w:themeColor="text1" w:themeTint="66" w:sz="8" w:space="0"/>
              <w:right w:val="nil"/>
            </w:tcBorders>
          </w:tcPr>
          <w:p>
            <w:pPr>
              <w:widowControl/>
              <w:jc w:val="left"/>
              <w:rPr>
                <w:rFonts w:ascii="Calibri" w:hAnsi="Calibri" w:eastAsia="等线" w:cs="Calibri"/>
                <w:color w:val="000000"/>
                <w:sz w:val="22"/>
              </w:rPr>
            </w:pPr>
            <w:r>
              <w:rPr>
                <w:rFonts w:ascii="Calibri" w:hAnsi="Calibri" w:eastAsia="等线" w:cs="Calibri"/>
                <w:color w:val="000000"/>
                <w:sz w:val="22"/>
              </w:rPr>
              <w:t>1.67 (1.15</w:t>
            </w:r>
            <w:r>
              <w:rPr>
                <w:rFonts w:ascii="Calibri" w:hAnsi="Calibri" w:eastAsia="宋体" w:cs="Calibri"/>
                <w:color w:val="000000"/>
                <w:kern w:val="0"/>
                <w:sz w:val="22"/>
              </w:rPr>
              <w:t>–2.18</w:t>
            </w:r>
            <w:r>
              <w:rPr>
                <w:rFonts w:ascii="Calibri" w:hAnsi="Calibri" w:eastAsia="等线" w:cs="Calibri"/>
                <w:color w:val="000000"/>
                <w:sz w:val="22"/>
              </w:rPr>
              <w:t>)</w:t>
            </w:r>
          </w:p>
        </w:tc>
      </w:tr>
    </w:tbl>
    <w:p/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widowControl/>
        <w:jc w:val="left"/>
        <w:rPr>
          <w:rFonts w:ascii="Calibri" w:hAnsi="Calibri" w:cs="Calibri"/>
          <w:sz w:val="22"/>
        </w:rPr>
      </w:pPr>
      <w:r>
        <w:rPr>
          <w:rStyle w:val="17"/>
          <w:rFonts w:asciiTheme="minorHAnsi" w:hAnsiTheme="minorHAnsi" w:eastAsiaTheme="minorHAnsi"/>
          <w:sz w:val="21"/>
          <w:szCs w:val="21"/>
        </w:rPr>
        <w:t>1</w:t>
      </w:r>
      <w:r>
        <w:rPr>
          <w:sz w:val="22"/>
        </w:rPr>
        <w:t xml:space="preserve"> </w:t>
      </w:r>
      <w:r>
        <w:rPr>
          <w:rFonts w:ascii="Calibri" w:hAnsi="Calibri" w:eastAsia="宋体" w:cs="Calibri"/>
          <w:color w:val="000000"/>
          <w:kern w:val="0"/>
          <w:sz w:val="18"/>
          <w:szCs w:val="18"/>
        </w:rPr>
        <w:t xml:space="preserve">* </w:t>
      </w:r>
      <w:r>
        <w:rPr>
          <w:rFonts w:ascii="Calibri" w:hAnsi="Calibri" w:eastAsia="宋体" w:cs="Calibri"/>
          <w:color w:val="000000"/>
          <w:kern w:val="0"/>
          <w:sz w:val="22"/>
        </w:rPr>
        <w:t xml:space="preserve">Corresponding author: Q. Wang, School of Public Health, Hubei University of Medicine, Shiyan 442000, China. E-mail: </w:t>
      </w:r>
      <w:r>
        <w:fldChar w:fldCharType="begin"/>
      </w:r>
      <w:r>
        <w:instrText xml:space="preserve"> HYPERLINK "mailto:hbmu@hbmu.edu.cn" </w:instrText>
      </w:r>
      <w:r>
        <w:fldChar w:fldCharType="separate"/>
      </w:r>
      <w:r>
        <w:rPr>
          <w:rStyle w:val="16"/>
          <w:rFonts w:ascii="Calibri" w:hAnsi="Calibri" w:eastAsia="宋体" w:cs="Calibri"/>
          <w:kern w:val="0"/>
          <w:sz w:val="22"/>
        </w:rPr>
        <w:t>hbmu@hbmu.edu.cn</w:t>
      </w:r>
      <w:r>
        <w:rPr>
          <w:rStyle w:val="16"/>
          <w:rFonts w:ascii="Calibri" w:hAnsi="Calibri" w:eastAsia="宋体" w:cs="Calibri"/>
          <w:kern w:val="0"/>
          <w:sz w:val="22"/>
        </w:rPr>
        <w:fldChar w:fldCharType="end"/>
      </w:r>
      <w:r>
        <w:rPr>
          <w:rFonts w:ascii="Calibri" w:hAnsi="Calibri" w:eastAsia="宋体" w:cs="Calibri"/>
          <w:color w:val="000000"/>
          <w:kern w:val="0"/>
          <w:sz w:val="22"/>
        </w:rPr>
        <w:t xml:space="preserve">  </w:t>
      </w:r>
    </w:p>
    <w:p>
      <w:pPr>
        <w:pStyle w:val="9"/>
        <w:rPr>
          <w:rFonts w:hint="eastAsia"/>
          <w:sz w:val="22"/>
          <w:szCs w:val="22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8381352"/>
    </w:sdtPr>
    <w:sdtEndPr>
      <w:rPr>
        <w:rFonts w:ascii="Calibri" w:hAnsi="Calibri" w:cs="Calibri"/>
      </w:rPr>
    </w:sdtEndPr>
    <w:sdtContent>
      <w:p>
        <w:pPr>
          <w:pStyle w:val="8"/>
          <w:rPr>
            <w:rFonts w:ascii="Calibri" w:hAnsi="Calibri" w:cs="Calibri"/>
          </w:rPr>
        </w:pPr>
        <w:r>
          <w:rPr>
            <w:rFonts w:ascii="Calibri" w:hAnsi="Calibri" w:cs="Calibri"/>
            <w:lang w:val="zh-CN"/>
          </w:rPr>
          <w:t xml:space="preserve"> </w:t>
        </w:r>
        <w:r>
          <w:rPr>
            <w:rFonts w:ascii="Calibri" w:hAnsi="Calibri" w:cs="Calibri"/>
            <w:b/>
            <w:bCs/>
          </w:rPr>
          <w:fldChar w:fldCharType="begin"/>
        </w:r>
        <w:r>
          <w:rPr>
            <w:rFonts w:ascii="Calibri" w:hAnsi="Calibri" w:cs="Calibri"/>
            <w:b/>
            <w:bCs/>
          </w:rPr>
          <w:instrText xml:space="preserve">PAGE</w:instrText>
        </w:r>
        <w:r>
          <w:rPr>
            <w:rFonts w:ascii="Calibri" w:hAnsi="Calibri" w:cs="Calibri"/>
            <w:b/>
            <w:bCs/>
          </w:rPr>
          <w:fldChar w:fldCharType="separate"/>
        </w:r>
        <w:r>
          <w:rPr>
            <w:rFonts w:ascii="Calibri" w:hAnsi="Calibri" w:cs="Calibri"/>
            <w:b/>
            <w:bCs/>
            <w:lang w:val="zh-CN"/>
          </w:rPr>
          <w:t>2</w:t>
        </w:r>
        <w:r>
          <w:rPr>
            <w:rFonts w:ascii="Calibri" w:hAnsi="Calibri" w:cs="Calibri"/>
            <w:b/>
            <w:bCs/>
          </w:rPr>
          <w:fldChar w:fldCharType="end"/>
        </w:r>
        <w:r>
          <w:rPr>
            <w:rFonts w:ascii="Calibri" w:hAnsi="Calibri" w:cs="Calibri"/>
            <w:lang w:val="zh-CN"/>
          </w:rPr>
          <w:t xml:space="preserve"> / </w:t>
        </w:r>
        <w:r>
          <w:rPr>
            <w:rFonts w:ascii="Calibri" w:hAnsi="Calibri" w:cs="Calibri"/>
            <w:b/>
            <w:bCs/>
          </w:rPr>
          <w:fldChar w:fldCharType="begin"/>
        </w:r>
        <w:r>
          <w:rPr>
            <w:rFonts w:ascii="Calibri" w:hAnsi="Calibri" w:cs="Calibri"/>
            <w:b/>
            <w:bCs/>
          </w:rPr>
          <w:instrText xml:space="preserve">NUMPAGES</w:instrText>
        </w:r>
        <w:r>
          <w:rPr>
            <w:rFonts w:ascii="Calibri" w:hAnsi="Calibri" w:cs="Calibri"/>
            <w:b/>
            <w:bCs/>
          </w:rPr>
          <w:fldChar w:fldCharType="separate"/>
        </w:r>
        <w:r>
          <w:rPr>
            <w:rFonts w:ascii="Calibri" w:hAnsi="Calibri" w:cs="Calibri"/>
            <w:b/>
            <w:bCs/>
            <w:lang w:val="zh-CN"/>
          </w:rPr>
          <w:t>2</w:t>
        </w:r>
        <w:r>
          <w:rPr>
            <w:rFonts w:ascii="Calibri" w:hAnsi="Calibri" w:cs="Calibri"/>
            <w:b/>
            <w:bCs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7AB"/>
    <w:rsid w:val="00030FA4"/>
    <w:rsid w:val="0004522F"/>
    <w:rsid w:val="00066707"/>
    <w:rsid w:val="000A7DE7"/>
    <w:rsid w:val="000C60BE"/>
    <w:rsid w:val="00143274"/>
    <w:rsid w:val="00164C1B"/>
    <w:rsid w:val="001C3431"/>
    <w:rsid w:val="001F0F7C"/>
    <w:rsid w:val="001F7B04"/>
    <w:rsid w:val="002026C2"/>
    <w:rsid w:val="002134F5"/>
    <w:rsid w:val="00273FC3"/>
    <w:rsid w:val="002B52EC"/>
    <w:rsid w:val="002B59DB"/>
    <w:rsid w:val="002C3671"/>
    <w:rsid w:val="002E7DAA"/>
    <w:rsid w:val="00312626"/>
    <w:rsid w:val="00326040"/>
    <w:rsid w:val="00335229"/>
    <w:rsid w:val="00365132"/>
    <w:rsid w:val="00373E46"/>
    <w:rsid w:val="00377F54"/>
    <w:rsid w:val="0038087C"/>
    <w:rsid w:val="003C4D93"/>
    <w:rsid w:val="003D1330"/>
    <w:rsid w:val="004107AB"/>
    <w:rsid w:val="00451048"/>
    <w:rsid w:val="004925B1"/>
    <w:rsid w:val="004B137C"/>
    <w:rsid w:val="004E5A81"/>
    <w:rsid w:val="004F0A59"/>
    <w:rsid w:val="004F5A33"/>
    <w:rsid w:val="00514D28"/>
    <w:rsid w:val="00523FA1"/>
    <w:rsid w:val="0053211D"/>
    <w:rsid w:val="00543E79"/>
    <w:rsid w:val="00564D7B"/>
    <w:rsid w:val="00575AFB"/>
    <w:rsid w:val="005D075A"/>
    <w:rsid w:val="006556D6"/>
    <w:rsid w:val="00694A68"/>
    <w:rsid w:val="006A582F"/>
    <w:rsid w:val="00704379"/>
    <w:rsid w:val="007940FE"/>
    <w:rsid w:val="00794A75"/>
    <w:rsid w:val="007A5331"/>
    <w:rsid w:val="007C581F"/>
    <w:rsid w:val="008035B6"/>
    <w:rsid w:val="00827DA0"/>
    <w:rsid w:val="0085121E"/>
    <w:rsid w:val="008B6D0F"/>
    <w:rsid w:val="008E367B"/>
    <w:rsid w:val="009904E0"/>
    <w:rsid w:val="009F258E"/>
    <w:rsid w:val="009F349A"/>
    <w:rsid w:val="00A1017B"/>
    <w:rsid w:val="00A32C7F"/>
    <w:rsid w:val="00A5057E"/>
    <w:rsid w:val="00A5719A"/>
    <w:rsid w:val="00AC3C2B"/>
    <w:rsid w:val="00AD42DD"/>
    <w:rsid w:val="00B670B1"/>
    <w:rsid w:val="00C12DAF"/>
    <w:rsid w:val="00C20A2E"/>
    <w:rsid w:val="00C21DD5"/>
    <w:rsid w:val="00C86134"/>
    <w:rsid w:val="00D22BD9"/>
    <w:rsid w:val="00D3244F"/>
    <w:rsid w:val="00D36401"/>
    <w:rsid w:val="00D46D77"/>
    <w:rsid w:val="00D55882"/>
    <w:rsid w:val="00D64727"/>
    <w:rsid w:val="00DC78EB"/>
    <w:rsid w:val="00DD2B7A"/>
    <w:rsid w:val="00DD573E"/>
    <w:rsid w:val="00E14842"/>
    <w:rsid w:val="00E540C2"/>
    <w:rsid w:val="00E87656"/>
    <w:rsid w:val="00E94CEA"/>
    <w:rsid w:val="00F029FE"/>
    <w:rsid w:val="00F1736B"/>
    <w:rsid w:val="00F255F4"/>
    <w:rsid w:val="00F303D2"/>
    <w:rsid w:val="00F57DD7"/>
    <w:rsid w:val="00F632FB"/>
    <w:rsid w:val="00F64F06"/>
    <w:rsid w:val="00F91F97"/>
    <w:rsid w:val="00F92D6B"/>
    <w:rsid w:val="00FB68DA"/>
    <w:rsid w:val="00FC50CA"/>
    <w:rsid w:val="030B3324"/>
    <w:rsid w:val="034F5C4F"/>
    <w:rsid w:val="05896B0B"/>
    <w:rsid w:val="088936EC"/>
    <w:rsid w:val="0ACB531F"/>
    <w:rsid w:val="0F003018"/>
    <w:rsid w:val="105F315C"/>
    <w:rsid w:val="18E264EB"/>
    <w:rsid w:val="1E205819"/>
    <w:rsid w:val="1F1A428B"/>
    <w:rsid w:val="2AB81AB4"/>
    <w:rsid w:val="2B6F41C4"/>
    <w:rsid w:val="365610AE"/>
    <w:rsid w:val="38D937C4"/>
    <w:rsid w:val="3AA7400D"/>
    <w:rsid w:val="44401811"/>
    <w:rsid w:val="4A094D25"/>
    <w:rsid w:val="52EE42F9"/>
    <w:rsid w:val="5ACF2737"/>
    <w:rsid w:val="5D5A7699"/>
    <w:rsid w:val="68CC783D"/>
    <w:rsid w:val="6B0919A7"/>
    <w:rsid w:val="78E37CD5"/>
    <w:rsid w:val="7C697158"/>
    <w:rsid w:val="7CF8204C"/>
    <w:rsid w:val="7F576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qFormat="1" w:uiPriority="99" w:semiHidden="0" w:name="line number"/>
    <w:lsdException w:uiPriority="99" w:name="page number"/>
    <w:lsdException w:qFormat="1" w:uiPriority="99" w:semiHidden="0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qFormat/>
    <w:uiPriority w:val="35"/>
    <w:rPr>
      <w:rFonts w:ascii="Calibri Light" w:hAnsi="Calibri Light" w:eastAsia="黑体" w:cs="Times New Roman"/>
      <w:sz w:val="20"/>
      <w:szCs w:val="20"/>
    </w:rPr>
  </w:style>
  <w:style w:type="paragraph" w:styleId="5">
    <w:name w:val="endnote text"/>
    <w:basedOn w:val="1"/>
    <w:link w:val="21"/>
    <w:unhideWhenUsed/>
    <w:qFormat/>
    <w:uiPriority w:val="99"/>
    <w:pPr>
      <w:snapToGrid w:val="0"/>
      <w:jc w:val="left"/>
    </w:pPr>
  </w:style>
  <w:style w:type="paragraph" w:styleId="6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22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0">
    <w:name w:val="Title"/>
    <w:basedOn w:val="1"/>
    <w:next w:val="1"/>
    <w:link w:val="40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2">
    <w:name w:val="Table Grid"/>
    <w:basedOn w:val="11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ndnote reference"/>
    <w:unhideWhenUsed/>
    <w:qFormat/>
    <w:uiPriority w:val="99"/>
    <w:rPr>
      <w:vertAlign w:val="superscript"/>
    </w:rPr>
  </w:style>
  <w:style w:type="character" w:styleId="15">
    <w:name w:val="line number"/>
    <w:unhideWhenUsed/>
    <w:qFormat/>
    <w:uiPriority w:val="99"/>
  </w:style>
  <w:style w:type="character" w:styleId="16">
    <w:name w:val="Hyperlink"/>
    <w:unhideWhenUsed/>
    <w:qFormat/>
    <w:uiPriority w:val="99"/>
    <w:rPr>
      <w:color w:val="0563C1"/>
      <w:u w:val="single"/>
    </w:rPr>
  </w:style>
  <w:style w:type="character" w:styleId="17">
    <w:name w:val="footnote reference"/>
    <w:unhideWhenUsed/>
    <w:qFormat/>
    <w:uiPriority w:val="99"/>
    <w:rPr>
      <w:rFonts w:ascii="Calibri" w:hAnsi="Calibri" w:eastAsia="宋体"/>
      <w:sz w:val="10"/>
      <w:vertAlign w:val="superscript"/>
    </w:rPr>
  </w:style>
  <w:style w:type="character" w:customStyle="1" w:styleId="18">
    <w:name w:val="页脚 字符"/>
    <w:link w:val="7"/>
    <w:qFormat/>
    <w:uiPriority w:val="99"/>
    <w:rPr>
      <w:sz w:val="18"/>
      <w:szCs w:val="18"/>
    </w:rPr>
  </w:style>
  <w:style w:type="character" w:customStyle="1" w:styleId="19">
    <w:name w:val="unicode-char1"/>
    <w:qFormat/>
    <w:uiPriority w:val="0"/>
  </w:style>
  <w:style w:type="character" w:customStyle="1" w:styleId="20">
    <w:name w:val="批注框文本 字符"/>
    <w:link w:val="6"/>
    <w:qFormat/>
    <w:uiPriority w:val="99"/>
    <w:rPr>
      <w:sz w:val="18"/>
      <w:szCs w:val="18"/>
    </w:rPr>
  </w:style>
  <w:style w:type="character" w:customStyle="1" w:styleId="21">
    <w:name w:val="尾注文本 字符"/>
    <w:link w:val="5"/>
    <w:qFormat/>
    <w:uiPriority w:val="99"/>
  </w:style>
  <w:style w:type="character" w:customStyle="1" w:styleId="22">
    <w:name w:val="脚注文本 字符"/>
    <w:link w:val="9"/>
    <w:qFormat/>
    <w:uiPriority w:val="99"/>
    <w:rPr>
      <w:sz w:val="18"/>
      <w:szCs w:val="18"/>
    </w:rPr>
  </w:style>
  <w:style w:type="character" w:customStyle="1" w:styleId="23">
    <w:name w:val="页眉 字符"/>
    <w:link w:val="8"/>
    <w:qFormat/>
    <w:uiPriority w:val="99"/>
    <w:rPr>
      <w:sz w:val="18"/>
      <w:szCs w:val="18"/>
    </w:rPr>
  </w:style>
  <w:style w:type="character" w:customStyle="1" w:styleId="24">
    <w:name w:val="脚注文本 字符1"/>
    <w:basedOn w:val="13"/>
    <w:semiHidden/>
    <w:qFormat/>
    <w:uiPriority w:val="99"/>
    <w:rPr>
      <w:sz w:val="18"/>
      <w:szCs w:val="18"/>
    </w:rPr>
  </w:style>
  <w:style w:type="character" w:customStyle="1" w:styleId="25">
    <w:name w:val="页眉 字符1"/>
    <w:basedOn w:val="13"/>
    <w:semiHidden/>
    <w:qFormat/>
    <w:uiPriority w:val="99"/>
    <w:rPr>
      <w:sz w:val="18"/>
      <w:szCs w:val="18"/>
    </w:rPr>
  </w:style>
  <w:style w:type="character" w:customStyle="1" w:styleId="26">
    <w:name w:val="批注框文本 字符1"/>
    <w:basedOn w:val="13"/>
    <w:semiHidden/>
    <w:qFormat/>
    <w:uiPriority w:val="99"/>
    <w:rPr>
      <w:sz w:val="18"/>
      <w:szCs w:val="18"/>
    </w:rPr>
  </w:style>
  <w:style w:type="character" w:customStyle="1" w:styleId="27">
    <w:name w:val="页脚 字符1"/>
    <w:basedOn w:val="13"/>
    <w:semiHidden/>
    <w:qFormat/>
    <w:uiPriority w:val="99"/>
    <w:rPr>
      <w:sz w:val="18"/>
      <w:szCs w:val="18"/>
    </w:rPr>
  </w:style>
  <w:style w:type="paragraph" w:customStyle="1" w:styleId="28">
    <w:name w:val="MDPI_1.3_authornames"/>
    <w:basedOn w:val="1"/>
    <w:next w:val="1"/>
    <w:qFormat/>
    <w:uiPriority w:val="0"/>
    <w:pPr>
      <w:widowControl/>
      <w:adjustRightInd w:val="0"/>
      <w:snapToGrid w:val="0"/>
      <w:spacing w:after="120" w:line="260" w:lineRule="atLeast"/>
      <w:jc w:val="left"/>
    </w:pPr>
    <w:rPr>
      <w:rFonts w:ascii="Palatino Linotype" w:hAnsi="Palatino Linotype" w:eastAsia="Times New Roman" w:cs="Times New Roman"/>
      <w:b/>
      <w:color w:val="000000"/>
      <w:kern w:val="0"/>
      <w:sz w:val="20"/>
      <w:lang w:eastAsia="de-DE" w:bidi="en-US"/>
    </w:rPr>
  </w:style>
  <w:style w:type="paragraph" w:customStyle="1" w:styleId="29">
    <w:name w:val="MDPI_1.6_affiliation"/>
    <w:basedOn w:val="1"/>
    <w:qFormat/>
    <w:uiPriority w:val="0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hAnsi="Palatino Linotype" w:eastAsia="Times New Roman" w:cs="Times New Roman"/>
      <w:color w:val="000000"/>
      <w:kern w:val="0"/>
      <w:sz w:val="18"/>
      <w:szCs w:val="18"/>
      <w:lang w:eastAsia="de-DE" w:bidi="en-US"/>
    </w:rPr>
  </w:style>
  <w:style w:type="character" w:customStyle="1" w:styleId="30">
    <w:name w:val="尾注文本 字符1"/>
    <w:basedOn w:val="13"/>
    <w:semiHidden/>
    <w:qFormat/>
    <w:uiPriority w:val="99"/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MDPI_1.4_history"/>
    <w:basedOn w:val="1"/>
    <w:next w:val="1"/>
    <w:qFormat/>
    <w:uiPriority w:val="0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hAnsi="Palatino Linotype" w:eastAsia="Times New Roman" w:cs="Times New Roman"/>
      <w:color w:val="000000"/>
      <w:kern w:val="0"/>
      <w:sz w:val="18"/>
      <w:szCs w:val="20"/>
      <w:lang w:eastAsia="de-DE" w:bidi="en-US"/>
    </w:rPr>
  </w:style>
  <w:style w:type="paragraph" w:customStyle="1" w:styleId="3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4">
    <w:name w:val="font2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5">
    <w:name w:val="font1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bscript"/>
    </w:rPr>
  </w:style>
  <w:style w:type="character" w:customStyle="1" w:styleId="36">
    <w:name w:val="font01"/>
    <w:basedOn w:val="13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table" w:customStyle="1" w:styleId="37">
    <w:name w:val="网格表 1 浅色1"/>
    <w:basedOn w:val="11"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38">
    <w:name w:val="标题 1 字符"/>
    <w:basedOn w:val="13"/>
    <w:link w:val="2"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39">
    <w:name w:val="标题 2 字符"/>
    <w:basedOn w:val="13"/>
    <w:link w:val="3"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0">
    <w:name w:val="标题 字符"/>
    <w:basedOn w:val="13"/>
    <w:link w:val="10"/>
    <w:qFormat/>
    <w:uiPriority w:val="1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825C83-4EF3-4F57-9E89-5486AC4B0A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1935</Words>
  <Characters>11030</Characters>
  <Lines>91</Lines>
  <Paragraphs>25</Paragraphs>
  <TotalTime>45</TotalTime>
  <ScaleCrop>false</ScaleCrop>
  <LinksUpToDate>false</LinksUpToDate>
  <CharactersWithSpaces>12940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2021-02-01T16:28:00Z</dcterms:created>
  <dc:creator>罗 思琦</dc:creator>
  <cp:lastModifiedBy>萝卜墩</cp:lastModifiedBy>
  <dcterms:modified xsi:type="dcterms:W3CDTF">2021-07-01T14:40:37Z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C0F2BA6AAE394319A135A6B6C74D9094</vt:lpwstr>
  </property>
</Properties>
</file>