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2D8B5" w14:textId="34E4FCC1" w:rsidR="00C50415" w:rsidRDefault="004A52B8" w:rsidP="00C50415">
      <w:pPr>
        <w:pStyle w:val="Heading3"/>
        <w:jc w:val="both"/>
        <w:rPr>
          <w:bCs/>
          <w:i/>
          <w:color w:val="auto"/>
          <w:sz w:val="20"/>
          <w:szCs w:val="20"/>
        </w:rPr>
      </w:pPr>
      <w:r w:rsidRPr="004A52B8">
        <w:rPr>
          <w:b/>
          <w:noProof/>
          <w:color w:val="auto"/>
        </w:rPr>
        <w:drawing>
          <wp:anchor distT="0" distB="0" distL="114300" distR="114300" simplePos="0" relativeHeight="251661312" behindDoc="1" locked="0" layoutInCell="1" allowOverlap="1" wp14:anchorId="2DAFEB61" wp14:editId="4B555D76">
            <wp:simplePos x="0" y="0"/>
            <wp:positionH relativeFrom="column">
              <wp:posOffset>2807970</wp:posOffset>
            </wp:positionH>
            <wp:positionV relativeFrom="paragraph">
              <wp:posOffset>1397000</wp:posOffset>
            </wp:positionV>
            <wp:extent cx="3023870" cy="2805430"/>
            <wp:effectExtent l="12700" t="12700" r="11430" b="13970"/>
            <wp:wrapTight wrapText="bothSides">
              <wp:wrapPolygon edited="0">
                <wp:start x="-91" y="-98"/>
                <wp:lineTo x="-91" y="21610"/>
                <wp:lineTo x="21591" y="21610"/>
                <wp:lineTo x="21591" y="-98"/>
                <wp:lineTo x="-91" y="-98"/>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23870" cy="280543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Pr="004A52B8">
        <w:rPr>
          <w:b/>
          <w:i/>
          <w:noProof/>
          <w:color w:val="auto"/>
          <w:sz w:val="20"/>
          <w:szCs w:val="20"/>
          <w:u w:val="single"/>
        </w:rPr>
        <w:drawing>
          <wp:anchor distT="0" distB="0" distL="114300" distR="114300" simplePos="0" relativeHeight="251659264" behindDoc="0" locked="0" layoutInCell="1" allowOverlap="1" wp14:anchorId="58D1D87B" wp14:editId="74509019">
            <wp:simplePos x="0" y="0"/>
            <wp:positionH relativeFrom="column">
              <wp:posOffset>26035</wp:posOffset>
            </wp:positionH>
            <wp:positionV relativeFrom="paragraph">
              <wp:posOffset>1396365</wp:posOffset>
            </wp:positionV>
            <wp:extent cx="2529840" cy="2805430"/>
            <wp:effectExtent l="12700" t="12700" r="10160" b="1397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29840" cy="280543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Pr="004A52B8">
        <w:rPr>
          <w:b/>
          <w:i/>
          <w:color w:val="auto"/>
          <w:sz w:val="20"/>
          <w:szCs w:val="20"/>
        </w:rPr>
        <w:t xml:space="preserve">Supplementary </w:t>
      </w:r>
      <w:r w:rsidR="00C50415" w:rsidRPr="004A52B8">
        <w:rPr>
          <w:b/>
          <w:i/>
          <w:color w:val="auto"/>
          <w:sz w:val="20"/>
          <w:szCs w:val="20"/>
        </w:rPr>
        <w:t>Figure</w:t>
      </w:r>
      <w:r w:rsidR="008444E5" w:rsidRPr="004A52B8">
        <w:rPr>
          <w:b/>
          <w:i/>
          <w:color w:val="auto"/>
          <w:sz w:val="20"/>
          <w:szCs w:val="20"/>
        </w:rPr>
        <w:t xml:space="preserve"> </w:t>
      </w:r>
      <w:r w:rsidR="00056AEE" w:rsidRPr="004A52B8">
        <w:rPr>
          <w:b/>
          <w:i/>
          <w:color w:val="auto"/>
          <w:sz w:val="20"/>
          <w:szCs w:val="20"/>
        </w:rPr>
        <w:t>1</w:t>
      </w:r>
      <w:r w:rsidR="00C50415" w:rsidRPr="004A52B8">
        <w:rPr>
          <w:b/>
          <w:i/>
          <w:color w:val="auto"/>
          <w:sz w:val="20"/>
          <w:szCs w:val="20"/>
        </w:rPr>
        <w:t xml:space="preserve"> (Genomic elements scaling upstream and Downstream):</w:t>
      </w:r>
      <w:r w:rsidR="00C50415" w:rsidRPr="004A52B8">
        <w:rPr>
          <w:bCs/>
          <w:i/>
          <w:color w:val="auto"/>
          <w:sz w:val="20"/>
          <w:szCs w:val="20"/>
        </w:rPr>
        <w:t xml:space="preserve"> Mutation rate across various genomic regions/elements and their surrounding regions using various scaling factors.</w:t>
      </w:r>
      <w:r w:rsidR="00C50415" w:rsidRPr="004A52B8">
        <w:rPr>
          <w:b/>
          <w:i/>
          <w:color w:val="auto"/>
          <w:sz w:val="20"/>
          <w:szCs w:val="20"/>
        </w:rPr>
        <w:t xml:space="preserve"> </w:t>
      </w:r>
      <w:r w:rsidR="00C50415" w:rsidRPr="004A52B8">
        <w:rPr>
          <w:bCs/>
          <w:i/>
          <w:color w:val="auto"/>
          <w:sz w:val="20"/>
          <w:szCs w:val="20"/>
        </w:rPr>
        <w:t>This figure illustrates the mutation rate (per megabase) for six different genomic regions, i.e. CTCF, 3' UTR, 5' UTR, promoter regions, long non-coding regions, and CDS) and their surrounding regions defined by scaling factors (10x, 50x, 100x, 200x, 400x, 600x, 800x). The plot highlights mean mutation rate across all samples, revealing differences in mutation patterns between genomic elements and their surrounding regions at various scaling factors.</w:t>
      </w:r>
    </w:p>
    <w:p w14:paraId="393CE36B" w14:textId="77777777" w:rsidR="004A52B8" w:rsidRPr="004A52B8" w:rsidRDefault="004A52B8" w:rsidP="004A52B8"/>
    <w:p w14:paraId="679080F3" w14:textId="2DCF9478" w:rsidR="00C50415" w:rsidRPr="004A52B8" w:rsidRDefault="00C50415" w:rsidP="00C50415">
      <w:pPr>
        <w:jc w:val="both"/>
        <w:textAlignment w:val="baseline"/>
        <w:rPr>
          <w:rFonts w:ascii="Calibri" w:eastAsia="Times New Roman" w:hAnsi="Calibri" w:cs="Calibri"/>
          <w:sz w:val="20"/>
          <w:lang w:eastAsia="en-AU"/>
        </w:rPr>
      </w:pPr>
    </w:p>
    <w:p w14:paraId="2475DBD4" w14:textId="5B975427" w:rsidR="00FF15BD" w:rsidRPr="004A52B8" w:rsidRDefault="00FF15BD" w:rsidP="00FF15BD">
      <w:pPr>
        <w:pStyle w:val="Heading3"/>
        <w:jc w:val="both"/>
        <w:rPr>
          <w:i/>
          <w:color w:val="auto"/>
          <w:sz w:val="20"/>
        </w:rPr>
      </w:pPr>
      <w:r w:rsidRPr="004A52B8">
        <w:rPr>
          <w:b/>
          <w:i/>
          <w:noProof/>
          <w:color w:val="auto"/>
        </w:rPr>
        <w:drawing>
          <wp:anchor distT="0" distB="0" distL="114300" distR="114300" simplePos="0" relativeHeight="251663360" behindDoc="1" locked="0" layoutInCell="1" allowOverlap="1" wp14:anchorId="587F0CBC" wp14:editId="20E04E1F">
            <wp:simplePos x="0" y="0"/>
            <wp:positionH relativeFrom="column">
              <wp:posOffset>1630045</wp:posOffset>
            </wp:positionH>
            <wp:positionV relativeFrom="paragraph">
              <wp:posOffset>467995</wp:posOffset>
            </wp:positionV>
            <wp:extent cx="4202430" cy="2643505"/>
            <wp:effectExtent l="12700" t="12700" r="13970" b="10795"/>
            <wp:wrapTight wrapText="bothSides">
              <wp:wrapPolygon edited="0">
                <wp:start x="-65" y="-104"/>
                <wp:lineTo x="-65" y="21584"/>
                <wp:lineTo x="21607" y="21584"/>
                <wp:lineTo x="21607" y="-104"/>
                <wp:lineTo x="-65" y="-104"/>
              </wp:wrapPolygon>
            </wp:wrapTight>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202430" cy="2643505"/>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4A52B8" w:rsidRPr="004A52B8">
        <w:rPr>
          <w:bCs/>
          <w:i/>
          <w:color w:val="auto"/>
          <w:sz w:val="20"/>
          <w:szCs w:val="20"/>
        </w:rPr>
        <w:t xml:space="preserve"> </w:t>
      </w:r>
      <w:r w:rsidR="004A52B8" w:rsidRPr="004A52B8">
        <w:rPr>
          <w:b/>
          <w:i/>
          <w:color w:val="auto"/>
          <w:sz w:val="20"/>
          <w:szCs w:val="20"/>
        </w:rPr>
        <w:t>Supplementary</w:t>
      </w:r>
      <w:r w:rsidR="004A52B8" w:rsidRPr="004A52B8">
        <w:rPr>
          <w:b/>
          <w:i/>
          <w:color w:val="auto"/>
          <w:sz w:val="20"/>
        </w:rPr>
        <w:t xml:space="preserve"> </w:t>
      </w:r>
      <w:r w:rsidRPr="004A52B8">
        <w:rPr>
          <w:b/>
          <w:i/>
          <w:color w:val="auto"/>
          <w:sz w:val="20"/>
        </w:rPr>
        <w:t>Figure 2 (Overall substitution types per sample):</w:t>
      </w:r>
      <w:r w:rsidRPr="004A52B8">
        <w:rPr>
          <w:i/>
          <w:color w:val="auto"/>
          <w:sz w:val="20"/>
        </w:rPr>
        <w:t xml:space="preserve"> This stacked bar chart shows the proportion of each substitution type (overall) across different samples. The data is grouped by substitution type (e.g., C&gt;A, C&gt;T, T&gt;C, etc.) and normalized within each sample to show the relative fraction of each mutation type. Where each bar represents a sample, and the segments within each bar show the fraction of each substitution type in that sample. The fill color corresponds to the substitution type, allowing you to visually compare how the substitution profile differs across samples. </w:t>
      </w:r>
    </w:p>
    <w:p w14:paraId="3C6C7582" w14:textId="60BA70A7" w:rsidR="002741A9" w:rsidRPr="004A52B8" w:rsidRDefault="002741A9"/>
    <w:p w14:paraId="6E091372" w14:textId="77777777" w:rsidR="00075EB6" w:rsidRPr="004A52B8" w:rsidRDefault="00075EB6"/>
    <w:p w14:paraId="5E655358" w14:textId="77777777" w:rsidR="00075EB6" w:rsidRPr="004A52B8" w:rsidRDefault="00075EB6" w:rsidP="00075EB6">
      <w:pPr>
        <w:rPr>
          <w:rFonts w:ascii="Calibri" w:hAnsi="Calibri" w:cs="Calibri"/>
          <w:b/>
          <w:bCs/>
          <w:i/>
          <w:sz w:val="20"/>
          <w:lang w:eastAsia="en-AU"/>
        </w:rPr>
      </w:pPr>
    </w:p>
    <w:p w14:paraId="2ED9CCAD" w14:textId="77777777" w:rsidR="00075EB6" w:rsidRPr="004A52B8" w:rsidRDefault="00075EB6" w:rsidP="00075EB6">
      <w:pPr>
        <w:rPr>
          <w:rFonts w:ascii="Calibri" w:hAnsi="Calibri" w:cs="Calibri"/>
          <w:b/>
          <w:bCs/>
          <w:i/>
          <w:sz w:val="20"/>
          <w:lang w:eastAsia="en-AU"/>
        </w:rPr>
      </w:pPr>
    </w:p>
    <w:p w14:paraId="0038E2E4" w14:textId="77777777" w:rsidR="00075EB6" w:rsidRPr="004A52B8" w:rsidRDefault="00075EB6" w:rsidP="00075EB6">
      <w:pPr>
        <w:rPr>
          <w:rFonts w:ascii="Calibri" w:hAnsi="Calibri" w:cs="Calibri"/>
          <w:b/>
          <w:bCs/>
          <w:i/>
          <w:sz w:val="20"/>
          <w:lang w:eastAsia="en-AU"/>
        </w:rPr>
      </w:pPr>
    </w:p>
    <w:p w14:paraId="3B798448" w14:textId="77777777" w:rsidR="00075EB6" w:rsidRPr="004A52B8" w:rsidRDefault="00075EB6" w:rsidP="00075EB6">
      <w:pPr>
        <w:rPr>
          <w:rFonts w:ascii="Calibri" w:hAnsi="Calibri" w:cs="Calibri"/>
          <w:b/>
          <w:bCs/>
          <w:i/>
          <w:sz w:val="20"/>
          <w:lang w:eastAsia="en-AU"/>
        </w:rPr>
      </w:pPr>
    </w:p>
    <w:p w14:paraId="5BA98E5B" w14:textId="77777777" w:rsidR="00075EB6" w:rsidRPr="004A52B8" w:rsidRDefault="00075EB6" w:rsidP="00075EB6">
      <w:pPr>
        <w:rPr>
          <w:rFonts w:ascii="Calibri" w:hAnsi="Calibri" w:cs="Calibri"/>
          <w:b/>
          <w:bCs/>
          <w:i/>
          <w:sz w:val="20"/>
          <w:lang w:eastAsia="en-AU"/>
        </w:rPr>
      </w:pPr>
    </w:p>
    <w:p w14:paraId="7D8B2C6D" w14:textId="77777777" w:rsidR="00075EB6" w:rsidRPr="004A52B8" w:rsidRDefault="00075EB6" w:rsidP="00075EB6">
      <w:pPr>
        <w:rPr>
          <w:rFonts w:ascii="Calibri" w:hAnsi="Calibri" w:cs="Calibri"/>
          <w:b/>
          <w:bCs/>
          <w:i/>
          <w:sz w:val="20"/>
          <w:lang w:eastAsia="en-AU"/>
        </w:rPr>
      </w:pPr>
    </w:p>
    <w:p w14:paraId="6D6ABFAC" w14:textId="2968D35C" w:rsidR="6A455D1A" w:rsidRPr="00230C85" w:rsidRDefault="002A617A" w:rsidP="6A455D1A">
      <w:pPr>
        <w:rPr>
          <w:bCs/>
          <w:i/>
          <w:sz w:val="22"/>
        </w:rPr>
      </w:pPr>
      <w:r>
        <w:rPr>
          <w:noProof/>
        </w:rPr>
        <w:lastRenderedPageBreak/>
        <w:drawing>
          <wp:anchor distT="0" distB="0" distL="114300" distR="114300" simplePos="0" relativeHeight="251670528" behindDoc="1" locked="0" layoutInCell="1" allowOverlap="1" wp14:anchorId="5B58C920" wp14:editId="4A15DDC4">
            <wp:simplePos x="0" y="0"/>
            <wp:positionH relativeFrom="column">
              <wp:posOffset>1428750</wp:posOffset>
            </wp:positionH>
            <wp:positionV relativeFrom="paragraph">
              <wp:posOffset>618399</wp:posOffset>
            </wp:positionV>
            <wp:extent cx="4037320" cy="3110593"/>
            <wp:effectExtent l="19050" t="19050" r="20955" b="13970"/>
            <wp:wrapTight wrapText="bothSides">
              <wp:wrapPolygon edited="0">
                <wp:start x="-102" y="-132"/>
                <wp:lineTo x="-102" y="21565"/>
                <wp:lineTo x="21610" y="21565"/>
                <wp:lineTo x="21610" y="-132"/>
                <wp:lineTo x="-102" y="-132"/>
              </wp:wrapPolygon>
            </wp:wrapTight>
            <wp:docPr id="460217328" name="Picture 1"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217328" name="Picture 1" descr="A graph of different colored bar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37320" cy="3110593"/>
                    </a:xfrm>
                    <a:prstGeom prst="rect">
                      <a:avLst/>
                    </a:prstGeom>
                    <a:noFill/>
                    <a:ln w="3175">
                      <a:solidFill>
                        <a:schemeClr val="tx1"/>
                      </a:solidFill>
                    </a:ln>
                  </pic:spPr>
                </pic:pic>
              </a:graphicData>
            </a:graphic>
          </wp:anchor>
        </w:drawing>
      </w:r>
      <w:r w:rsidR="00E23840" w:rsidRPr="00E23840">
        <w:rPr>
          <w:b/>
          <w:i/>
          <w:sz w:val="22"/>
        </w:rPr>
        <w:t>Supplementary Figure 3. Mean density and fraction of substitution mutations across sample groups.</w:t>
      </w:r>
      <w:r w:rsidR="00E23840">
        <w:rPr>
          <w:b/>
          <w:i/>
          <w:sz w:val="22"/>
        </w:rPr>
        <w:t xml:space="preserve"> </w:t>
      </w:r>
      <w:proofErr w:type="gramStart"/>
      <w:r w:rsidR="00E23840" w:rsidRPr="00E23840">
        <w:rPr>
          <w:bCs/>
          <w:i/>
          <w:sz w:val="22"/>
        </w:rPr>
        <w:t>(</w:t>
      </w:r>
      <w:proofErr w:type="gramEnd"/>
      <w:r w:rsidR="00E23840" w:rsidRPr="00E23840">
        <w:rPr>
          <w:bCs/>
          <w:i/>
          <w:sz w:val="22"/>
        </w:rPr>
        <w:t>A) Stacked bar plot showing the mean density of substitution mutations per group: LNM (Met), PM, and PNM.</w:t>
      </w:r>
      <w:r w:rsidR="00E23840" w:rsidRPr="00E23840">
        <w:rPr>
          <w:bCs/>
          <w:i/>
          <w:sz w:val="22"/>
        </w:rPr>
        <w:t xml:space="preserve"> </w:t>
      </w:r>
      <w:r w:rsidR="00E23840" w:rsidRPr="00E23840">
        <w:rPr>
          <w:bCs/>
          <w:i/>
          <w:sz w:val="22"/>
        </w:rPr>
        <w:t>(B) Mean mutation fraction of each substitution type across the same groups.</w:t>
      </w:r>
      <w:r w:rsidR="00E23840" w:rsidRPr="00E23840">
        <w:rPr>
          <w:bCs/>
          <w:i/>
          <w:sz w:val="22"/>
        </w:rPr>
        <w:t xml:space="preserve"> </w:t>
      </w:r>
      <w:r w:rsidR="00E23840" w:rsidRPr="00E23840">
        <w:rPr>
          <w:bCs/>
          <w:i/>
          <w:sz w:val="22"/>
        </w:rPr>
        <w:t>(C) Comparison of mean substitution mutation density between Met_All (combined LNM and PM) and PNM.</w:t>
      </w:r>
      <w:r w:rsidR="00E23840" w:rsidRPr="00E23840">
        <w:rPr>
          <w:bCs/>
          <w:i/>
          <w:sz w:val="22"/>
        </w:rPr>
        <w:t xml:space="preserve"> </w:t>
      </w:r>
      <w:r w:rsidR="00E23840" w:rsidRPr="00E23840">
        <w:rPr>
          <w:bCs/>
          <w:i/>
          <w:sz w:val="22"/>
        </w:rPr>
        <w:t>(D) Comparison between LNM (Met) and Primary (combined PM and PNM).</w:t>
      </w:r>
      <w:r w:rsidR="00E23840" w:rsidRPr="00E23840">
        <w:rPr>
          <w:bCs/>
          <w:i/>
          <w:sz w:val="22"/>
        </w:rPr>
        <w:t xml:space="preserve"> </w:t>
      </w:r>
      <w:r w:rsidR="00E23840" w:rsidRPr="00E23840">
        <w:rPr>
          <w:bCs/>
          <w:i/>
          <w:sz w:val="22"/>
        </w:rPr>
        <w:t>Although different substitution types contribute variably across groups, no significant difference in the overall mutation proportions is observed.</w:t>
      </w:r>
    </w:p>
    <w:p w14:paraId="408C3B5B" w14:textId="08088653" w:rsidR="00093E2A" w:rsidRPr="00230C85" w:rsidRDefault="00230C85" w:rsidP="00230C85">
      <w:pPr>
        <w:spacing w:beforeAutospacing="1" w:afterAutospacing="1"/>
        <w:jc w:val="both"/>
        <w:rPr>
          <w:i/>
          <w:sz w:val="22"/>
        </w:rPr>
      </w:pPr>
      <w:r w:rsidRPr="004A52B8">
        <w:rPr>
          <w:noProof/>
        </w:rPr>
        <w:drawing>
          <wp:anchor distT="0" distB="0" distL="114300" distR="114300" simplePos="0" relativeHeight="251671552" behindDoc="1" locked="0" layoutInCell="1" allowOverlap="1" wp14:anchorId="41BADD6C" wp14:editId="2803DC72">
            <wp:simplePos x="0" y="0"/>
            <wp:positionH relativeFrom="column">
              <wp:posOffset>89444</wp:posOffset>
            </wp:positionH>
            <wp:positionV relativeFrom="paragraph">
              <wp:posOffset>1336765</wp:posOffset>
            </wp:positionV>
            <wp:extent cx="5378450" cy="3869690"/>
            <wp:effectExtent l="19050" t="19050" r="12700" b="16510"/>
            <wp:wrapTight wrapText="bothSides">
              <wp:wrapPolygon edited="0">
                <wp:start x="-77" y="-106"/>
                <wp:lineTo x="-77" y="21586"/>
                <wp:lineTo x="21574" y="21586"/>
                <wp:lineTo x="21574" y="-106"/>
                <wp:lineTo x="-77" y="-106"/>
              </wp:wrapPolygon>
            </wp:wrapTight>
            <wp:docPr id="1443100156" name="Picture 2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8" cstate="print">
                      <a:extLst>
                        <a:ext uri="{28A0092B-C50C-407E-A947-70E740481C1C}">
                          <a14:useLocalDpi xmlns:a14="http://schemas.microsoft.com/office/drawing/2010/main" val="0"/>
                        </a:ext>
                      </a:extLst>
                    </a:blip>
                    <a:srcRect b="17709"/>
                    <a:stretch>
                      <a:fillRect/>
                    </a:stretch>
                  </pic:blipFill>
                  <pic:spPr bwMode="auto">
                    <a:xfrm>
                      <a:off x="0" y="0"/>
                      <a:ext cx="5378450" cy="3869690"/>
                    </a:xfrm>
                    <a:prstGeom prst="rect">
                      <a:avLst/>
                    </a:prstGeom>
                    <a:ln w="3175" cap="flat" cmpd="sng" algn="ctr">
                      <a:solidFill>
                        <a:srgbClr val="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A52B8" w:rsidRPr="004A52B8">
        <w:rPr>
          <w:b/>
          <w:i/>
          <w:sz w:val="20"/>
          <w:szCs w:val="20"/>
        </w:rPr>
        <w:t>Supplementary</w:t>
      </w:r>
      <w:r w:rsidR="004A52B8" w:rsidRPr="004A52B8">
        <w:rPr>
          <w:b/>
          <w:i/>
          <w:sz w:val="20"/>
        </w:rPr>
        <w:t xml:space="preserve"> </w:t>
      </w:r>
      <w:r w:rsidR="00093E2A" w:rsidRPr="004A52B8">
        <w:rPr>
          <w:b/>
          <w:i/>
          <w:sz w:val="20"/>
        </w:rPr>
        <w:t>Figure 4</w:t>
      </w:r>
      <w:r w:rsidR="00093E2A" w:rsidRPr="004A52B8">
        <w:rPr>
          <w:rStyle w:val="Strong"/>
          <w:b w:val="0"/>
          <w:i/>
          <w:sz w:val="22"/>
        </w:rPr>
        <w:t>:</w:t>
      </w:r>
      <w:r w:rsidR="00093E2A" w:rsidRPr="004A52B8">
        <w:rPr>
          <w:rStyle w:val="Strong"/>
          <w:i/>
          <w:sz w:val="22"/>
        </w:rPr>
        <w:t xml:space="preserve"> </w:t>
      </w:r>
      <w:r w:rsidR="00093E2A" w:rsidRPr="004A52B8">
        <w:rPr>
          <w:bCs/>
          <w:i/>
          <w:sz w:val="22"/>
        </w:rPr>
        <w:t xml:space="preserve">Mutation Distribution at CTCFbs Regions </w:t>
      </w:r>
      <w:r w:rsidR="00093E2A" w:rsidRPr="004A52B8">
        <w:rPr>
          <w:bCs/>
          <w:i/>
          <w:sz w:val="22"/>
          <w:lang w:eastAsia="en-AU"/>
        </w:rPr>
        <w:t>(Top Panels):</w:t>
      </w:r>
      <w:r w:rsidR="00093E2A" w:rsidRPr="004A52B8">
        <w:rPr>
          <w:i/>
          <w:sz w:val="22"/>
          <w:lang w:eastAsia="en-AU"/>
        </w:rPr>
        <w:t xml:space="preserve"> Distribution of mutation counts per megabase per sample (Count_per_Mb_per_Sample) across normalized positions (Normalized_POS) surrounding Anchor5. Data is shown for three clinical groups: </w:t>
      </w:r>
      <w:r w:rsidR="00092BFB">
        <w:rPr>
          <w:i/>
          <w:sz w:val="22"/>
          <w:lang w:eastAsia="en-AU"/>
        </w:rPr>
        <w:t xml:space="preserve">Lymph node </w:t>
      </w:r>
      <w:r w:rsidR="00093E2A" w:rsidRPr="004A52B8">
        <w:rPr>
          <w:i/>
          <w:sz w:val="22"/>
          <w:lang w:eastAsia="en-AU"/>
        </w:rPr>
        <w:t>metastasis (</w:t>
      </w:r>
      <w:r w:rsidR="00092BFB">
        <w:rPr>
          <w:i/>
          <w:sz w:val="22"/>
          <w:lang w:eastAsia="en-AU"/>
        </w:rPr>
        <w:t>LNM/</w:t>
      </w:r>
      <w:r w:rsidR="00093E2A" w:rsidRPr="004A52B8">
        <w:rPr>
          <w:i/>
          <w:sz w:val="22"/>
          <w:lang w:eastAsia="en-AU"/>
        </w:rPr>
        <w:t>Met), primary metastasis (PRI_Met), and primary non-metastasis (PRI_NonMet). The colors represent different nucleotide substitution types, as indicated in the legend. The black box highlights the prominent C&gt;T transition peak at position 3/4.</w:t>
      </w:r>
      <w:r w:rsidR="00093E2A" w:rsidRPr="004A52B8">
        <w:rPr>
          <w:i/>
          <w:sz w:val="22"/>
        </w:rPr>
        <w:t xml:space="preserve"> </w:t>
      </w:r>
      <w:r w:rsidR="00093E2A" w:rsidRPr="004A52B8">
        <w:rPr>
          <w:bCs/>
          <w:i/>
          <w:sz w:val="22"/>
          <w:lang w:eastAsia="en-AU"/>
        </w:rPr>
        <w:t>(Middle Panel):</w:t>
      </w:r>
      <w:r w:rsidR="00093E2A" w:rsidRPr="004A52B8">
        <w:rPr>
          <w:i/>
          <w:sz w:val="22"/>
          <w:lang w:eastAsia="en-AU"/>
        </w:rPr>
        <w:t xml:space="preserve"> </w:t>
      </w:r>
      <w:r w:rsidR="00093E2A" w:rsidRPr="004A52B8">
        <w:rPr>
          <w:i/>
          <w:sz w:val="22"/>
          <w:lang w:eastAsia="en-AU"/>
        </w:rPr>
        <w:lastRenderedPageBreak/>
        <w:t>Sequence logo representing the motif of Anchor5, demonstrating nucleotide frequencies at each position.</w:t>
      </w:r>
      <w:r w:rsidR="00093E2A" w:rsidRPr="004A52B8">
        <w:rPr>
          <w:i/>
          <w:sz w:val="22"/>
        </w:rPr>
        <w:t xml:space="preserve"> </w:t>
      </w:r>
      <w:r w:rsidR="00093E2A" w:rsidRPr="004A52B8">
        <w:rPr>
          <w:bCs/>
          <w:i/>
          <w:sz w:val="22"/>
          <w:lang w:eastAsia="en-AU"/>
        </w:rPr>
        <w:t>(Bottom Panels):</w:t>
      </w:r>
      <w:r w:rsidR="00093E2A" w:rsidRPr="004A52B8">
        <w:rPr>
          <w:i/>
          <w:sz w:val="22"/>
          <w:lang w:eastAsia="en-AU"/>
        </w:rPr>
        <w:t xml:space="preserve"> Distribution of mutation counts per megabase per sample (Count_per_Mb_per_Sample) across normalized positions (Normalized_POS) surrounding Anchor3, shown for the same clinical groups and substitution types as in the top panels. The black box highlights the prominent C&gt;T transition peak at position -4.</w:t>
      </w:r>
    </w:p>
    <w:p w14:paraId="034745B8" w14:textId="20A751EE" w:rsidR="00CF334B" w:rsidRPr="004A52B8" w:rsidRDefault="00CF334B" w:rsidP="13496930">
      <w:pPr>
        <w:pStyle w:val="ListParagraph"/>
        <w:spacing w:beforeAutospacing="1" w:afterAutospacing="1"/>
        <w:ind w:left="0"/>
        <w:jc w:val="both"/>
        <w:rPr>
          <w:i/>
          <w:iCs/>
          <w:sz w:val="20"/>
          <w:szCs w:val="20"/>
        </w:rPr>
      </w:pPr>
      <w:r w:rsidRPr="004A52B8">
        <w:rPr>
          <w:noProof/>
        </w:rPr>
        <w:drawing>
          <wp:anchor distT="0" distB="0" distL="114300" distR="114300" simplePos="0" relativeHeight="251669504" behindDoc="0" locked="0" layoutInCell="1" allowOverlap="1" wp14:anchorId="604A4423" wp14:editId="14C19A1B">
            <wp:simplePos x="0" y="0"/>
            <wp:positionH relativeFrom="character">
              <wp:posOffset>2167890</wp:posOffset>
            </wp:positionH>
            <wp:positionV relativeFrom="paragraph">
              <wp:posOffset>221615</wp:posOffset>
            </wp:positionV>
            <wp:extent cx="3310890" cy="1619250"/>
            <wp:effectExtent l="19050" t="19050" r="22860" b="19050"/>
            <wp:wrapSquare wrapText="bothSides"/>
            <wp:docPr id="77" name="Picture 76" descr="A graph of a number&#10;&#10;Description automatically generated">
              <a:extLst xmlns:a="http://schemas.openxmlformats.org/drawingml/2006/main">
                <a:ext uri="{FF2B5EF4-FFF2-40B4-BE49-F238E27FC236}">
                  <a16:creationId xmlns:a16="http://schemas.microsoft.com/office/drawing/2014/main" id="{8FD6B7E8-4CE2-1EE5-E71A-BFD16482ED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6" descr="A graph of a number&#10;&#10;Description automatically generated">
                      <a:extLst>
                        <a:ext uri="{FF2B5EF4-FFF2-40B4-BE49-F238E27FC236}">
                          <a16:creationId xmlns:a16="http://schemas.microsoft.com/office/drawing/2014/main" id="{8FD6B7E8-4CE2-1EE5-E71A-BFD16482ED8C}"/>
                        </a:ext>
                      </a:extLst>
                    </pic:cNvPr>
                    <pic:cNvPicPr>
                      <a:picLocks noChangeAspect="1"/>
                    </pic:cNvPicPr>
                  </pic:nvPicPr>
                  <pic:blipFill>
                    <a:blip r:embed="rId9">
                      <a:extLst>
                        <a:ext uri="{FF2B5EF4-FFF2-40B4-BE49-F238E27FC236}">
                          <a16:creationId xmlns="" xmlns:o="urn:schemas-microsoft-com:office:office" xmlns:v="urn:schemas-microsoft-com:vml" xmlns:w10="urn:schemas-microsoft-com:office:word" xmlns:w="http://schemas.openxmlformats.org/wordprocessingml/2006/main" xmlns:a14="http://schemas.microsoft.com/office/drawing/2010/main" xmlns:ask="http://schemas.microsoft.com/office/drawing/2018/sketchyshapes" xmlns:a16="http://schemas.microsoft.com/office/drawing/2014/main" id="{8FD6B7E8-4CE2-1EE5-E71A-BFD16482ED8C}"/>
                        </a:ext>
                      </a:extLst>
                    </a:blip>
                    <a:srcRect t="13996"/>
                    <a:stretch/>
                  </pic:blipFill>
                  <pic:spPr>
                    <a:xfrm>
                      <a:off x="0" y="0"/>
                      <a:ext cx="3310890" cy="161925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385C36" w:rsidRPr="00385C36">
        <w:rPr>
          <w:b/>
          <w:i/>
          <w:sz w:val="20"/>
          <w:szCs w:val="20"/>
        </w:rPr>
        <w:t xml:space="preserve"> </w:t>
      </w:r>
      <w:r w:rsidR="00385C36" w:rsidRPr="004A52B8">
        <w:rPr>
          <w:b/>
          <w:i/>
          <w:sz w:val="20"/>
          <w:szCs w:val="20"/>
        </w:rPr>
        <w:t>Supplementary</w:t>
      </w:r>
      <w:r w:rsidRPr="004A52B8">
        <w:rPr>
          <w:b/>
          <w:bCs/>
          <w:i/>
          <w:iCs/>
          <w:sz w:val="20"/>
          <w:szCs w:val="20"/>
        </w:rPr>
        <w:t xml:space="preserve"> Figure 5:</w:t>
      </w:r>
      <w:r w:rsidRPr="004A52B8">
        <w:rPr>
          <w:i/>
          <w:iCs/>
          <w:sz w:val="20"/>
          <w:szCs w:val="20"/>
        </w:rPr>
        <w:t xml:space="preserve"> This figure displays the results of a permutation test conducted to evaluate the significance of the observed association between CTCF binding site (CTCFbs) mutations and differential gene expression (DEG). The histogram represents the distribution of the number of loops with significant DEG across 1000 iterations of the permutation test.</w:t>
      </w:r>
    </w:p>
    <w:p w14:paraId="1AB7C10F" w14:textId="3771767F" w:rsidR="00093E2A" w:rsidRPr="004A52B8" w:rsidRDefault="00093E2A">
      <w:pPr>
        <w:rPr>
          <w:rFonts w:ascii="Calibri" w:hAnsi="Calibri" w:cs="Calibri"/>
          <w:i/>
          <w:lang w:eastAsia="en-AU"/>
        </w:rPr>
      </w:pPr>
    </w:p>
    <w:sectPr w:rsidR="00093E2A" w:rsidRPr="004A52B8" w:rsidSect="004A52B8">
      <w:pgSz w:w="11900" w:h="16840"/>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Raavi">
    <w:panose1 w:val="02000500000000000000"/>
    <w:charset w:val="00"/>
    <w:family w:val="swiss"/>
    <w:pitch w:val="variable"/>
    <w:sig w:usb0="00020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DC0"/>
    <w:rsid w:val="00003C01"/>
    <w:rsid w:val="00033BE2"/>
    <w:rsid w:val="0003550B"/>
    <w:rsid w:val="000370DF"/>
    <w:rsid w:val="00037840"/>
    <w:rsid w:val="00046312"/>
    <w:rsid w:val="00055DB1"/>
    <w:rsid w:val="00056AEE"/>
    <w:rsid w:val="0007198C"/>
    <w:rsid w:val="00075EB6"/>
    <w:rsid w:val="00092BFB"/>
    <w:rsid w:val="00093E2A"/>
    <w:rsid w:val="00094A2B"/>
    <w:rsid w:val="00094B91"/>
    <w:rsid w:val="000A00B9"/>
    <w:rsid w:val="000C6C3A"/>
    <w:rsid w:val="000E03EE"/>
    <w:rsid w:val="000E2D86"/>
    <w:rsid w:val="000E4C92"/>
    <w:rsid w:val="000F35CB"/>
    <w:rsid w:val="000F684B"/>
    <w:rsid w:val="00136831"/>
    <w:rsid w:val="0013683B"/>
    <w:rsid w:val="001549E6"/>
    <w:rsid w:val="00162BBE"/>
    <w:rsid w:val="00173A89"/>
    <w:rsid w:val="00195BD7"/>
    <w:rsid w:val="001A1B65"/>
    <w:rsid w:val="001A209D"/>
    <w:rsid w:val="001B2C5C"/>
    <w:rsid w:val="001D34D8"/>
    <w:rsid w:val="001E16D2"/>
    <w:rsid w:val="00201B26"/>
    <w:rsid w:val="00216B73"/>
    <w:rsid w:val="00230C85"/>
    <w:rsid w:val="002326C7"/>
    <w:rsid w:val="00243D67"/>
    <w:rsid w:val="002551DA"/>
    <w:rsid w:val="00263CCE"/>
    <w:rsid w:val="002741A9"/>
    <w:rsid w:val="00297312"/>
    <w:rsid w:val="002A1270"/>
    <w:rsid w:val="002A1FE7"/>
    <w:rsid w:val="002A617A"/>
    <w:rsid w:val="002D7D61"/>
    <w:rsid w:val="002E217C"/>
    <w:rsid w:val="002F01E1"/>
    <w:rsid w:val="00303493"/>
    <w:rsid w:val="00347085"/>
    <w:rsid w:val="00357F13"/>
    <w:rsid w:val="0036494F"/>
    <w:rsid w:val="00366354"/>
    <w:rsid w:val="003725DA"/>
    <w:rsid w:val="00383E96"/>
    <w:rsid w:val="00385C36"/>
    <w:rsid w:val="00390C20"/>
    <w:rsid w:val="00391058"/>
    <w:rsid w:val="003A46AB"/>
    <w:rsid w:val="003A6448"/>
    <w:rsid w:val="003B0507"/>
    <w:rsid w:val="003C3239"/>
    <w:rsid w:val="003F41B8"/>
    <w:rsid w:val="00417B35"/>
    <w:rsid w:val="004567D4"/>
    <w:rsid w:val="00473BB8"/>
    <w:rsid w:val="00485A93"/>
    <w:rsid w:val="004A52B8"/>
    <w:rsid w:val="004A7DC0"/>
    <w:rsid w:val="004C2108"/>
    <w:rsid w:val="004D68C7"/>
    <w:rsid w:val="00551EEC"/>
    <w:rsid w:val="00570DF6"/>
    <w:rsid w:val="00570ED5"/>
    <w:rsid w:val="005B4937"/>
    <w:rsid w:val="005B5179"/>
    <w:rsid w:val="005B63EA"/>
    <w:rsid w:val="005C6A9B"/>
    <w:rsid w:val="005D57E6"/>
    <w:rsid w:val="005F0DA1"/>
    <w:rsid w:val="00610882"/>
    <w:rsid w:val="006216D8"/>
    <w:rsid w:val="00626F2C"/>
    <w:rsid w:val="00640CDC"/>
    <w:rsid w:val="0065400B"/>
    <w:rsid w:val="00655D20"/>
    <w:rsid w:val="006631E7"/>
    <w:rsid w:val="00670822"/>
    <w:rsid w:val="00670950"/>
    <w:rsid w:val="00673F3C"/>
    <w:rsid w:val="00675E54"/>
    <w:rsid w:val="006815C1"/>
    <w:rsid w:val="006878E8"/>
    <w:rsid w:val="006933DA"/>
    <w:rsid w:val="006A60A9"/>
    <w:rsid w:val="006C5BD3"/>
    <w:rsid w:val="006D4C85"/>
    <w:rsid w:val="006F51C5"/>
    <w:rsid w:val="00701098"/>
    <w:rsid w:val="00705C64"/>
    <w:rsid w:val="00735899"/>
    <w:rsid w:val="007548BF"/>
    <w:rsid w:val="00757E2E"/>
    <w:rsid w:val="007727D9"/>
    <w:rsid w:val="007844E7"/>
    <w:rsid w:val="007905BC"/>
    <w:rsid w:val="00791763"/>
    <w:rsid w:val="00797D5B"/>
    <w:rsid w:val="007B1116"/>
    <w:rsid w:val="007D64F5"/>
    <w:rsid w:val="007F7E20"/>
    <w:rsid w:val="0084441D"/>
    <w:rsid w:val="008444E5"/>
    <w:rsid w:val="00844B83"/>
    <w:rsid w:val="008677AD"/>
    <w:rsid w:val="0087342A"/>
    <w:rsid w:val="00882645"/>
    <w:rsid w:val="008925E5"/>
    <w:rsid w:val="008A007E"/>
    <w:rsid w:val="008A1787"/>
    <w:rsid w:val="008A1EBE"/>
    <w:rsid w:val="008B080C"/>
    <w:rsid w:val="008B7D32"/>
    <w:rsid w:val="008C09ED"/>
    <w:rsid w:val="008C253E"/>
    <w:rsid w:val="008C439E"/>
    <w:rsid w:val="008C4A97"/>
    <w:rsid w:val="008C7A61"/>
    <w:rsid w:val="008E7B03"/>
    <w:rsid w:val="008F23A1"/>
    <w:rsid w:val="009174A9"/>
    <w:rsid w:val="00923361"/>
    <w:rsid w:val="00937874"/>
    <w:rsid w:val="00953C0D"/>
    <w:rsid w:val="00954A81"/>
    <w:rsid w:val="00961B5C"/>
    <w:rsid w:val="009749B1"/>
    <w:rsid w:val="009770AF"/>
    <w:rsid w:val="00984124"/>
    <w:rsid w:val="00986FD5"/>
    <w:rsid w:val="00990932"/>
    <w:rsid w:val="00990E59"/>
    <w:rsid w:val="009B22DF"/>
    <w:rsid w:val="009D66A3"/>
    <w:rsid w:val="00A02D62"/>
    <w:rsid w:val="00A16C4E"/>
    <w:rsid w:val="00A27C4D"/>
    <w:rsid w:val="00A36F8F"/>
    <w:rsid w:val="00A379E1"/>
    <w:rsid w:val="00A37B17"/>
    <w:rsid w:val="00A40E15"/>
    <w:rsid w:val="00A43BCE"/>
    <w:rsid w:val="00A61E7D"/>
    <w:rsid w:val="00A77146"/>
    <w:rsid w:val="00A93259"/>
    <w:rsid w:val="00AB3C44"/>
    <w:rsid w:val="00AB47DC"/>
    <w:rsid w:val="00AD3A29"/>
    <w:rsid w:val="00AD6E6D"/>
    <w:rsid w:val="00AE3268"/>
    <w:rsid w:val="00AF67ED"/>
    <w:rsid w:val="00B12891"/>
    <w:rsid w:val="00B43DB2"/>
    <w:rsid w:val="00B44624"/>
    <w:rsid w:val="00B83F50"/>
    <w:rsid w:val="00BA7862"/>
    <w:rsid w:val="00BB6A56"/>
    <w:rsid w:val="00BC4CF8"/>
    <w:rsid w:val="00BD0E6C"/>
    <w:rsid w:val="00BF7138"/>
    <w:rsid w:val="00C0425D"/>
    <w:rsid w:val="00C057D0"/>
    <w:rsid w:val="00C06A6F"/>
    <w:rsid w:val="00C50415"/>
    <w:rsid w:val="00C518D5"/>
    <w:rsid w:val="00C67CFC"/>
    <w:rsid w:val="00C72CB7"/>
    <w:rsid w:val="00C72EA3"/>
    <w:rsid w:val="00C73192"/>
    <w:rsid w:val="00CB161E"/>
    <w:rsid w:val="00CC52EF"/>
    <w:rsid w:val="00CD0ACE"/>
    <w:rsid w:val="00CE5D7A"/>
    <w:rsid w:val="00CF334B"/>
    <w:rsid w:val="00CF5821"/>
    <w:rsid w:val="00D1235C"/>
    <w:rsid w:val="00D43A96"/>
    <w:rsid w:val="00D52228"/>
    <w:rsid w:val="00D53995"/>
    <w:rsid w:val="00D64E46"/>
    <w:rsid w:val="00D81D9E"/>
    <w:rsid w:val="00D82984"/>
    <w:rsid w:val="00DB6727"/>
    <w:rsid w:val="00DC567C"/>
    <w:rsid w:val="00DD08E3"/>
    <w:rsid w:val="00DD1808"/>
    <w:rsid w:val="00DD2BF0"/>
    <w:rsid w:val="00DD2F3C"/>
    <w:rsid w:val="00DD58AE"/>
    <w:rsid w:val="00E23840"/>
    <w:rsid w:val="00E31193"/>
    <w:rsid w:val="00E5557D"/>
    <w:rsid w:val="00E57F8C"/>
    <w:rsid w:val="00E70512"/>
    <w:rsid w:val="00E74232"/>
    <w:rsid w:val="00EB3924"/>
    <w:rsid w:val="00EB65F0"/>
    <w:rsid w:val="00ED1EB6"/>
    <w:rsid w:val="00ED46E8"/>
    <w:rsid w:val="00F21FE5"/>
    <w:rsid w:val="00F22900"/>
    <w:rsid w:val="00F52129"/>
    <w:rsid w:val="00F5716D"/>
    <w:rsid w:val="00F77F8D"/>
    <w:rsid w:val="00F90868"/>
    <w:rsid w:val="00FA63EF"/>
    <w:rsid w:val="00FB2610"/>
    <w:rsid w:val="00FC22CB"/>
    <w:rsid w:val="00FC7D98"/>
    <w:rsid w:val="00FD3458"/>
    <w:rsid w:val="00FD4BFB"/>
    <w:rsid w:val="00FD7E93"/>
    <w:rsid w:val="00FF15BD"/>
    <w:rsid w:val="00FF74A9"/>
    <w:rsid w:val="00FF7F89"/>
    <w:rsid w:val="13496930"/>
    <w:rsid w:val="1D408641"/>
    <w:rsid w:val="4CA15E23"/>
    <w:rsid w:val="55C5DD89"/>
    <w:rsid w:val="6A455D1A"/>
  </w:rsids>
  <m:mathPr>
    <m:mathFont m:val="Cambria Math"/>
    <m:brkBin m:val="before"/>
    <m:brkBinSub m:val="--"/>
    <m:smallFrac m:val="0"/>
    <m:dispDef/>
    <m:lMargin m:val="0"/>
    <m:rMargin m:val="0"/>
    <m:defJc m:val="centerGroup"/>
    <m:wrapIndent m:val="1440"/>
    <m:intLim m:val="subSup"/>
    <m:naryLim m:val="undOvr"/>
  </m:mathPr>
  <w:themeFontLang w:val="en-AU"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821A0"/>
  <w15:chartTrackingRefBased/>
  <w15:docId w15:val="{BBE934E9-B719-8642-A5DB-8FA2C544D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7D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7D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A7D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7D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7D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7DC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7DC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7DC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7DC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7D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7D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4A7D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7D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7D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7D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7D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7D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7DC0"/>
    <w:rPr>
      <w:rFonts w:eastAsiaTheme="majorEastAsia" w:cstheme="majorBidi"/>
      <w:color w:val="272727" w:themeColor="text1" w:themeTint="D8"/>
    </w:rPr>
  </w:style>
  <w:style w:type="paragraph" w:styleId="Title">
    <w:name w:val="Title"/>
    <w:basedOn w:val="Normal"/>
    <w:next w:val="Normal"/>
    <w:link w:val="TitleChar"/>
    <w:uiPriority w:val="10"/>
    <w:qFormat/>
    <w:rsid w:val="004A7DC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7D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7DC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7D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7DC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A7DC0"/>
    <w:rPr>
      <w:i/>
      <w:iCs/>
      <w:color w:val="404040" w:themeColor="text1" w:themeTint="BF"/>
    </w:rPr>
  </w:style>
  <w:style w:type="paragraph" w:styleId="ListParagraph">
    <w:name w:val="List Paragraph"/>
    <w:basedOn w:val="Normal"/>
    <w:uiPriority w:val="34"/>
    <w:qFormat/>
    <w:rsid w:val="004A7DC0"/>
    <w:pPr>
      <w:ind w:left="720"/>
      <w:contextualSpacing/>
    </w:pPr>
  </w:style>
  <w:style w:type="character" w:styleId="IntenseEmphasis">
    <w:name w:val="Intense Emphasis"/>
    <w:basedOn w:val="DefaultParagraphFont"/>
    <w:uiPriority w:val="21"/>
    <w:qFormat/>
    <w:rsid w:val="004A7DC0"/>
    <w:rPr>
      <w:i/>
      <w:iCs/>
      <w:color w:val="0F4761" w:themeColor="accent1" w:themeShade="BF"/>
    </w:rPr>
  </w:style>
  <w:style w:type="paragraph" w:styleId="IntenseQuote">
    <w:name w:val="Intense Quote"/>
    <w:basedOn w:val="Normal"/>
    <w:next w:val="Normal"/>
    <w:link w:val="IntenseQuoteChar"/>
    <w:uiPriority w:val="30"/>
    <w:qFormat/>
    <w:rsid w:val="004A7D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7DC0"/>
    <w:rPr>
      <w:i/>
      <w:iCs/>
      <w:color w:val="0F4761" w:themeColor="accent1" w:themeShade="BF"/>
    </w:rPr>
  </w:style>
  <w:style w:type="character" w:styleId="IntenseReference">
    <w:name w:val="Intense Reference"/>
    <w:basedOn w:val="DefaultParagraphFont"/>
    <w:uiPriority w:val="32"/>
    <w:qFormat/>
    <w:rsid w:val="004A7DC0"/>
    <w:rPr>
      <w:b/>
      <w:bCs/>
      <w:smallCaps/>
      <w:color w:val="0F4761" w:themeColor="accent1" w:themeShade="BF"/>
      <w:spacing w:val="5"/>
    </w:rPr>
  </w:style>
  <w:style w:type="character" w:styleId="Strong">
    <w:name w:val="Strong"/>
    <w:basedOn w:val="DefaultParagraphFont"/>
    <w:uiPriority w:val="22"/>
    <w:qFormat/>
    <w:rsid w:val="00093E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477</Words>
  <Characters>2722</Characters>
  <Application>Microsoft Office Word</Application>
  <DocSecurity>0</DocSecurity>
  <Lines>22</Lines>
  <Paragraphs>6</Paragraphs>
  <ScaleCrop>false</ScaleCrop>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Amarinder Thind (Illawarra Shoalhaven LHD)</dc:creator>
  <cp:keywords/>
  <dc:description/>
  <cp:lastModifiedBy>Amarinder Thind</cp:lastModifiedBy>
  <cp:revision>24</cp:revision>
  <dcterms:created xsi:type="dcterms:W3CDTF">2025-04-24T05:39:00Z</dcterms:created>
  <dcterms:modified xsi:type="dcterms:W3CDTF">2025-05-21T04:38:00Z</dcterms:modified>
</cp:coreProperties>
</file>