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2AC5" w14:textId="15B4893F" w:rsidR="00C91566" w:rsidRPr="00917F90" w:rsidRDefault="00DA21EA" w:rsidP="00FD5CA7">
      <w:pPr>
        <w:rPr>
          <w:b/>
          <w:bCs/>
        </w:rPr>
      </w:pPr>
      <w:r w:rsidRPr="00917F90">
        <w:rPr>
          <w:b/>
          <w:bCs/>
        </w:rPr>
        <w:t>S3</w:t>
      </w:r>
      <w:r w:rsidR="00677A1C" w:rsidRPr="00917F90">
        <w:rPr>
          <w:b/>
          <w:bCs/>
        </w:rPr>
        <w:t xml:space="preserve"> Data </w:t>
      </w:r>
      <w:r w:rsidR="00FD5CA7" w:rsidRPr="00917F90">
        <w:rPr>
          <w:b/>
          <w:bCs/>
        </w:rPr>
        <w:t>d</w:t>
      </w:r>
      <w:r w:rsidR="00677A1C" w:rsidRPr="00917F90">
        <w:rPr>
          <w:b/>
          <w:bCs/>
        </w:rPr>
        <w:t>ictionary</w:t>
      </w:r>
    </w:p>
    <w:p w14:paraId="79B0778A" w14:textId="77777777" w:rsidR="00677A1C" w:rsidRPr="00917F90" w:rsidRDefault="00677A1C" w:rsidP="007616D1">
      <w:pPr>
        <w:spacing w:after="0"/>
        <w:rPr>
          <w:rFonts w:cstheme="minorHAnsi"/>
        </w:rPr>
      </w:pPr>
    </w:p>
    <w:p w14:paraId="01E6E06C" w14:textId="127299CA" w:rsidR="00677A1C" w:rsidRPr="00917F90" w:rsidRDefault="009E13FB" w:rsidP="009E13FB">
      <w:pPr>
        <w:spacing w:after="0"/>
        <w:rPr>
          <w:b/>
          <w:bCs/>
        </w:rPr>
      </w:pPr>
      <w:r w:rsidRPr="00917F90">
        <w:rPr>
          <w:rFonts w:cstheme="minorHAnsi"/>
          <w:b/>
          <w:bCs/>
        </w:rPr>
        <w:t xml:space="preserve">S3 </w:t>
      </w:r>
      <w:r w:rsidR="00677A1C" w:rsidRPr="00917F90">
        <w:rPr>
          <w:rFonts w:cstheme="minorHAnsi"/>
          <w:b/>
          <w:bCs/>
        </w:rPr>
        <w:t>Table 1</w:t>
      </w:r>
      <w:r w:rsidRPr="00917F90">
        <w:rPr>
          <w:rFonts w:cstheme="minorHAnsi"/>
          <w:b/>
          <w:bCs/>
        </w:rPr>
        <w:t>.</w:t>
      </w:r>
      <w:r w:rsidR="00677A1C" w:rsidRPr="00917F90">
        <w:rPr>
          <w:rFonts w:cstheme="minorHAnsi"/>
          <w:b/>
          <w:bCs/>
        </w:rPr>
        <w:t xml:space="preserve"> </w:t>
      </w:r>
      <w:r w:rsidRPr="00917F90">
        <w:t xml:space="preserve">HES records: </w:t>
      </w:r>
      <w:r w:rsidR="00677A1C" w:rsidRPr="00917F90">
        <w:rPr>
          <w:rFonts w:cstheme="minorHAnsi"/>
        </w:rPr>
        <w:t xml:space="preserve">Outpatient </w:t>
      </w:r>
      <w:r w:rsidRPr="00917F90">
        <w:rPr>
          <w:rFonts w:cstheme="minorHAnsi"/>
        </w:rPr>
        <w:t>c</w:t>
      </w:r>
      <w:r w:rsidR="00677A1C" w:rsidRPr="00917F90">
        <w:rPr>
          <w:rFonts w:cstheme="minorHAnsi"/>
        </w:rPr>
        <w:t>are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5245"/>
      </w:tblGrid>
      <w:tr w:rsidR="00677A1C" w:rsidRPr="00621F61" w14:paraId="6A28C34B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113C494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59" w:type="dxa"/>
            <w:noWrap/>
            <w:hideMark/>
          </w:tcPr>
          <w:p w14:paraId="50D50669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5245" w:type="dxa"/>
            <w:noWrap/>
            <w:hideMark/>
          </w:tcPr>
          <w:p w14:paraId="1763C928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 Description</w:t>
            </w:r>
          </w:p>
        </w:tc>
      </w:tr>
      <w:tr w:rsidR="00677A1C" w:rsidRPr="00621F61" w14:paraId="7D7D7DD8" w14:textId="77777777" w:rsidTr="007616D1">
        <w:trPr>
          <w:trHeight w:val="20"/>
        </w:trPr>
        <w:tc>
          <w:tcPr>
            <w:tcW w:w="2689" w:type="dxa"/>
            <w:noWrap/>
          </w:tcPr>
          <w:p w14:paraId="38D90431" w14:textId="77777777" w:rsidR="00677A1C" w:rsidRPr="00621F61" w:rsidRDefault="00677A1C" w:rsidP="009A62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Treatment Date</w:t>
            </w:r>
          </w:p>
        </w:tc>
        <w:tc>
          <w:tcPr>
            <w:tcW w:w="1559" w:type="dxa"/>
            <w:noWrap/>
          </w:tcPr>
          <w:p w14:paraId="78828D83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245" w:type="dxa"/>
            <w:noWrap/>
          </w:tcPr>
          <w:p w14:paraId="437BBFE5" w14:textId="77777777" w:rsidR="00677A1C" w:rsidRPr="00621F61" w:rsidRDefault="00677A1C" w:rsidP="009A62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The date patient received outpatient care</w:t>
            </w:r>
          </w:p>
        </w:tc>
      </w:tr>
      <w:tr w:rsidR="007616D1" w:rsidRPr="00621F61" w14:paraId="61D1974E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5251B683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Provider organisation code </w:t>
            </w:r>
          </w:p>
        </w:tc>
        <w:tc>
          <w:tcPr>
            <w:tcW w:w="1559" w:type="dxa"/>
            <w:noWrap/>
            <w:hideMark/>
          </w:tcPr>
          <w:p w14:paraId="23D3A0EC" w14:textId="0FA93974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245" w:type="dxa"/>
            <w:noWrap/>
            <w:hideMark/>
          </w:tcPr>
          <w:p w14:paraId="08D155B4" w14:textId="4E55834A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21F61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621F61">
              <w:rPr>
                <w:rFonts w:cstheme="minorHAnsi"/>
                <w:sz w:val="20"/>
                <w:szCs w:val="20"/>
              </w:rPr>
              <w:t xml:space="preserve"> 7A2 </w:t>
            </w:r>
            <w:r w:rsidRPr="007616D1">
              <w:rPr>
                <w:rFonts w:cstheme="minorHAnsi"/>
                <w:sz w:val="20"/>
                <w:szCs w:val="20"/>
              </w:rPr>
              <w:t>= Hywel Dda University Health Board</w:t>
            </w:r>
          </w:p>
        </w:tc>
      </w:tr>
      <w:tr w:rsidR="00677A1C" w:rsidRPr="00621F61" w14:paraId="0A677370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40A67F0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1559" w:type="dxa"/>
            <w:noWrap/>
            <w:hideMark/>
          </w:tcPr>
          <w:p w14:paraId="4E63F46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  <w:hideMark/>
          </w:tcPr>
          <w:p w14:paraId="6BA3EA7B" w14:textId="5AF2A6EC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Age in years at</w:t>
            </w:r>
            <w:r w:rsidR="00F361CD">
              <w:rPr>
                <w:rFonts w:cstheme="minorHAnsi"/>
                <w:sz w:val="20"/>
                <w:szCs w:val="20"/>
              </w:rPr>
              <w:t xml:space="preserve"> appointment</w:t>
            </w:r>
          </w:p>
        </w:tc>
      </w:tr>
      <w:tr w:rsidR="00677A1C" w:rsidRPr="00621F61" w14:paraId="77BBB7C5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3DC441D1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Patient sex</w:t>
            </w:r>
          </w:p>
        </w:tc>
        <w:tc>
          <w:tcPr>
            <w:tcW w:w="1559" w:type="dxa"/>
            <w:noWrap/>
            <w:hideMark/>
          </w:tcPr>
          <w:p w14:paraId="2D1DB64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67E5D8D1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male</w:t>
            </w:r>
          </w:p>
        </w:tc>
      </w:tr>
      <w:tr w:rsidR="00677A1C" w:rsidRPr="00621F61" w14:paraId="71F2C6FE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7785E558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66BC46A5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5FEF148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female</w:t>
            </w:r>
          </w:p>
        </w:tc>
      </w:tr>
      <w:tr w:rsidR="00677A1C" w:rsidRPr="00621F61" w14:paraId="1697749D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72416D19" w14:textId="57A540F1" w:rsidR="00677A1C" w:rsidRPr="00621F61" w:rsidRDefault="00677A1C" w:rsidP="00621F6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Consultation Method</w:t>
            </w:r>
          </w:p>
        </w:tc>
        <w:tc>
          <w:tcPr>
            <w:tcW w:w="1559" w:type="dxa"/>
            <w:noWrap/>
            <w:hideMark/>
          </w:tcPr>
          <w:p w14:paraId="53033BD0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3E1A6B69" w14:textId="77777777" w:rsidR="00677A1C" w:rsidRPr="00621F61" w:rsidRDefault="00677A1C" w:rsidP="009A6284">
            <w:pPr>
              <w:rPr>
                <w:rFonts w:cstheme="minorHAnsi"/>
                <w:color w:val="000000"/>
              </w:rPr>
            </w:pPr>
            <w:r w:rsidRPr="00621F61">
              <w:rPr>
                <w:rFonts w:cstheme="minorHAnsi"/>
                <w:color w:val="000000"/>
                <w:sz w:val="20"/>
                <w:szCs w:val="20"/>
              </w:rPr>
              <w:t>Face to face appointment</w:t>
            </w:r>
          </w:p>
        </w:tc>
      </w:tr>
      <w:tr w:rsidR="00677A1C" w:rsidRPr="00621F61" w14:paraId="1E67FFAA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4B6159DD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70C1614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45BDD382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Virtual clinical appointment (patient contact)</w:t>
            </w:r>
          </w:p>
        </w:tc>
      </w:tr>
      <w:tr w:rsidR="00677A1C" w:rsidRPr="00621F61" w14:paraId="2A6C514A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16C7E3A5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D74DDF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245" w:type="dxa"/>
            <w:noWrap/>
            <w:hideMark/>
          </w:tcPr>
          <w:p w14:paraId="577479A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Virtual clinical review (non-patient contact)</w:t>
            </w:r>
          </w:p>
        </w:tc>
      </w:tr>
      <w:tr w:rsidR="00677A1C" w:rsidRPr="00621F61" w14:paraId="0C72B96A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18775841" w14:textId="79B93B35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Care professional main speciality</w:t>
            </w:r>
          </w:p>
        </w:tc>
        <w:tc>
          <w:tcPr>
            <w:tcW w:w="1559" w:type="dxa"/>
            <w:noWrap/>
          </w:tcPr>
          <w:p w14:paraId="35817D5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</w:tcPr>
          <w:p w14:paraId="43B1861C" w14:textId="65C8F6E3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21F61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621F61">
              <w:rPr>
                <w:rFonts w:cstheme="minorHAnsi"/>
                <w:sz w:val="20"/>
                <w:szCs w:val="20"/>
              </w:rPr>
              <w:t xml:space="preserve"> 420 = Paediatrics</w:t>
            </w:r>
          </w:p>
        </w:tc>
      </w:tr>
      <w:tr w:rsidR="00677A1C" w:rsidRPr="00621F61" w14:paraId="47AEA532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283FD7C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Primary procedure </w:t>
            </w:r>
          </w:p>
        </w:tc>
        <w:tc>
          <w:tcPr>
            <w:tcW w:w="1559" w:type="dxa"/>
            <w:noWrap/>
          </w:tcPr>
          <w:p w14:paraId="3446811B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245" w:type="dxa"/>
            <w:noWrap/>
          </w:tcPr>
          <w:p w14:paraId="0FD3B40A" w14:textId="69B44AC3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7A1C" w:rsidRPr="00621F61" w14:paraId="544819ED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1204468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Secondary procedure </w:t>
            </w:r>
          </w:p>
        </w:tc>
        <w:tc>
          <w:tcPr>
            <w:tcW w:w="1559" w:type="dxa"/>
            <w:noWrap/>
          </w:tcPr>
          <w:p w14:paraId="4912A14D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245" w:type="dxa"/>
            <w:noWrap/>
          </w:tcPr>
          <w:p w14:paraId="6AC2F544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D178C56" w14:textId="77777777" w:rsidR="00677A1C" w:rsidRPr="00621F61" w:rsidRDefault="00677A1C" w:rsidP="00677A1C">
      <w:pPr>
        <w:spacing w:after="0"/>
        <w:jc w:val="both"/>
        <w:rPr>
          <w:rFonts w:cstheme="minorHAnsi"/>
        </w:rPr>
      </w:pPr>
    </w:p>
    <w:p w14:paraId="3B6FA705" w14:textId="433F8670" w:rsidR="00677A1C" w:rsidRPr="009E13FB" w:rsidRDefault="009E13FB" w:rsidP="00677A1C">
      <w:pPr>
        <w:spacing w:after="0"/>
        <w:jc w:val="both"/>
        <w:rPr>
          <w:rFonts w:cstheme="minorHAnsi"/>
          <w:sz w:val="24"/>
          <w:szCs w:val="24"/>
        </w:rPr>
      </w:pPr>
      <w:r w:rsidRPr="009E13FB">
        <w:rPr>
          <w:rFonts w:cstheme="minorHAnsi"/>
          <w:b/>
          <w:bCs/>
          <w:sz w:val="24"/>
          <w:szCs w:val="24"/>
        </w:rPr>
        <w:t xml:space="preserve">S3 </w:t>
      </w:r>
      <w:r w:rsidR="00677A1C" w:rsidRPr="009E13FB">
        <w:rPr>
          <w:rFonts w:cstheme="minorHAnsi"/>
          <w:b/>
          <w:bCs/>
          <w:sz w:val="24"/>
          <w:szCs w:val="24"/>
        </w:rPr>
        <w:t>Table 2</w:t>
      </w:r>
      <w:r w:rsidRPr="009E13FB">
        <w:rPr>
          <w:rFonts w:cstheme="minorHAnsi"/>
          <w:b/>
          <w:bCs/>
          <w:sz w:val="24"/>
          <w:szCs w:val="24"/>
        </w:rPr>
        <w:t>.</w:t>
      </w:r>
      <w:r w:rsidR="00677A1C" w:rsidRPr="009E13FB">
        <w:rPr>
          <w:rFonts w:cstheme="minorHAnsi"/>
          <w:b/>
          <w:bCs/>
          <w:sz w:val="24"/>
          <w:szCs w:val="24"/>
        </w:rPr>
        <w:t xml:space="preserve"> </w:t>
      </w:r>
      <w:r w:rsidRPr="009E13FB">
        <w:rPr>
          <w:sz w:val="24"/>
          <w:szCs w:val="24"/>
        </w:rPr>
        <w:t>HES records</w:t>
      </w:r>
      <w:r w:rsidRPr="009E13FB">
        <w:rPr>
          <w:rFonts w:cstheme="minorHAnsi"/>
          <w:sz w:val="24"/>
          <w:szCs w:val="24"/>
        </w:rPr>
        <w:t xml:space="preserve">: </w:t>
      </w:r>
      <w:r w:rsidR="00677A1C" w:rsidRPr="009E13FB">
        <w:rPr>
          <w:rFonts w:cstheme="minorHAnsi"/>
          <w:sz w:val="24"/>
          <w:szCs w:val="24"/>
        </w:rPr>
        <w:t xml:space="preserve">Admitted </w:t>
      </w:r>
      <w:r w:rsidRPr="009E13FB">
        <w:rPr>
          <w:rFonts w:cstheme="minorHAnsi"/>
          <w:sz w:val="24"/>
          <w:szCs w:val="24"/>
        </w:rPr>
        <w:t>p</w:t>
      </w:r>
      <w:r w:rsidR="00677A1C" w:rsidRPr="009E13FB">
        <w:rPr>
          <w:rFonts w:cstheme="minorHAnsi"/>
          <w:sz w:val="24"/>
          <w:szCs w:val="24"/>
        </w:rPr>
        <w:t xml:space="preserve">atient </w:t>
      </w:r>
      <w:r w:rsidRPr="009E13FB">
        <w:rPr>
          <w:rFonts w:cstheme="minorHAnsi"/>
          <w:sz w:val="24"/>
          <w:szCs w:val="24"/>
        </w:rPr>
        <w:t>c</w:t>
      </w:r>
      <w:r w:rsidR="00677A1C" w:rsidRPr="009E13FB">
        <w:rPr>
          <w:rFonts w:cstheme="minorHAnsi"/>
          <w:sz w:val="24"/>
          <w:szCs w:val="24"/>
        </w:rPr>
        <w:t>are (</w:t>
      </w:r>
      <w:r w:rsidR="00621F61" w:rsidRPr="009E13FB">
        <w:rPr>
          <w:rFonts w:cstheme="minorHAnsi"/>
          <w:sz w:val="24"/>
          <w:szCs w:val="24"/>
        </w:rPr>
        <w:t>i</w:t>
      </w:r>
      <w:r w:rsidR="00677A1C" w:rsidRPr="009E13FB">
        <w:rPr>
          <w:rFonts w:cstheme="minorHAnsi"/>
          <w:sz w:val="24"/>
          <w:szCs w:val="24"/>
        </w:rPr>
        <w:t xml:space="preserve">npatient </w:t>
      </w:r>
      <w:r w:rsidR="00621F61" w:rsidRPr="009E13FB">
        <w:rPr>
          <w:rFonts w:cstheme="minorHAnsi"/>
          <w:sz w:val="24"/>
          <w:szCs w:val="24"/>
        </w:rPr>
        <w:t>s</w:t>
      </w:r>
      <w:r w:rsidR="00677A1C" w:rsidRPr="009E13FB">
        <w:rPr>
          <w:rFonts w:cstheme="minorHAnsi"/>
          <w:sz w:val="24"/>
          <w:szCs w:val="24"/>
        </w:rPr>
        <w:t>tays)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1559"/>
        <w:gridCol w:w="5245"/>
      </w:tblGrid>
      <w:tr w:rsidR="00677A1C" w:rsidRPr="00621F61" w14:paraId="065086AF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45673452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559" w:type="dxa"/>
            <w:noWrap/>
            <w:hideMark/>
          </w:tcPr>
          <w:p w14:paraId="234F0EE6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5245" w:type="dxa"/>
            <w:noWrap/>
            <w:hideMark/>
          </w:tcPr>
          <w:p w14:paraId="2AFB509E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 Description</w:t>
            </w:r>
          </w:p>
        </w:tc>
      </w:tr>
      <w:tr w:rsidR="00677A1C" w:rsidRPr="00621F61" w14:paraId="3A3F65F4" w14:textId="77777777" w:rsidTr="007616D1">
        <w:trPr>
          <w:trHeight w:val="20"/>
        </w:trPr>
        <w:tc>
          <w:tcPr>
            <w:tcW w:w="2689" w:type="dxa"/>
            <w:noWrap/>
          </w:tcPr>
          <w:p w14:paraId="5A4B8D6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Admission Date</w:t>
            </w:r>
          </w:p>
        </w:tc>
        <w:tc>
          <w:tcPr>
            <w:tcW w:w="1559" w:type="dxa"/>
            <w:noWrap/>
          </w:tcPr>
          <w:p w14:paraId="1F7CEAEF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245" w:type="dxa"/>
            <w:noWrap/>
          </w:tcPr>
          <w:p w14:paraId="164D9AF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The date patient was admitted</w:t>
            </w:r>
          </w:p>
        </w:tc>
      </w:tr>
      <w:tr w:rsidR="007616D1" w:rsidRPr="00621F61" w14:paraId="5557F877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2D370228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Provider organisation code </w:t>
            </w:r>
          </w:p>
        </w:tc>
        <w:tc>
          <w:tcPr>
            <w:tcW w:w="1559" w:type="dxa"/>
            <w:noWrap/>
            <w:hideMark/>
          </w:tcPr>
          <w:p w14:paraId="325A7B12" w14:textId="76516529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245" w:type="dxa"/>
            <w:noWrap/>
            <w:hideMark/>
          </w:tcPr>
          <w:p w14:paraId="54302067" w14:textId="61CB82D7" w:rsidR="007616D1" w:rsidRPr="007616D1" w:rsidRDefault="007616D1" w:rsidP="007616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16D1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7616D1">
              <w:rPr>
                <w:rFonts w:cstheme="minorHAnsi"/>
                <w:sz w:val="20"/>
                <w:szCs w:val="20"/>
              </w:rPr>
              <w:t xml:space="preserve"> 7A2 = Hywel Dda University Health Board</w:t>
            </w:r>
          </w:p>
        </w:tc>
      </w:tr>
      <w:tr w:rsidR="00677A1C" w:rsidRPr="00621F61" w14:paraId="66BE137D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2AE3E066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Hospital provider spell number</w:t>
            </w:r>
          </w:p>
        </w:tc>
        <w:tc>
          <w:tcPr>
            <w:tcW w:w="1559" w:type="dxa"/>
            <w:noWrap/>
            <w:hideMark/>
          </w:tcPr>
          <w:p w14:paraId="03246381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245" w:type="dxa"/>
            <w:noWrap/>
            <w:hideMark/>
          </w:tcPr>
          <w:p w14:paraId="2609F30D" w14:textId="26357E63" w:rsidR="00677A1C" w:rsidRPr="00621F61" w:rsidRDefault="00621F61" w:rsidP="009A62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677A1C" w:rsidRPr="00621F61">
              <w:rPr>
                <w:rFonts w:cstheme="minorHAnsi"/>
                <w:sz w:val="20"/>
                <w:szCs w:val="20"/>
              </w:rPr>
              <w:t xml:space="preserve">ncrypted </w:t>
            </w:r>
            <w:r>
              <w:rPr>
                <w:rFonts w:cstheme="minorHAnsi"/>
                <w:sz w:val="20"/>
                <w:szCs w:val="20"/>
              </w:rPr>
              <w:t>and</w:t>
            </w:r>
            <w:r w:rsidR="00677A1C" w:rsidRPr="00621F61">
              <w:rPr>
                <w:rFonts w:cstheme="minorHAnsi"/>
                <w:sz w:val="20"/>
                <w:szCs w:val="20"/>
              </w:rPr>
              <w:t xml:space="preserve"> unique by spell</w:t>
            </w:r>
          </w:p>
        </w:tc>
      </w:tr>
      <w:tr w:rsidR="00677A1C" w:rsidRPr="00621F61" w14:paraId="23448E25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24FE841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Episode number</w:t>
            </w:r>
          </w:p>
        </w:tc>
        <w:tc>
          <w:tcPr>
            <w:tcW w:w="1559" w:type="dxa"/>
            <w:noWrap/>
            <w:hideMark/>
          </w:tcPr>
          <w:p w14:paraId="531F475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  <w:hideMark/>
          </w:tcPr>
          <w:p w14:paraId="7200C9A4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 = first in spell, 2 = second in spell etc</w:t>
            </w:r>
          </w:p>
        </w:tc>
      </w:tr>
      <w:tr w:rsidR="00677A1C" w:rsidRPr="00621F61" w14:paraId="17E25BCA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180DD4C5" w14:textId="45D3F101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1559" w:type="dxa"/>
            <w:noWrap/>
            <w:hideMark/>
          </w:tcPr>
          <w:p w14:paraId="65A84D4D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  <w:hideMark/>
          </w:tcPr>
          <w:p w14:paraId="04AA649C" w14:textId="2A597B1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Age in years at </w:t>
            </w:r>
            <w:r w:rsidR="00621F61">
              <w:rPr>
                <w:rFonts w:cstheme="minorHAnsi"/>
                <w:sz w:val="20"/>
                <w:szCs w:val="20"/>
              </w:rPr>
              <w:t>admission</w:t>
            </w:r>
            <w:r w:rsidRPr="00621F61">
              <w:rPr>
                <w:rFonts w:cstheme="minorHAnsi"/>
                <w:sz w:val="20"/>
                <w:szCs w:val="20"/>
              </w:rPr>
              <w:t xml:space="preserve"> date rounded down</w:t>
            </w:r>
          </w:p>
        </w:tc>
      </w:tr>
      <w:tr w:rsidR="00677A1C" w:rsidRPr="00621F61" w14:paraId="1A27CFD7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61E800D0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Patient sex</w:t>
            </w:r>
          </w:p>
        </w:tc>
        <w:tc>
          <w:tcPr>
            <w:tcW w:w="1559" w:type="dxa"/>
            <w:noWrap/>
            <w:hideMark/>
          </w:tcPr>
          <w:p w14:paraId="1C7420C1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2E1942E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male</w:t>
            </w:r>
          </w:p>
        </w:tc>
      </w:tr>
      <w:tr w:rsidR="00677A1C" w:rsidRPr="00621F61" w14:paraId="16A437AF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045D28A0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4EC3A7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758BFE35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female</w:t>
            </w:r>
          </w:p>
        </w:tc>
      </w:tr>
      <w:tr w:rsidR="00677A1C" w:rsidRPr="00621F61" w14:paraId="5CBF48F2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2A967D47" w14:textId="1645F648" w:rsidR="00677A1C" w:rsidRPr="00621F61" w:rsidRDefault="00677A1C" w:rsidP="00621F6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Patient classification</w:t>
            </w:r>
          </w:p>
        </w:tc>
        <w:tc>
          <w:tcPr>
            <w:tcW w:w="1559" w:type="dxa"/>
            <w:noWrap/>
            <w:hideMark/>
          </w:tcPr>
          <w:p w14:paraId="6A50CEB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noWrap/>
            <w:hideMark/>
          </w:tcPr>
          <w:p w14:paraId="3917AFC7" w14:textId="2128B517" w:rsidR="00677A1C" w:rsidRPr="00621F61" w:rsidRDefault="00677A1C" w:rsidP="009A6284">
            <w:pPr>
              <w:rPr>
                <w:rFonts w:cstheme="minorHAnsi"/>
                <w:color w:val="000000"/>
              </w:rPr>
            </w:pPr>
            <w:r w:rsidRPr="00621F61">
              <w:rPr>
                <w:rFonts w:cstheme="minorHAnsi"/>
                <w:color w:val="000000"/>
                <w:sz w:val="20"/>
                <w:szCs w:val="20"/>
              </w:rPr>
              <w:t xml:space="preserve">Inpatient </w:t>
            </w:r>
            <w:r w:rsidR="00621F61">
              <w:rPr>
                <w:rFonts w:cstheme="minorHAnsi"/>
                <w:color w:val="000000"/>
                <w:sz w:val="20"/>
                <w:szCs w:val="20"/>
              </w:rPr>
              <w:t>o</w:t>
            </w:r>
            <w:r w:rsidRPr="00621F61">
              <w:rPr>
                <w:rFonts w:cstheme="minorHAnsi"/>
                <w:color w:val="000000"/>
                <w:sz w:val="20"/>
                <w:szCs w:val="20"/>
              </w:rPr>
              <w:t>rdinary admission</w:t>
            </w:r>
          </w:p>
        </w:tc>
      </w:tr>
      <w:tr w:rsidR="00677A1C" w:rsidRPr="00621F61" w14:paraId="546BBCCB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315E5C15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0BFF6840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245" w:type="dxa"/>
            <w:noWrap/>
            <w:hideMark/>
          </w:tcPr>
          <w:p w14:paraId="604F11D3" w14:textId="77A944D7" w:rsidR="00677A1C" w:rsidRPr="00621F61" w:rsidRDefault="00621F61" w:rsidP="009A62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677A1C" w:rsidRPr="00621F61">
              <w:rPr>
                <w:rFonts w:cstheme="minorHAnsi"/>
                <w:sz w:val="20"/>
                <w:szCs w:val="20"/>
              </w:rPr>
              <w:t>ay case admission</w:t>
            </w:r>
          </w:p>
        </w:tc>
      </w:tr>
      <w:tr w:rsidR="00677A1C" w:rsidRPr="00621F61" w14:paraId="27F1C066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44369C3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Source of admission (hospital provider spell)</w:t>
            </w:r>
          </w:p>
        </w:tc>
        <w:tc>
          <w:tcPr>
            <w:tcW w:w="1559" w:type="dxa"/>
            <w:noWrap/>
            <w:hideMark/>
          </w:tcPr>
          <w:p w14:paraId="7E1426CC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245" w:type="dxa"/>
            <w:noWrap/>
            <w:hideMark/>
          </w:tcPr>
          <w:p w14:paraId="6621561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usual place of residence</w:t>
            </w:r>
          </w:p>
        </w:tc>
      </w:tr>
      <w:tr w:rsidR="00677A1C" w:rsidRPr="00621F61" w14:paraId="43AA36A0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006EDA6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37BE6B7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5245" w:type="dxa"/>
            <w:noWrap/>
            <w:hideMark/>
          </w:tcPr>
          <w:p w14:paraId="1F2E0608" w14:textId="56F92F91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NHS other hospital provider - ward for general patients or the younger physically disabled or A&amp;E department</w:t>
            </w:r>
          </w:p>
        </w:tc>
      </w:tr>
      <w:tr w:rsidR="00677A1C" w:rsidRPr="00621F61" w14:paraId="0EC89815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73FE6A2B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Admission method (hospital provider spell)</w:t>
            </w:r>
          </w:p>
        </w:tc>
        <w:tc>
          <w:tcPr>
            <w:tcW w:w="1559" w:type="dxa"/>
            <w:noWrap/>
            <w:hideMark/>
          </w:tcPr>
          <w:p w14:paraId="023BEFDB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245" w:type="dxa"/>
            <w:noWrap/>
            <w:hideMark/>
          </w:tcPr>
          <w:p w14:paraId="506D5E54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Elective Admission: Waiting list</w:t>
            </w:r>
          </w:p>
        </w:tc>
      </w:tr>
      <w:tr w:rsidR="00677A1C" w:rsidRPr="00621F61" w14:paraId="746D33B9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407F26C2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68FEC51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5245" w:type="dxa"/>
            <w:noWrap/>
            <w:hideMark/>
          </w:tcPr>
          <w:p w14:paraId="10DC747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Emergency Admission: Accident and emergency or dental casualty department of the Health Care Provider</w:t>
            </w:r>
          </w:p>
        </w:tc>
      </w:tr>
      <w:tr w:rsidR="00677A1C" w:rsidRPr="00621F61" w14:paraId="77D62065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1C664462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1A5A26F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5245" w:type="dxa"/>
            <w:noWrap/>
            <w:hideMark/>
          </w:tcPr>
          <w:p w14:paraId="0F959086" w14:textId="6D5A0998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Emergency Admission: General practitioner: after a request for immediate admission has been made direct to a Hospital Provider, </w:t>
            </w:r>
            <w:proofErr w:type="spellStart"/>
            <w:r w:rsidRPr="00621F61">
              <w:rPr>
                <w:rFonts w:cstheme="minorHAnsi"/>
                <w:sz w:val="20"/>
                <w:szCs w:val="20"/>
              </w:rPr>
              <w:t>ie</w:t>
            </w:r>
            <w:proofErr w:type="spellEnd"/>
            <w:r w:rsidRPr="00621F61">
              <w:rPr>
                <w:rFonts w:cstheme="minorHAnsi"/>
                <w:sz w:val="20"/>
                <w:szCs w:val="20"/>
              </w:rPr>
              <w:t xml:space="preserve"> not through a Bed bureau, by a GENERAL PRACTITIONER or deputy</w:t>
            </w:r>
          </w:p>
        </w:tc>
      </w:tr>
      <w:tr w:rsidR="00677A1C" w:rsidRPr="00621F61" w14:paraId="4BF589D0" w14:textId="77777777" w:rsidTr="007616D1">
        <w:trPr>
          <w:trHeight w:val="20"/>
        </w:trPr>
        <w:tc>
          <w:tcPr>
            <w:tcW w:w="2689" w:type="dxa"/>
            <w:vMerge/>
            <w:noWrap/>
          </w:tcPr>
          <w:p w14:paraId="6CA5B9F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CDC8C41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5245" w:type="dxa"/>
            <w:noWrap/>
          </w:tcPr>
          <w:p w14:paraId="23FD6AC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Emergency Admission: Other means</w:t>
            </w:r>
          </w:p>
        </w:tc>
      </w:tr>
      <w:tr w:rsidR="00677A1C" w:rsidRPr="00621F61" w14:paraId="6E4AB63F" w14:textId="77777777" w:rsidTr="007616D1">
        <w:trPr>
          <w:trHeight w:val="20"/>
        </w:trPr>
        <w:tc>
          <w:tcPr>
            <w:tcW w:w="2689" w:type="dxa"/>
            <w:vMerge/>
            <w:noWrap/>
          </w:tcPr>
          <w:p w14:paraId="25B4DBA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65AC559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5245" w:type="dxa"/>
            <w:noWrap/>
          </w:tcPr>
          <w:p w14:paraId="0351A59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Other Admission: Transfer of any admitted PATIENT from other Hospital Provider other than in an emergency</w:t>
            </w:r>
          </w:p>
        </w:tc>
      </w:tr>
      <w:tr w:rsidR="007616D1" w:rsidRPr="00621F61" w14:paraId="23A4B705" w14:textId="77777777" w:rsidTr="007616D1">
        <w:trPr>
          <w:trHeight w:val="20"/>
        </w:trPr>
        <w:tc>
          <w:tcPr>
            <w:tcW w:w="2689" w:type="dxa"/>
            <w:vMerge w:val="restart"/>
            <w:noWrap/>
            <w:hideMark/>
          </w:tcPr>
          <w:p w14:paraId="089B4C99" w14:textId="425AC153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Discharge destination</w:t>
            </w:r>
          </w:p>
        </w:tc>
        <w:tc>
          <w:tcPr>
            <w:tcW w:w="1559" w:type="dxa"/>
            <w:noWrap/>
          </w:tcPr>
          <w:p w14:paraId="48D647C6" w14:textId="319F48D0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5245" w:type="dxa"/>
            <w:noWrap/>
          </w:tcPr>
          <w:p w14:paraId="5F8C47A0" w14:textId="46B93472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Usual place of residence</w:t>
            </w:r>
          </w:p>
        </w:tc>
      </w:tr>
      <w:tr w:rsidR="007616D1" w:rsidRPr="00621F61" w14:paraId="47BD904D" w14:textId="77777777" w:rsidTr="007616D1">
        <w:trPr>
          <w:trHeight w:val="20"/>
        </w:trPr>
        <w:tc>
          <w:tcPr>
            <w:tcW w:w="2689" w:type="dxa"/>
            <w:vMerge/>
            <w:noWrap/>
            <w:hideMark/>
          </w:tcPr>
          <w:p w14:paraId="010DF1E5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0F057EB7" w14:textId="4A1DCDEF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5245" w:type="dxa"/>
            <w:noWrap/>
          </w:tcPr>
          <w:p w14:paraId="60DADF83" w14:textId="74721F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NHS other hospital provider </w:t>
            </w:r>
          </w:p>
        </w:tc>
      </w:tr>
      <w:tr w:rsidR="007616D1" w:rsidRPr="00621F61" w14:paraId="2FD945E8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4E55A4C0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Discharge method </w:t>
            </w:r>
          </w:p>
        </w:tc>
        <w:tc>
          <w:tcPr>
            <w:tcW w:w="1559" w:type="dxa"/>
            <w:noWrap/>
          </w:tcPr>
          <w:p w14:paraId="469E3E3B" w14:textId="592E09AC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245" w:type="dxa"/>
            <w:noWrap/>
          </w:tcPr>
          <w:p w14:paraId="3FC6272A" w14:textId="5635E59F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Patient discharged on clinical advice or with clinical consent</w:t>
            </w:r>
          </w:p>
        </w:tc>
      </w:tr>
      <w:tr w:rsidR="007616D1" w:rsidRPr="00621F61" w14:paraId="022657EE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3D5BB258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Episode length of stay</w:t>
            </w:r>
          </w:p>
        </w:tc>
        <w:tc>
          <w:tcPr>
            <w:tcW w:w="1559" w:type="dxa"/>
            <w:noWrap/>
          </w:tcPr>
          <w:p w14:paraId="01D5A460" w14:textId="6CB6F24E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</w:tcPr>
          <w:p w14:paraId="7C0FB882" w14:textId="417A899B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end date(episode)-start date(episode)</w:t>
            </w:r>
          </w:p>
        </w:tc>
      </w:tr>
      <w:tr w:rsidR="007616D1" w:rsidRPr="00621F61" w14:paraId="4798CE30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140803E1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Care professional main speciality </w:t>
            </w:r>
          </w:p>
        </w:tc>
        <w:tc>
          <w:tcPr>
            <w:tcW w:w="1559" w:type="dxa"/>
            <w:noWrap/>
          </w:tcPr>
          <w:p w14:paraId="12898DFC" w14:textId="14FDCF1C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</w:tcPr>
          <w:p w14:paraId="4218AC5A" w14:textId="29FA98AF" w:rsidR="007616D1" w:rsidRPr="00431055" w:rsidRDefault="007616D1" w:rsidP="007616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616D1" w:rsidRPr="00621F61" w14:paraId="5B665143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4C2AEAF1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Activity treatment function </w:t>
            </w:r>
          </w:p>
        </w:tc>
        <w:tc>
          <w:tcPr>
            <w:tcW w:w="1559" w:type="dxa"/>
            <w:noWrap/>
          </w:tcPr>
          <w:p w14:paraId="258401C9" w14:textId="67FF29CE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245" w:type="dxa"/>
            <w:noWrap/>
          </w:tcPr>
          <w:p w14:paraId="7DFC8424" w14:textId="0DC02919" w:rsidR="007616D1" w:rsidRPr="00431055" w:rsidRDefault="007616D1" w:rsidP="007616D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616D1" w:rsidRPr="00621F61" w14:paraId="349AE5BD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7F485EAA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Primary diagnosis </w:t>
            </w:r>
          </w:p>
        </w:tc>
        <w:tc>
          <w:tcPr>
            <w:tcW w:w="1559" w:type="dxa"/>
            <w:noWrap/>
          </w:tcPr>
          <w:p w14:paraId="16648C1B" w14:textId="42F3AC5C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ICD10</w:t>
            </w:r>
          </w:p>
        </w:tc>
        <w:tc>
          <w:tcPr>
            <w:tcW w:w="5245" w:type="dxa"/>
            <w:noWrap/>
          </w:tcPr>
          <w:p w14:paraId="2A5FB476" w14:textId="59411D65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D1" w:rsidRPr="00621F61" w14:paraId="68BE2426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356C5974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Secondary diagnosis </w:t>
            </w:r>
          </w:p>
        </w:tc>
        <w:tc>
          <w:tcPr>
            <w:tcW w:w="1559" w:type="dxa"/>
            <w:noWrap/>
          </w:tcPr>
          <w:p w14:paraId="18B09028" w14:textId="19282E2D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ICD10</w:t>
            </w:r>
          </w:p>
        </w:tc>
        <w:tc>
          <w:tcPr>
            <w:tcW w:w="5245" w:type="dxa"/>
            <w:noWrap/>
          </w:tcPr>
          <w:p w14:paraId="48972047" w14:textId="3580254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Up to 98 possible codes</w:t>
            </w:r>
          </w:p>
        </w:tc>
      </w:tr>
      <w:tr w:rsidR="007616D1" w:rsidRPr="00621F61" w14:paraId="175FDF10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617DB645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Primary procedure </w:t>
            </w:r>
          </w:p>
        </w:tc>
        <w:tc>
          <w:tcPr>
            <w:tcW w:w="1559" w:type="dxa"/>
            <w:noWrap/>
          </w:tcPr>
          <w:p w14:paraId="2EC6678F" w14:textId="1022DFB9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OPCS4</w:t>
            </w:r>
          </w:p>
        </w:tc>
        <w:tc>
          <w:tcPr>
            <w:tcW w:w="5245" w:type="dxa"/>
            <w:noWrap/>
          </w:tcPr>
          <w:p w14:paraId="0C7FA169" w14:textId="7A6963D3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6D1" w:rsidRPr="00621F61" w14:paraId="69802FB7" w14:textId="77777777" w:rsidTr="007616D1">
        <w:trPr>
          <w:trHeight w:val="20"/>
        </w:trPr>
        <w:tc>
          <w:tcPr>
            <w:tcW w:w="2689" w:type="dxa"/>
            <w:noWrap/>
            <w:hideMark/>
          </w:tcPr>
          <w:p w14:paraId="53FD18D7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Secondary procedure </w:t>
            </w:r>
          </w:p>
        </w:tc>
        <w:tc>
          <w:tcPr>
            <w:tcW w:w="1559" w:type="dxa"/>
            <w:noWrap/>
          </w:tcPr>
          <w:p w14:paraId="2FAEDA81" w14:textId="24ED8843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OPCS4</w:t>
            </w:r>
          </w:p>
        </w:tc>
        <w:tc>
          <w:tcPr>
            <w:tcW w:w="5245" w:type="dxa"/>
            <w:noWrap/>
          </w:tcPr>
          <w:p w14:paraId="62015E01" w14:textId="479133D4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Up to 98 possible codes</w:t>
            </w:r>
          </w:p>
        </w:tc>
      </w:tr>
    </w:tbl>
    <w:p w14:paraId="75B37A23" w14:textId="77777777" w:rsidR="00677A1C" w:rsidRPr="00621F61" w:rsidRDefault="00677A1C" w:rsidP="00677A1C">
      <w:pPr>
        <w:jc w:val="both"/>
        <w:rPr>
          <w:rFonts w:cstheme="minorHAnsi"/>
        </w:rPr>
      </w:pPr>
    </w:p>
    <w:p w14:paraId="016177D2" w14:textId="35241C03" w:rsidR="00677A1C" w:rsidRPr="009E13FB" w:rsidRDefault="009E13FB" w:rsidP="00677A1C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9E13FB">
        <w:rPr>
          <w:rFonts w:cstheme="minorHAnsi"/>
          <w:b/>
          <w:bCs/>
          <w:sz w:val="24"/>
          <w:szCs w:val="24"/>
        </w:rPr>
        <w:t xml:space="preserve">S3 </w:t>
      </w:r>
      <w:r w:rsidR="00677A1C" w:rsidRPr="009E13FB">
        <w:rPr>
          <w:rFonts w:cstheme="minorHAnsi"/>
          <w:b/>
          <w:bCs/>
          <w:sz w:val="24"/>
          <w:szCs w:val="24"/>
        </w:rPr>
        <w:t>Table 3</w:t>
      </w:r>
      <w:r w:rsidRPr="009E13FB">
        <w:rPr>
          <w:rFonts w:cstheme="minorHAnsi"/>
          <w:b/>
          <w:bCs/>
          <w:sz w:val="24"/>
          <w:szCs w:val="24"/>
        </w:rPr>
        <w:t>.</w:t>
      </w:r>
      <w:r w:rsidR="00677A1C" w:rsidRPr="009E13FB">
        <w:rPr>
          <w:rFonts w:cstheme="minorHAnsi"/>
          <w:b/>
          <w:bCs/>
          <w:sz w:val="24"/>
          <w:szCs w:val="24"/>
        </w:rPr>
        <w:t xml:space="preserve"> </w:t>
      </w:r>
      <w:r w:rsidRPr="009E13FB">
        <w:rPr>
          <w:sz w:val="24"/>
          <w:szCs w:val="24"/>
        </w:rPr>
        <w:t>HES records</w:t>
      </w:r>
      <w:r w:rsidRPr="009E13FB">
        <w:rPr>
          <w:rFonts w:cstheme="minorHAnsi"/>
          <w:sz w:val="24"/>
          <w:szCs w:val="24"/>
        </w:rPr>
        <w:t xml:space="preserve">: </w:t>
      </w:r>
      <w:r w:rsidR="00677A1C" w:rsidRPr="009E13FB">
        <w:rPr>
          <w:rFonts w:cstheme="minorHAnsi"/>
          <w:sz w:val="24"/>
          <w:szCs w:val="24"/>
        </w:rPr>
        <w:t xml:space="preserve">Accident and </w:t>
      </w:r>
      <w:r w:rsidRPr="009E13FB">
        <w:rPr>
          <w:rFonts w:cstheme="minorHAnsi"/>
          <w:sz w:val="24"/>
          <w:szCs w:val="24"/>
        </w:rPr>
        <w:t>e</w:t>
      </w:r>
      <w:r w:rsidR="00677A1C" w:rsidRPr="009E13FB">
        <w:rPr>
          <w:rFonts w:cstheme="minorHAnsi"/>
          <w:sz w:val="24"/>
          <w:szCs w:val="24"/>
        </w:rPr>
        <w:t>mergency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359"/>
        <w:gridCol w:w="1334"/>
        <w:gridCol w:w="5687"/>
      </w:tblGrid>
      <w:tr w:rsidR="00677A1C" w:rsidRPr="00621F61" w14:paraId="7269931F" w14:textId="77777777" w:rsidTr="009A6284">
        <w:trPr>
          <w:trHeight w:val="20"/>
        </w:trPr>
        <w:tc>
          <w:tcPr>
            <w:tcW w:w="2359" w:type="dxa"/>
            <w:noWrap/>
            <w:hideMark/>
          </w:tcPr>
          <w:p w14:paraId="133E645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305" w:type="dxa"/>
            <w:noWrap/>
            <w:hideMark/>
          </w:tcPr>
          <w:p w14:paraId="5B9D4303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</w:t>
            </w:r>
          </w:p>
        </w:tc>
        <w:tc>
          <w:tcPr>
            <w:tcW w:w="5687" w:type="dxa"/>
            <w:noWrap/>
            <w:hideMark/>
          </w:tcPr>
          <w:p w14:paraId="3B20BFC4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b/>
                <w:bCs/>
                <w:sz w:val="20"/>
                <w:szCs w:val="20"/>
              </w:rPr>
              <w:t>Value Description</w:t>
            </w:r>
          </w:p>
        </w:tc>
      </w:tr>
      <w:tr w:rsidR="00677A1C" w:rsidRPr="00621F61" w14:paraId="6EB76DA8" w14:textId="77777777" w:rsidTr="009A6284">
        <w:trPr>
          <w:trHeight w:val="20"/>
        </w:trPr>
        <w:tc>
          <w:tcPr>
            <w:tcW w:w="2359" w:type="dxa"/>
            <w:noWrap/>
          </w:tcPr>
          <w:p w14:paraId="573E130E" w14:textId="77777777" w:rsidR="00677A1C" w:rsidRPr="00621F61" w:rsidRDefault="00677A1C" w:rsidP="009A62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Administrative Arrival Date</w:t>
            </w:r>
          </w:p>
        </w:tc>
        <w:tc>
          <w:tcPr>
            <w:tcW w:w="1305" w:type="dxa"/>
            <w:noWrap/>
          </w:tcPr>
          <w:p w14:paraId="036DF79A" w14:textId="77777777" w:rsidR="00677A1C" w:rsidRPr="00621F61" w:rsidRDefault="00677A1C" w:rsidP="009A62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Date</w:t>
            </w:r>
          </w:p>
        </w:tc>
        <w:tc>
          <w:tcPr>
            <w:tcW w:w="5687" w:type="dxa"/>
            <w:noWrap/>
          </w:tcPr>
          <w:p w14:paraId="2CC0778F" w14:textId="77777777" w:rsidR="00677A1C" w:rsidRPr="00621F61" w:rsidRDefault="00677A1C" w:rsidP="009A62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The date patient arrived at A&amp;E</w:t>
            </w:r>
          </w:p>
        </w:tc>
      </w:tr>
      <w:tr w:rsidR="007616D1" w:rsidRPr="00621F61" w14:paraId="3AD81D8E" w14:textId="77777777" w:rsidTr="009A6284">
        <w:trPr>
          <w:trHeight w:val="20"/>
        </w:trPr>
        <w:tc>
          <w:tcPr>
            <w:tcW w:w="2359" w:type="dxa"/>
            <w:noWrap/>
            <w:hideMark/>
          </w:tcPr>
          <w:p w14:paraId="0DF6B587" w14:textId="77777777" w:rsidR="007616D1" w:rsidRPr="00621F61" w:rsidRDefault="007616D1" w:rsidP="007616D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Provider organisation code </w:t>
            </w:r>
          </w:p>
        </w:tc>
        <w:tc>
          <w:tcPr>
            <w:tcW w:w="1305" w:type="dxa"/>
            <w:noWrap/>
            <w:hideMark/>
          </w:tcPr>
          <w:p w14:paraId="4C9EBA4F" w14:textId="49B086C2" w:rsidR="007616D1" w:rsidRPr="00621F61" w:rsidRDefault="007616D1" w:rsidP="007616D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alphanumeric</w:t>
            </w:r>
          </w:p>
        </w:tc>
        <w:tc>
          <w:tcPr>
            <w:tcW w:w="5687" w:type="dxa"/>
            <w:noWrap/>
            <w:hideMark/>
          </w:tcPr>
          <w:p w14:paraId="005E405F" w14:textId="49E996D0" w:rsidR="007616D1" w:rsidRPr="007616D1" w:rsidRDefault="007616D1" w:rsidP="007616D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616D1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7616D1">
              <w:rPr>
                <w:rFonts w:cstheme="minorHAnsi"/>
                <w:sz w:val="20"/>
                <w:szCs w:val="20"/>
              </w:rPr>
              <w:t xml:space="preserve"> 7A2 = Hywel Dda University Health Board</w:t>
            </w:r>
          </w:p>
        </w:tc>
      </w:tr>
      <w:tr w:rsidR="00677A1C" w:rsidRPr="00621F61" w14:paraId="3282BDA2" w14:textId="77777777" w:rsidTr="009A6284">
        <w:trPr>
          <w:trHeight w:val="20"/>
        </w:trPr>
        <w:tc>
          <w:tcPr>
            <w:tcW w:w="2359" w:type="dxa"/>
            <w:noWrap/>
            <w:hideMark/>
          </w:tcPr>
          <w:p w14:paraId="0FF2AE6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Age</w:t>
            </w:r>
          </w:p>
        </w:tc>
        <w:tc>
          <w:tcPr>
            <w:tcW w:w="1305" w:type="dxa"/>
            <w:noWrap/>
            <w:hideMark/>
          </w:tcPr>
          <w:p w14:paraId="6C1950CD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687" w:type="dxa"/>
            <w:noWrap/>
            <w:hideMark/>
          </w:tcPr>
          <w:p w14:paraId="223DA8D5" w14:textId="214B770A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Age in years at A&amp;E</w:t>
            </w:r>
          </w:p>
        </w:tc>
      </w:tr>
      <w:tr w:rsidR="00677A1C" w:rsidRPr="00621F61" w14:paraId="1E0064AB" w14:textId="77777777" w:rsidTr="009A6284">
        <w:trPr>
          <w:trHeight w:val="20"/>
        </w:trPr>
        <w:tc>
          <w:tcPr>
            <w:tcW w:w="2359" w:type="dxa"/>
            <w:vMerge w:val="restart"/>
            <w:noWrap/>
            <w:hideMark/>
          </w:tcPr>
          <w:p w14:paraId="5CB1C9E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Patient sex</w:t>
            </w:r>
          </w:p>
        </w:tc>
        <w:tc>
          <w:tcPr>
            <w:tcW w:w="1305" w:type="dxa"/>
            <w:noWrap/>
            <w:hideMark/>
          </w:tcPr>
          <w:p w14:paraId="2B9BFC96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87" w:type="dxa"/>
            <w:noWrap/>
            <w:hideMark/>
          </w:tcPr>
          <w:p w14:paraId="1A35D385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male</w:t>
            </w:r>
          </w:p>
        </w:tc>
      </w:tr>
      <w:tr w:rsidR="00677A1C" w:rsidRPr="00621F61" w14:paraId="64725EB1" w14:textId="77777777" w:rsidTr="009A6284">
        <w:trPr>
          <w:trHeight w:val="20"/>
        </w:trPr>
        <w:tc>
          <w:tcPr>
            <w:tcW w:w="2359" w:type="dxa"/>
            <w:vMerge/>
            <w:noWrap/>
            <w:hideMark/>
          </w:tcPr>
          <w:p w14:paraId="1022B550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1E92729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87" w:type="dxa"/>
            <w:noWrap/>
            <w:hideMark/>
          </w:tcPr>
          <w:p w14:paraId="7342CAF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female</w:t>
            </w:r>
          </w:p>
        </w:tc>
      </w:tr>
      <w:tr w:rsidR="00677A1C" w:rsidRPr="00621F61" w14:paraId="0465704B" w14:textId="77777777" w:rsidTr="009A6284">
        <w:trPr>
          <w:trHeight w:val="20"/>
        </w:trPr>
        <w:tc>
          <w:tcPr>
            <w:tcW w:w="2359" w:type="dxa"/>
            <w:vMerge w:val="restart"/>
            <w:noWrap/>
            <w:hideMark/>
          </w:tcPr>
          <w:p w14:paraId="4FFA7C58" w14:textId="7D049327" w:rsidR="00677A1C" w:rsidRPr="00621F61" w:rsidRDefault="00677A1C" w:rsidP="00621F61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Consultation Method</w:t>
            </w:r>
          </w:p>
        </w:tc>
        <w:tc>
          <w:tcPr>
            <w:tcW w:w="1305" w:type="dxa"/>
            <w:noWrap/>
            <w:hideMark/>
          </w:tcPr>
          <w:p w14:paraId="57811116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87" w:type="dxa"/>
            <w:noWrap/>
            <w:hideMark/>
          </w:tcPr>
          <w:p w14:paraId="0D796006" w14:textId="77777777" w:rsidR="00677A1C" w:rsidRPr="00621F61" w:rsidRDefault="00677A1C" w:rsidP="009A6284">
            <w:pPr>
              <w:rPr>
                <w:rFonts w:cstheme="minorHAnsi"/>
                <w:color w:val="000000"/>
              </w:rPr>
            </w:pPr>
            <w:r w:rsidRPr="00621F61">
              <w:rPr>
                <w:rFonts w:cstheme="minorHAnsi"/>
                <w:color w:val="000000"/>
                <w:sz w:val="20"/>
                <w:szCs w:val="20"/>
              </w:rPr>
              <w:t>Face to face appointment</w:t>
            </w:r>
          </w:p>
        </w:tc>
      </w:tr>
      <w:tr w:rsidR="00677A1C" w:rsidRPr="00621F61" w14:paraId="17960FBB" w14:textId="77777777" w:rsidTr="009A6284">
        <w:trPr>
          <w:trHeight w:val="20"/>
        </w:trPr>
        <w:tc>
          <w:tcPr>
            <w:tcW w:w="2359" w:type="dxa"/>
            <w:vMerge/>
            <w:noWrap/>
            <w:hideMark/>
          </w:tcPr>
          <w:p w14:paraId="4291A3D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6848657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87" w:type="dxa"/>
            <w:noWrap/>
            <w:hideMark/>
          </w:tcPr>
          <w:p w14:paraId="3C68B28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Virtual clinical appointment (patient contact)</w:t>
            </w:r>
          </w:p>
        </w:tc>
      </w:tr>
      <w:tr w:rsidR="00677A1C" w:rsidRPr="00621F61" w14:paraId="0E8DD25B" w14:textId="77777777" w:rsidTr="009A6284">
        <w:trPr>
          <w:trHeight w:val="20"/>
        </w:trPr>
        <w:tc>
          <w:tcPr>
            <w:tcW w:w="2359" w:type="dxa"/>
            <w:vMerge/>
            <w:noWrap/>
            <w:hideMark/>
          </w:tcPr>
          <w:p w14:paraId="72E64A3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  <w:hideMark/>
          </w:tcPr>
          <w:p w14:paraId="07BA9659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87" w:type="dxa"/>
            <w:noWrap/>
            <w:hideMark/>
          </w:tcPr>
          <w:p w14:paraId="1C2690CD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Virtual clinical review (non-patient contact)</w:t>
            </w:r>
          </w:p>
        </w:tc>
      </w:tr>
      <w:tr w:rsidR="00677A1C" w:rsidRPr="00621F61" w14:paraId="0665106B" w14:textId="77777777" w:rsidTr="009A6284">
        <w:trPr>
          <w:trHeight w:val="20"/>
        </w:trPr>
        <w:tc>
          <w:tcPr>
            <w:tcW w:w="2359" w:type="dxa"/>
            <w:noWrap/>
            <w:hideMark/>
          </w:tcPr>
          <w:p w14:paraId="71CBA447" w14:textId="338E36E8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Care professional main speciality</w:t>
            </w:r>
          </w:p>
        </w:tc>
        <w:tc>
          <w:tcPr>
            <w:tcW w:w="1305" w:type="dxa"/>
            <w:noWrap/>
          </w:tcPr>
          <w:p w14:paraId="2C6A32F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687" w:type="dxa"/>
            <w:noWrap/>
          </w:tcPr>
          <w:p w14:paraId="01326BFA" w14:textId="4B1F738F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21F61">
              <w:rPr>
                <w:rFonts w:cstheme="minorHAnsi"/>
                <w:sz w:val="20"/>
                <w:szCs w:val="20"/>
              </w:rPr>
              <w:t>Eg</w:t>
            </w:r>
            <w:proofErr w:type="spellEnd"/>
            <w:r w:rsidRPr="00621F61">
              <w:rPr>
                <w:rFonts w:cstheme="minorHAnsi"/>
                <w:sz w:val="20"/>
                <w:szCs w:val="20"/>
              </w:rPr>
              <w:t xml:space="preserve"> 420 = Paediatrics</w:t>
            </w:r>
          </w:p>
        </w:tc>
      </w:tr>
      <w:tr w:rsidR="00677A1C" w:rsidRPr="00621F61" w14:paraId="7D13635B" w14:textId="77777777" w:rsidTr="009A6284">
        <w:trPr>
          <w:trHeight w:val="20"/>
        </w:trPr>
        <w:tc>
          <w:tcPr>
            <w:tcW w:w="2359" w:type="dxa"/>
            <w:vMerge w:val="restart"/>
            <w:noWrap/>
          </w:tcPr>
          <w:p w14:paraId="6E338DF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Attendance group</w:t>
            </w:r>
          </w:p>
        </w:tc>
        <w:tc>
          <w:tcPr>
            <w:tcW w:w="1305" w:type="dxa"/>
            <w:noWrap/>
          </w:tcPr>
          <w:p w14:paraId="4ADB4CA8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5687" w:type="dxa"/>
            <w:noWrap/>
          </w:tcPr>
          <w:p w14:paraId="5A189B8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Accident</w:t>
            </w:r>
          </w:p>
        </w:tc>
      </w:tr>
      <w:tr w:rsidR="00677A1C" w:rsidRPr="00621F61" w14:paraId="677C2E62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6BD787AD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467CEE29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5687" w:type="dxa"/>
            <w:noWrap/>
          </w:tcPr>
          <w:p w14:paraId="41C96D8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Deliberate Self-Harm</w:t>
            </w:r>
          </w:p>
        </w:tc>
      </w:tr>
      <w:tr w:rsidR="00677A1C" w:rsidRPr="00621F61" w14:paraId="24060009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220C4AFB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4CA54FCE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5687" w:type="dxa"/>
            <w:noWrap/>
          </w:tcPr>
          <w:p w14:paraId="7CF37CC1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Undetermined intent</w:t>
            </w:r>
          </w:p>
        </w:tc>
      </w:tr>
      <w:tr w:rsidR="00677A1C" w:rsidRPr="00621F61" w14:paraId="6C0BE73D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153C1FEE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3EA1ABF4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687" w:type="dxa"/>
            <w:noWrap/>
          </w:tcPr>
          <w:p w14:paraId="5B4E75D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Non-trauma</w:t>
            </w:r>
          </w:p>
        </w:tc>
      </w:tr>
      <w:tr w:rsidR="00677A1C" w:rsidRPr="00621F61" w14:paraId="143F8048" w14:textId="77777777" w:rsidTr="009A6284">
        <w:trPr>
          <w:trHeight w:val="20"/>
        </w:trPr>
        <w:tc>
          <w:tcPr>
            <w:tcW w:w="2359" w:type="dxa"/>
            <w:noWrap/>
          </w:tcPr>
          <w:p w14:paraId="1FB2EE19" w14:textId="77777777" w:rsidR="00677A1C" w:rsidRPr="00CB4C1B" w:rsidRDefault="00677A1C" w:rsidP="009A628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B4C1B">
              <w:rPr>
                <w:rFonts w:cstheme="minorHAnsi"/>
                <w:color w:val="000000" w:themeColor="text1"/>
                <w:sz w:val="20"/>
                <w:szCs w:val="20"/>
              </w:rPr>
              <w:t>A&amp;E Investigation</w:t>
            </w:r>
          </w:p>
        </w:tc>
        <w:tc>
          <w:tcPr>
            <w:tcW w:w="1305" w:type="dxa"/>
            <w:noWrap/>
          </w:tcPr>
          <w:p w14:paraId="2E64EDF4" w14:textId="6973FB62" w:rsidR="00677A1C" w:rsidRPr="00621F61" w:rsidRDefault="00CB4C1B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integer</w:t>
            </w:r>
          </w:p>
        </w:tc>
        <w:tc>
          <w:tcPr>
            <w:tcW w:w="5687" w:type="dxa"/>
            <w:noWrap/>
          </w:tcPr>
          <w:p w14:paraId="71097E4F" w14:textId="3019A0D3" w:rsidR="00677A1C" w:rsidRPr="00621F61" w:rsidRDefault="00CB4C1B" w:rsidP="009A6284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1=X-ray plain film, 2=electrocardiogram etc</w:t>
            </w:r>
          </w:p>
        </w:tc>
      </w:tr>
      <w:tr w:rsidR="00677A1C" w:rsidRPr="00621F61" w14:paraId="180F4989" w14:textId="77777777" w:rsidTr="009A6284">
        <w:trPr>
          <w:trHeight w:val="20"/>
        </w:trPr>
        <w:tc>
          <w:tcPr>
            <w:tcW w:w="2359" w:type="dxa"/>
            <w:vMerge w:val="restart"/>
            <w:noWrap/>
          </w:tcPr>
          <w:p w14:paraId="63290D11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A&amp;E Treatment</w:t>
            </w:r>
          </w:p>
        </w:tc>
        <w:tc>
          <w:tcPr>
            <w:tcW w:w="1305" w:type="dxa"/>
            <w:noWrap/>
          </w:tcPr>
          <w:p w14:paraId="38E726E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01Z</w:t>
            </w:r>
          </w:p>
        </w:tc>
        <w:tc>
          <w:tcPr>
            <w:tcW w:w="5687" w:type="dxa"/>
            <w:noWrap/>
          </w:tcPr>
          <w:p w14:paraId="16CB808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Dressing</w:t>
            </w:r>
          </w:p>
        </w:tc>
      </w:tr>
      <w:tr w:rsidR="00677A1C" w:rsidRPr="00621F61" w14:paraId="4C2F1FDB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1D84DBF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0CF792B6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02Z</w:t>
            </w:r>
          </w:p>
        </w:tc>
        <w:tc>
          <w:tcPr>
            <w:tcW w:w="5687" w:type="dxa"/>
            <w:noWrap/>
          </w:tcPr>
          <w:p w14:paraId="10C40CE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Bandage / Support</w:t>
            </w:r>
          </w:p>
        </w:tc>
      </w:tr>
      <w:tr w:rsidR="00677A1C" w:rsidRPr="00621F61" w14:paraId="704F5132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46E5E1A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7C0EE6B5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11A</w:t>
            </w:r>
          </w:p>
        </w:tc>
        <w:tc>
          <w:tcPr>
            <w:tcW w:w="5687" w:type="dxa"/>
            <w:noWrap/>
          </w:tcPr>
          <w:p w14:paraId="62B5B78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Guidance/ Advice Only</w:t>
            </w:r>
          </w:p>
        </w:tc>
      </w:tr>
      <w:tr w:rsidR="00677A1C" w:rsidRPr="00621F61" w14:paraId="33230BFF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2DEAD51D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24FE8D6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99A</w:t>
            </w:r>
          </w:p>
        </w:tc>
        <w:tc>
          <w:tcPr>
            <w:tcW w:w="5687" w:type="dxa"/>
            <w:noWrap/>
          </w:tcPr>
          <w:p w14:paraId="5482A5E4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No Treatment Required</w:t>
            </w:r>
          </w:p>
        </w:tc>
      </w:tr>
      <w:tr w:rsidR="00677A1C" w:rsidRPr="00621F61" w14:paraId="3AD16044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62900C41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4B32F28E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99Z</w:t>
            </w:r>
          </w:p>
        </w:tc>
        <w:tc>
          <w:tcPr>
            <w:tcW w:w="5687" w:type="dxa"/>
            <w:noWrap/>
          </w:tcPr>
          <w:p w14:paraId="7C8FFC5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Unstated</w:t>
            </w:r>
          </w:p>
        </w:tc>
      </w:tr>
      <w:tr w:rsidR="00677A1C" w:rsidRPr="00621F61" w14:paraId="13325CED" w14:textId="77777777" w:rsidTr="009A6284">
        <w:trPr>
          <w:trHeight w:val="20"/>
        </w:trPr>
        <w:tc>
          <w:tcPr>
            <w:tcW w:w="2359" w:type="dxa"/>
            <w:vMerge w:val="restart"/>
            <w:noWrap/>
          </w:tcPr>
          <w:p w14:paraId="0D66DA83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Outcome of Attendance</w:t>
            </w:r>
          </w:p>
        </w:tc>
        <w:tc>
          <w:tcPr>
            <w:tcW w:w="1305" w:type="dxa"/>
            <w:noWrap/>
          </w:tcPr>
          <w:p w14:paraId="3DD983D8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87" w:type="dxa"/>
            <w:noWrap/>
          </w:tcPr>
          <w:p w14:paraId="5CA3CE68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Admitted - Same Hospital</w:t>
            </w:r>
          </w:p>
        </w:tc>
      </w:tr>
      <w:tr w:rsidR="00677A1C" w:rsidRPr="00621F61" w14:paraId="7F27C243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0E23AE3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09DF3DB7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687" w:type="dxa"/>
            <w:noWrap/>
          </w:tcPr>
          <w:p w14:paraId="544F3EC4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Admitted - Different Hospital</w:t>
            </w:r>
          </w:p>
        </w:tc>
      </w:tr>
      <w:tr w:rsidR="00677A1C" w:rsidRPr="00621F61" w14:paraId="67CF4A6F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3354751C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4A1D74E2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687" w:type="dxa"/>
            <w:noWrap/>
          </w:tcPr>
          <w:p w14:paraId="6719E76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Transferred Other LHB</w:t>
            </w:r>
          </w:p>
        </w:tc>
      </w:tr>
      <w:tr w:rsidR="00677A1C" w:rsidRPr="00621F61" w14:paraId="41BD8BCE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1667735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19C1BE55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87" w:type="dxa"/>
            <w:noWrap/>
          </w:tcPr>
          <w:p w14:paraId="38AF8CE9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Referred - Outpatients</w:t>
            </w:r>
          </w:p>
        </w:tc>
      </w:tr>
      <w:tr w:rsidR="00677A1C" w:rsidRPr="00621F61" w14:paraId="5FCE0616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1FA92A6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37CCF069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687" w:type="dxa"/>
            <w:noWrap/>
          </w:tcPr>
          <w:p w14:paraId="4C2FC60F" w14:textId="0FF493B6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 xml:space="preserve">Referred </w:t>
            </w:r>
            <w:r w:rsidR="00621F61">
              <w:rPr>
                <w:rFonts w:cstheme="minorHAnsi"/>
                <w:sz w:val="20"/>
                <w:szCs w:val="20"/>
              </w:rPr>
              <w:t>–</w:t>
            </w:r>
            <w:r w:rsidRPr="00621F61">
              <w:rPr>
                <w:rFonts w:cstheme="minorHAnsi"/>
                <w:sz w:val="20"/>
                <w:szCs w:val="20"/>
              </w:rPr>
              <w:t xml:space="preserve"> GP</w:t>
            </w:r>
          </w:p>
        </w:tc>
      </w:tr>
      <w:tr w:rsidR="00677A1C" w:rsidRPr="00621F61" w14:paraId="50AC7214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7DCC759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27C949BA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687" w:type="dxa"/>
            <w:noWrap/>
          </w:tcPr>
          <w:p w14:paraId="701E2CE0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Referred - Other HCP</w:t>
            </w:r>
          </w:p>
        </w:tc>
      </w:tr>
      <w:tr w:rsidR="00677A1C" w:rsidRPr="00621F61" w14:paraId="4615C71A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02A147E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00502C35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687" w:type="dxa"/>
            <w:noWrap/>
          </w:tcPr>
          <w:p w14:paraId="1EBCA515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No Follow-Up</w:t>
            </w:r>
          </w:p>
        </w:tc>
      </w:tr>
      <w:tr w:rsidR="00677A1C" w:rsidRPr="00621F61" w14:paraId="07DD212B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4C840E08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011B1DBB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687" w:type="dxa"/>
            <w:noWrap/>
          </w:tcPr>
          <w:p w14:paraId="085033BA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A&amp;E Follow-Up</w:t>
            </w:r>
          </w:p>
        </w:tc>
      </w:tr>
      <w:tr w:rsidR="00677A1C" w:rsidRPr="00621F61" w14:paraId="18C1F9BE" w14:textId="77777777" w:rsidTr="009A6284">
        <w:trPr>
          <w:trHeight w:val="20"/>
        </w:trPr>
        <w:tc>
          <w:tcPr>
            <w:tcW w:w="2359" w:type="dxa"/>
            <w:vMerge/>
            <w:noWrap/>
          </w:tcPr>
          <w:p w14:paraId="494E2F3F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  <w:noWrap/>
          </w:tcPr>
          <w:p w14:paraId="5777640E" w14:textId="77777777" w:rsidR="00677A1C" w:rsidRPr="00621F61" w:rsidRDefault="00677A1C" w:rsidP="009A62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687" w:type="dxa"/>
            <w:noWrap/>
          </w:tcPr>
          <w:p w14:paraId="1A465F47" w14:textId="77777777" w:rsidR="00677A1C" w:rsidRPr="00621F61" w:rsidRDefault="00677A1C" w:rsidP="009A6284">
            <w:pPr>
              <w:rPr>
                <w:rFonts w:cstheme="minorHAnsi"/>
                <w:sz w:val="20"/>
                <w:szCs w:val="20"/>
              </w:rPr>
            </w:pPr>
            <w:r w:rsidRPr="00621F61">
              <w:rPr>
                <w:rFonts w:cstheme="minorHAnsi"/>
                <w:sz w:val="20"/>
                <w:szCs w:val="20"/>
              </w:rPr>
              <w:t>Self-Discharge</w:t>
            </w:r>
          </w:p>
        </w:tc>
      </w:tr>
    </w:tbl>
    <w:p w14:paraId="6496A46B" w14:textId="77777777" w:rsidR="00677A1C" w:rsidRDefault="00677A1C" w:rsidP="00677A1C">
      <w:pPr>
        <w:jc w:val="both"/>
        <w:rPr>
          <w:rFonts w:cstheme="minorHAnsi"/>
        </w:rPr>
      </w:pPr>
    </w:p>
    <w:p w14:paraId="7E3751F1" w14:textId="77777777" w:rsidR="001034D9" w:rsidRDefault="001034D9" w:rsidP="00677A1C">
      <w:pPr>
        <w:jc w:val="both"/>
        <w:rPr>
          <w:rFonts w:cstheme="minorHAnsi"/>
        </w:rPr>
      </w:pPr>
    </w:p>
    <w:p w14:paraId="25F81AF3" w14:textId="77777777" w:rsidR="001034D9" w:rsidRDefault="001034D9" w:rsidP="00677A1C">
      <w:pPr>
        <w:jc w:val="both"/>
        <w:rPr>
          <w:rFonts w:cstheme="minorHAnsi"/>
        </w:rPr>
      </w:pPr>
    </w:p>
    <w:p w14:paraId="27CF0AF8" w14:textId="77777777" w:rsidR="001034D9" w:rsidRDefault="001034D9" w:rsidP="00677A1C">
      <w:pPr>
        <w:jc w:val="both"/>
        <w:rPr>
          <w:rFonts w:cstheme="minorHAnsi"/>
        </w:rPr>
      </w:pPr>
    </w:p>
    <w:p w14:paraId="75E1EB7E" w14:textId="77777777" w:rsidR="001034D9" w:rsidRPr="00621F61" w:rsidRDefault="001034D9" w:rsidP="00677A1C">
      <w:pPr>
        <w:jc w:val="both"/>
        <w:rPr>
          <w:rFonts w:cstheme="minorHAnsi"/>
        </w:rPr>
      </w:pPr>
    </w:p>
    <w:p w14:paraId="093D63A6" w14:textId="77777777" w:rsidR="001034D9" w:rsidRDefault="001034D9" w:rsidP="0053236F">
      <w:pPr>
        <w:rPr>
          <w:rFonts w:cstheme="minorHAnsi"/>
        </w:rPr>
        <w:sectPr w:rsidR="001034D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B41F90" w14:textId="107584F4" w:rsidR="001F781F" w:rsidRDefault="001F781F" w:rsidP="0053236F">
      <w:pPr>
        <w:rPr>
          <w:rFonts w:cstheme="minorHAnsi"/>
        </w:rPr>
      </w:pPr>
    </w:p>
    <w:p w14:paraId="33DE5B87" w14:textId="078A2EBF" w:rsidR="00F40F72" w:rsidRPr="009E13FB" w:rsidRDefault="009E13FB" w:rsidP="00F40F72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9E13FB">
        <w:rPr>
          <w:rFonts w:cstheme="minorHAnsi"/>
          <w:b/>
          <w:bCs/>
          <w:color w:val="000000" w:themeColor="text1"/>
          <w:sz w:val="24"/>
          <w:szCs w:val="24"/>
        </w:rPr>
        <w:t xml:space="preserve">S3 </w:t>
      </w:r>
      <w:r w:rsidR="00F40F72" w:rsidRPr="009E13FB">
        <w:rPr>
          <w:rFonts w:cstheme="minorHAnsi"/>
          <w:b/>
          <w:bCs/>
          <w:color w:val="000000" w:themeColor="text1"/>
          <w:sz w:val="24"/>
          <w:szCs w:val="24"/>
        </w:rPr>
        <w:t>Table 4</w:t>
      </w:r>
      <w:r w:rsidRPr="009E13FB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F40F72" w:rsidRPr="009E13F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F40F72" w:rsidRPr="009E13FB">
        <w:rPr>
          <w:rFonts w:cstheme="minorHAnsi"/>
          <w:color w:val="000000" w:themeColor="text1"/>
          <w:sz w:val="24"/>
          <w:szCs w:val="24"/>
        </w:rPr>
        <w:t>Study variables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689"/>
        <w:gridCol w:w="6945"/>
        <w:gridCol w:w="4314"/>
      </w:tblGrid>
      <w:tr w:rsidR="00F40F72" w:rsidRPr="00F40F72" w14:paraId="46BB0832" w14:textId="77777777" w:rsidTr="00F40F72">
        <w:trPr>
          <w:trHeight w:val="20"/>
        </w:trPr>
        <w:tc>
          <w:tcPr>
            <w:tcW w:w="2689" w:type="dxa"/>
            <w:noWrap/>
            <w:hideMark/>
          </w:tcPr>
          <w:p w14:paraId="746A2168" w14:textId="77777777" w:rsidR="00F40F72" w:rsidRPr="00F40F72" w:rsidRDefault="00F40F72" w:rsidP="002E50A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0F72">
              <w:rPr>
                <w:rFonts w:cstheme="minorHAnsi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6945" w:type="dxa"/>
            <w:noWrap/>
            <w:hideMark/>
          </w:tcPr>
          <w:p w14:paraId="26908B0B" w14:textId="77777777" w:rsidR="00F40F72" w:rsidRPr="00F40F72" w:rsidRDefault="00F40F72" w:rsidP="002E50A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40F72">
              <w:rPr>
                <w:rFonts w:cstheme="minorHAnsi"/>
                <w:b/>
                <w:bCs/>
                <w:color w:val="000000" w:themeColor="text1"/>
              </w:rPr>
              <w:t>Variable Description</w:t>
            </w:r>
          </w:p>
        </w:tc>
        <w:tc>
          <w:tcPr>
            <w:tcW w:w="4314" w:type="dxa"/>
          </w:tcPr>
          <w:p w14:paraId="1232ED01" w14:textId="77777777" w:rsidR="00F40F72" w:rsidRPr="00F40F72" w:rsidRDefault="00F40F72" w:rsidP="002E50A6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40F72">
              <w:rPr>
                <w:rFonts w:cstheme="minorHAnsi"/>
                <w:b/>
                <w:bCs/>
                <w:color w:val="000000" w:themeColor="text1"/>
              </w:rPr>
              <w:t>Source</w:t>
            </w:r>
          </w:p>
        </w:tc>
      </w:tr>
      <w:tr w:rsidR="00F40F72" w:rsidRPr="00F40F72" w14:paraId="6618D563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10362EEC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Sex</w:t>
            </w:r>
          </w:p>
        </w:tc>
        <w:tc>
          <w:tcPr>
            <w:tcW w:w="6945" w:type="dxa"/>
            <w:noWrap/>
            <w:vAlign w:val="center"/>
          </w:tcPr>
          <w:p w14:paraId="09B2D586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Sex of the CYP; 0 = female, 1 = male</w:t>
            </w:r>
          </w:p>
        </w:tc>
        <w:tc>
          <w:tcPr>
            <w:tcW w:w="4314" w:type="dxa"/>
          </w:tcPr>
          <w:p w14:paraId="2CB63B97" w14:textId="247F9774" w:rsidR="00F40F72" w:rsidRPr="00F40F72" w:rsidRDefault="00F40F72" w:rsidP="002E50A6">
            <w:pPr>
              <w:tabs>
                <w:tab w:val="left" w:pos="944"/>
              </w:tabs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 w:rsidR="000836E3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BADBA19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61BF2662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Patient Type</w:t>
            </w:r>
          </w:p>
        </w:tc>
        <w:tc>
          <w:tcPr>
            <w:tcW w:w="6945" w:type="dxa"/>
            <w:noWrap/>
            <w:vAlign w:val="center"/>
          </w:tcPr>
          <w:p w14:paraId="7D305B42" w14:textId="3A755A2D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Patient type is categorised into two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t xml:space="preserve">categories: new cases and inherited cases. New cases include CYPs diagnosed after the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assumed post (1 November 2021), and inherited cases include CYPs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t xml:space="preserve">diagnosed before the </w:t>
            </w:r>
            <w:r w:rsidR="00F161C5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assumed post.</w:t>
            </w:r>
          </w:p>
        </w:tc>
        <w:tc>
          <w:tcPr>
            <w:tcW w:w="4314" w:type="dxa"/>
            <w:vAlign w:val="center"/>
          </w:tcPr>
          <w:p w14:paraId="4329F521" w14:textId="436038D2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 w:rsidR="000836E3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17E8EEAA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12C91306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Age</w:t>
            </w:r>
          </w:p>
        </w:tc>
        <w:tc>
          <w:tcPr>
            <w:tcW w:w="6945" w:type="dxa"/>
            <w:noWrap/>
            <w:vAlign w:val="center"/>
          </w:tcPr>
          <w:p w14:paraId="52CD890C" w14:textId="4C2BDFFB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For new </w:t>
            </w:r>
            <w:r>
              <w:rPr>
                <w:rFonts w:cstheme="minorHAnsi"/>
                <w:color w:val="000000" w:themeColor="text1"/>
              </w:rPr>
              <w:t>case CYP</w:t>
            </w:r>
            <w:r w:rsidRPr="00F40F72">
              <w:rPr>
                <w:rFonts w:cstheme="minorHAnsi"/>
                <w:color w:val="000000" w:themeColor="text1"/>
              </w:rPr>
              <w:t xml:space="preserve">, age is recorded on the date of diagnosis, whereas for all inherited </w:t>
            </w:r>
            <w:r>
              <w:rPr>
                <w:rFonts w:cstheme="minorHAnsi"/>
                <w:color w:val="000000" w:themeColor="text1"/>
              </w:rPr>
              <w:t>case CYP</w:t>
            </w:r>
            <w:r w:rsidRPr="00F40F72">
              <w:rPr>
                <w:rFonts w:cstheme="minorHAnsi"/>
                <w:color w:val="000000" w:themeColor="text1"/>
              </w:rPr>
              <w:t xml:space="preserve"> the record date for age is the start date: 1</w:t>
            </w:r>
            <w:r w:rsidRPr="00F40F72">
              <w:rPr>
                <w:rFonts w:cstheme="minorHAnsi"/>
                <w:color w:val="000000" w:themeColor="text1"/>
                <w:vertAlign w:val="superscript"/>
              </w:rPr>
              <w:t>st</w:t>
            </w:r>
            <w:r w:rsidRPr="00F40F72">
              <w:rPr>
                <w:rFonts w:cstheme="minorHAnsi"/>
                <w:color w:val="000000" w:themeColor="text1"/>
              </w:rPr>
              <w:t xml:space="preserve"> November 2021.</w:t>
            </w:r>
          </w:p>
        </w:tc>
        <w:tc>
          <w:tcPr>
            <w:tcW w:w="4314" w:type="dxa"/>
            <w:vAlign w:val="center"/>
          </w:tcPr>
          <w:p w14:paraId="320F8187" w14:textId="29DA8687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1F0F896B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5E18A255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Rurality</w:t>
            </w:r>
          </w:p>
        </w:tc>
        <w:tc>
          <w:tcPr>
            <w:tcW w:w="6945" w:type="dxa"/>
            <w:noWrap/>
            <w:vAlign w:val="center"/>
          </w:tcPr>
          <w:p w14:paraId="72188805" w14:textId="1F892F90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The place of residence is classified based on the 2011 Rural-Urban Classification for Small Area Geographies</w:t>
            </w:r>
            <w:r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: 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1=large town, 2=small town and 3=village</w:t>
            </w:r>
          </w:p>
        </w:tc>
        <w:tc>
          <w:tcPr>
            <w:tcW w:w="4314" w:type="dxa"/>
          </w:tcPr>
          <w:p w14:paraId="32270C4C" w14:textId="58569D52" w:rsidR="00F40F72" w:rsidRPr="00F40F72" w:rsidRDefault="00F40F72" w:rsidP="002E50A6">
            <w:pPr>
              <w:jc w:val="both"/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Welsh Government website</w:t>
            </w:r>
            <w:r w:rsidR="004B3CE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begin" w:fldLock="1"/>
            </w:r>
            <w:r w:rsidR="00B3611F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instrText>ADDIN CSL_CITATION {"citationItems":[{"id":"ITEM-1","itemData":{"URL":"https://www.gov.wales/welsh-index-multiple-deprivation-full-index-update-ranks-2019","accessed":{"date-parts":[["2024","9","24"]]},"author":[{"dropping-particle":"","family":"Welsh Government","given":"","non-dropping-particle":"","parse-names":false,"suffix":""}],"id":"ITEM-1","issued":{"date-parts":[["2022"]]},"title":"Welsh Index of Multiple Deprivation (full Index update with ranks): 2019","type":"webpage"},"uris":["http://www.mendeley.com/documents/?uuid=b4e598b5-9b01-4ba6-9bf0-954ef2908b7f"]}],"mendeley":{"formattedCitation":"[30]","plainTextFormattedCitation":"[30]","previouslyFormattedCitation":"[28]"},"properties":{"noteIndex":0},"schema":"https://github.com/citation-style-language/schema/raw/master/csl-citation.json"}</w:instrTex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separate"/>
            </w:r>
            <w:r w:rsidR="00B3611F" w:rsidRPr="00B3611F">
              <w:rPr>
                <w:rFonts w:eastAsia="Times New Roman" w:cstheme="minorHAnsi"/>
                <w:noProof/>
                <w:color w:val="000000" w:themeColor="text1"/>
                <w:kern w:val="0"/>
                <w:lang w:eastAsia="en-GB"/>
                <w14:ligatures w14:val="none"/>
              </w:rPr>
              <w:t>[30]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end"/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40F72" w:rsidRPr="00F40F72" w14:paraId="6839D19E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32177E20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Travel distance</w:t>
            </w:r>
          </w:p>
        </w:tc>
        <w:tc>
          <w:tcPr>
            <w:tcW w:w="6945" w:type="dxa"/>
            <w:noWrap/>
            <w:vAlign w:val="center"/>
          </w:tcPr>
          <w:p w14:paraId="4A4E6A91" w14:textId="1BCDDFE2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Distance </w:t>
            </w:r>
            <w:r>
              <w:rPr>
                <w:rFonts w:cstheme="minorHAnsi"/>
                <w:color w:val="000000" w:themeColor="text1"/>
              </w:rPr>
              <w:t xml:space="preserve">covered </w:t>
            </w:r>
            <w:r w:rsidRPr="00F40F72">
              <w:rPr>
                <w:rFonts w:cstheme="minorHAnsi"/>
                <w:color w:val="000000" w:themeColor="text1"/>
              </w:rPr>
              <w:t xml:space="preserve">(in miles) </w:t>
            </w:r>
            <w:r>
              <w:rPr>
                <w:rFonts w:cstheme="minorHAnsi"/>
                <w:color w:val="000000" w:themeColor="text1"/>
              </w:rPr>
              <w:t>on</w:t>
            </w:r>
            <w:r w:rsidRPr="00F40F72">
              <w:rPr>
                <w:rFonts w:cstheme="minorHAnsi"/>
                <w:color w:val="000000" w:themeColor="text1"/>
              </w:rPr>
              <w:t xml:space="preserve"> return travel by the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 from the </w:t>
            </w:r>
            <w:r w:rsidR="00F63907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in </w:t>
            </w:r>
            <w:proofErr w:type="spellStart"/>
            <w:r w:rsidRPr="00F40F72">
              <w:rPr>
                <w:rFonts w:cstheme="minorHAnsi"/>
                <w:color w:val="000000" w:themeColor="text1"/>
              </w:rPr>
              <w:t>Glangwili</w:t>
            </w:r>
            <w:proofErr w:type="spellEnd"/>
            <w:r w:rsidRPr="00F40F72">
              <w:rPr>
                <w:rFonts w:cstheme="minorHAnsi"/>
                <w:color w:val="000000" w:themeColor="text1"/>
              </w:rPr>
              <w:t xml:space="preserve"> General Hospital to either the CYP’s home or to the CYP’s school.</w:t>
            </w:r>
          </w:p>
        </w:tc>
        <w:tc>
          <w:tcPr>
            <w:tcW w:w="4314" w:type="dxa"/>
            <w:vAlign w:val="center"/>
          </w:tcPr>
          <w:p w14:paraId="3D5B0774" w14:textId="7A574EA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 w:rsidR="000836E3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08A63504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0D2B8A7F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Travel time</w:t>
            </w:r>
          </w:p>
        </w:tc>
        <w:tc>
          <w:tcPr>
            <w:tcW w:w="6945" w:type="dxa"/>
            <w:noWrap/>
            <w:vAlign w:val="center"/>
          </w:tcPr>
          <w:p w14:paraId="5A6CD36C" w14:textId="6AD5E842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Time spent (in minutes) </w:t>
            </w:r>
            <w:r>
              <w:rPr>
                <w:rFonts w:cstheme="minorHAnsi"/>
                <w:color w:val="000000" w:themeColor="text1"/>
              </w:rPr>
              <w:t>on</w:t>
            </w:r>
            <w:r w:rsidRPr="00F40F72">
              <w:rPr>
                <w:rFonts w:cstheme="minorHAnsi"/>
                <w:color w:val="000000" w:themeColor="text1"/>
              </w:rPr>
              <w:t xml:space="preserve"> return travel by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 from the </w:t>
            </w:r>
            <w:r w:rsidR="00F63907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in </w:t>
            </w:r>
            <w:proofErr w:type="spellStart"/>
            <w:r w:rsidRPr="00F40F72">
              <w:rPr>
                <w:rFonts w:cstheme="minorHAnsi"/>
                <w:color w:val="000000" w:themeColor="text1"/>
              </w:rPr>
              <w:t>Glangwili</w:t>
            </w:r>
            <w:proofErr w:type="spellEnd"/>
            <w:r w:rsidRPr="00F40F72">
              <w:rPr>
                <w:rFonts w:cstheme="minorHAnsi"/>
                <w:color w:val="000000" w:themeColor="text1"/>
              </w:rPr>
              <w:t xml:space="preserve"> General Hospital to either the CYP’s home or to the CYP’s school.</w:t>
            </w:r>
          </w:p>
        </w:tc>
        <w:tc>
          <w:tcPr>
            <w:tcW w:w="4314" w:type="dxa"/>
            <w:vAlign w:val="center"/>
          </w:tcPr>
          <w:p w14:paraId="1BF7B34C" w14:textId="6EE19390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HDUHB C</w:t>
            </w:r>
            <w:r w:rsidR="000836E3">
              <w:rPr>
                <w:rFonts w:cstheme="minorHAnsi"/>
                <w:color w:val="000000" w:themeColor="text1"/>
              </w:rPr>
              <w:t>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50120784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6B4C9C17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Travel cost</w:t>
            </w:r>
          </w:p>
        </w:tc>
        <w:tc>
          <w:tcPr>
            <w:tcW w:w="6945" w:type="dxa"/>
            <w:noWrap/>
            <w:vAlign w:val="center"/>
          </w:tcPr>
          <w:p w14:paraId="750CFCB0" w14:textId="458C467D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cost incurred </w:t>
            </w:r>
            <w:r>
              <w:rPr>
                <w:rFonts w:cstheme="minorHAnsi"/>
                <w:color w:val="000000" w:themeColor="text1"/>
              </w:rPr>
              <w:t>on</w:t>
            </w:r>
            <w:r w:rsidRPr="00F40F72">
              <w:rPr>
                <w:rFonts w:cstheme="minorHAnsi"/>
                <w:color w:val="000000" w:themeColor="text1"/>
              </w:rPr>
              <w:t xml:space="preserve"> return travel by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 from the </w:t>
            </w:r>
            <w:r w:rsidR="00F63907"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in </w:t>
            </w:r>
            <w:proofErr w:type="spellStart"/>
            <w:r w:rsidRPr="00F40F72">
              <w:rPr>
                <w:rFonts w:cstheme="minorHAnsi"/>
                <w:color w:val="000000" w:themeColor="text1"/>
              </w:rPr>
              <w:t>Glangwili</w:t>
            </w:r>
            <w:proofErr w:type="spellEnd"/>
            <w:r w:rsidRPr="00F40F72">
              <w:rPr>
                <w:rFonts w:cstheme="minorHAnsi"/>
                <w:color w:val="000000" w:themeColor="text1"/>
              </w:rPr>
              <w:t xml:space="preserve"> General Hospital </w:t>
            </w:r>
            <w:r>
              <w:rPr>
                <w:rFonts w:cstheme="minorHAnsi"/>
                <w:color w:val="000000" w:themeColor="text1"/>
              </w:rPr>
              <w:t xml:space="preserve">to </w:t>
            </w:r>
            <w:r w:rsidRPr="00F40F72">
              <w:rPr>
                <w:rFonts w:cstheme="minorHAnsi"/>
                <w:color w:val="000000" w:themeColor="text1"/>
              </w:rPr>
              <w:t xml:space="preserve">either the home or school of the CYP. </w:t>
            </w:r>
            <w:r>
              <w:rPr>
                <w:rFonts w:cstheme="minorHAnsi"/>
                <w:color w:val="000000" w:themeColor="text1"/>
              </w:rPr>
              <w:t>It includes the distance cost and the time cost</w:t>
            </w:r>
            <w:r w:rsidRPr="00F40F7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314" w:type="dxa"/>
          </w:tcPr>
          <w:p w14:paraId="0E46E028" w14:textId="087A48D0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2023/2024 HMRC mileage rate per mile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driversnote.co.uk/blog/hmrc-mileage-rates-2024","accessed":{"date-parts":[["2024","6","11"]]},"author":[{"dropping-particle":"","family":"Driversnote","given":"","non-dropping-particle":"","parse-names":false,"suffix":""}],"id":"ITEM-1","issued":{"date-parts":[["2024"]]},"title":"HMRC mileage rates 2024","type":"webpage"},"uris":["http://www.mendeley.com/documents/?uuid=c50d66bd-ec6a-4165-8dda-da2ed408552c"]}],"mendeley":{"formattedCitation":"[25]","plainTextFormattedCitation":"[25]","previouslyFormattedCitation":"[23]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[25]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  <w:r w:rsidRPr="00F40F72">
              <w:rPr>
                <w:rFonts w:cstheme="minorHAnsi"/>
                <w:color w:val="000000" w:themeColor="text1"/>
              </w:rPr>
              <w:t xml:space="preserve"> and 2023 PSSRU Annual and unit costs for hospital-based nurses (Band 6 - Cost per hour including qualifications)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159E08AD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5EB73A81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Exposure days</w:t>
            </w:r>
          </w:p>
        </w:tc>
        <w:tc>
          <w:tcPr>
            <w:tcW w:w="6945" w:type="dxa"/>
            <w:noWrap/>
            <w:vAlign w:val="center"/>
          </w:tcPr>
          <w:p w14:paraId="364C41C1" w14:textId="3D76A860" w:rsidR="008C74BC" w:rsidRPr="00F40F72" w:rsidRDefault="00F40F72" w:rsidP="009B0AE0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number of days </w:t>
            </w:r>
            <w:r w:rsidR="008C74BC">
              <w:rPr>
                <w:rFonts w:cstheme="minorHAnsi"/>
                <w:color w:val="000000" w:themeColor="text1"/>
              </w:rPr>
              <w:t xml:space="preserve">the CYP spends </w:t>
            </w:r>
            <w:r w:rsidR="008C74BC" w:rsidRPr="008147F2">
              <w:rPr>
                <w:rFonts w:cstheme="minorHAnsi"/>
                <w:color w:val="000000" w:themeColor="text1"/>
              </w:rPr>
              <w:t xml:space="preserve">on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="008C74BC">
              <w:rPr>
                <w:rFonts w:cstheme="minorHAnsi"/>
                <w:color w:val="000000" w:themeColor="text1"/>
              </w:rPr>
              <w:t xml:space="preserve">ESN </w:t>
            </w:r>
            <w:r w:rsidR="008C74BC" w:rsidRPr="008147F2">
              <w:rPr>
                <w:rFonts w:cstheme="minorHAnsi"/>
                <w:color w:val="000000" w:themeColor="text1"/>
              </w:rPr>
              <w:t>caseload</w:t>
            </w:r>
            <w:r w:rsidR="009B0AE0">
              <w:rPr>
                <w:rFonts w:cstheme="minorHAnsi"/>
                <w:color w:val="000000" w:themeColor="text1"/>
              </w:rPr>
              <w:t>, excluding any waiting time until first contact</w:t>
            </w:r>
            <w:r w:rsidRPr="00F40F7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314" w:type="dxa"/>
          </w:tcPr>
          <w:p w14:paraId="26834941" w14:textId="0AD747D6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67E1BFD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6ABF81F4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Waiting time</w:t>
            </w:r>
          </w:p>
        </w:tc>
        <w:tc>
          <w:tcPr>
            <w:tcW w:w="6945" w:type="dxa"/>
            <w:noWrap/>
            <w:vAlign w:val="center"/>
          </w:tcPr>
          <w:p w14:paraId="75A203F9" w14:textId="089B95A7" w:rsid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number of days </w:t>
            </w:r>
            <w:r w:rsidR="008C74BC">
              <w:rPr>
                <w:rFonts w:cstheme="minorHAnsi"/>
                <w:color w:val="000000" w:themeColor="text1"/>
              </w:rPr>
              <w:t>the</w:t>
            </w:r>
            <w:r w:rsidRPr="00F40F72">
              <w:rPr>
                <w:rFonts w:cstheme="minorHAnsi"/>
                <w:color w:val="000000" w:themeColor="text1"/>
              </w:rPr>
              <w:t xml:space="preserve"> CYP waits between referral and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first contact</w:t>
            </w:r>
            <w:r w:rsidR="008C74BC">
              <w:rPr>
                <w:rFonts w:cstheme="minorHAnsi"/>
                <w:color w:val="000000" w:themeColor="text1"/>
              </w:rPr>
              <w:t>.</w:t>
            </w:r>
          </w:p>
          <w:p w14:paraId="4FE954D1" w14:textId="27B94D73" w:rsidR="008C74BC" w:rsidRPr="00F40F72" w:rsidRDefault="008C74BC" w:rsidP="002E50A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314" w:type="dxa"/>
          </w:tcPr>
          <w:p w14:paraId="4567B456" w14:textId="0D334D0F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F038EC0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1F047D19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Clinical need</w:t>
            </w:r>
          </w:p>
        </w:tc>
        <w:tc>
          <w:tcPr>
            <w:tcW w:w="6945" w:type="dxa"/>
            <w:noWrap/>
            <w:vAlign w:val="center"/>
          </w:tcPr>
          <w:p w14:paraId="0A3FE6CD" w14:textId="53C8DC7E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Measures the health-related support/intervention a CYP requires from </w:t>
            </w:r>
            <w:r w:rsidR="008C74BC">
              <w:rPr>
                <w:rFonts w:cstheme="minorHAnsi"/>
                <w:color w:val="000000" w:themeColor="text1"/>
              </w:rPr>
              <w:t>the</w:t>
            </w:r>
            <w:r w:rsidRPr="00F40F72">
              <w:rPr>
                <w:rFonts w:cstheme="minorHAnsi"/>
                <w:color w:val="000000" w:themeColor="text1"/>
              </w:rPr>
              <w:t xml:space="preserve">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ESN. </w:t>
            </w:r>
            <w:r w:rsidR="008C74BC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linical need is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ESN-assessed and depends on CYP seizure frequency and severity</w:t>
            </w:r>
            <w:r w:rsidR="008C74BC">
              <w:rPr>
                <w:rFonts w:cstheme="minorHAnsi"/>
                <w:color w:val="000000" w:themeColor="text1"/>
              </w:rPr>
              <w:t>: 1=</w:t>
            </w:r>
            <w:r w:rsidRPr="00F40F72">
              <w:rPr>
                <w:rFonts w:cstheme="minorHAnsi"/>
                <w:color w:val="000000" w:themeColor="text1"/>
              </w:rPr>
              <w:t xml:space="preserve">high need, </w:t>
            </w:r>
            <w:r w:rsidR="008C74BC">
              <w:rPr>
                <w:rFonts w:cstheme="minorHAnsi"/>
                <w:color w:val="000000" w:themeColor="text1"/>
              </w:rPr>
              <w:t>0=</w:t>
            </w:r>
            <w:r w:rsidRPr="00F40F72">
              <w:rPr>
                <w:rFonts w:cstheme="minorHAnsi"/>
                <w:color w:val="000000" w:themeColor="text1"/>
              </w:rPr>
              <w:t xml:space="preserve">low need and </w:t>
            </w:r>
            <w:r w:rsidR="008C74BC">
              <w:rPr>
                <w:rFonts w:cstheme="minorHAnsi"/>
                <w:color w:val="000000" w:themeColor="text1"/>
              </w:rPr>
              <w:t>-1=</w:t>
            </w:r>
            <w:r w:rsidRPr="00F40F72">
              <w:rPr>
                <w:rFonts w:cstheme="minorHAnsi"/>
                <w:color w:val="000000" w:themeColor="text1"/>
              </w:rPr>
              <w:t xml:space="preserve">missing. </w:t>
            </w:r>
            <w:r w:rsidR="008C74BC">
              <w:rPr>
                <w:rFonts w:cstheme="minorHAnsi"/>
                <w:color w:val="000000" w:themeColor="text1"/>
              </w:rPr>
              <w:t>In modelling, low need and missing categories are combined</w:t>
            </w:r>
            <w:r w:rsidRPr="00F40F72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4314" w:type="dxa"/>
            <w:vAlign w:val="center"/>
          </w:tcPr>
          <w:p w14:paraId="5085FB39" w14:textId="592623B3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1E74061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06883BD0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Epilepsy Care Plan (ECP) involvement </w:t>
            </w:r>
          </w:p>
        </w:tc>
        <w:tc>
          <w:tcPr>
            <w:tcW w:w="6945" w:type="dxa"/>
            <w:noWrap/>
            <w:vAlign w:val="center"/>
          </w:tcPr>
          <w:p w14:paraId="336B48CB" w14:textId="6D5F52E4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A binary variable (1</w:t>
            </w:r>
            <w:r w:rsidR="00E03EFD">
              <w:rPr>
                <w:rFonts w:cstheme="minorHAnsi"/>
                <w:color w:val="000000" w:themeColor="text1"/>
              </w:rPr>
              <w:t>=</w:t>
            </w:r>
            <w:r w:rsidRPr="00F40F72">
              <w:rPr>
                <w:rFonts w:cstheme="minorHAnsi"/>
                <w:color w:val="000000" w:themeColor="text1"/>
              </w:rPr>
              <w:t xml:space="preserve">yes, 0=no) which records the involvement of the </w:t>
            </w:r>
            <w:r w:rsidR="000836E3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in the preparation and/or update of the ECP. The</w:t>
            </w:r>
            <w:r w:rsidR="00E03EFD">
              <w:rPr>
                <w:rFonts w:cstheme="minorHAnsi"/>
                <w:color w:val="000000" w:themeColor="text1"/>
              </w:rPr>
              <w:t>y are</w:t>
            </w:r>
            <w:r w:rsidRPr="00F40F72">
              <w:rPr>
                <w:rFonts w:cstheme="minorHAnsi"/>
                <w:color w:val="000000" w:themeColor="text1"/>
              </w:rPr>
              <w:t xml:space="preserve"> created </w:t>
            </w:r>
            <w:r w:rsidR="00E03EFD">
              <w:rPr>
                <w:rFonts w:cstheme="minorHAnsi"/>
                <w:color w:val="000000" w:themeColor="text1"/>
              </w:rPr>
              <w:t xml:space="preserve">whenever </w:t>
            </w:r>
            <w:r w:rsidRPr="00F40F72">
              <w:rPr>
                <w:rFonts w:cstheme="minorHAnsi"/>
                <w:color w:val="000000" w:themeColor="text1"/>
              </w:rPr>
              <w:t xml:space="preserve">CYPs </w:t>
            </w:r>
            <w:r w:rsidR="00E03EFD">
              <w:rPr>
                <w:rFonts w:cstheme="minorHAnsi"/>
                <w:color w:val="000000" w:themeColor="text1"/>
              </w:rPr>
              <w:t xml:space="preserve">are </w:t>
            </w:r>
            <w:r w:rsidRPr="00F40F72">
              <w:rPr>
                <w:rFonts w:cstheme="minorHAnsi"/>
                <w:color w:val="000000" w:themeColor="text1"/>
              </w:rPr>
              <w:t>prescribed rescue buccal midazolam.</w:t>
            </w:r>
          </w:p>
        </w:tc>
        <w:tc>
          <w:tcPr>
            <w:tcW w:w="4314" w:type="dxa"/>
            <w:vAlign w:val="center"/>
          </w:tcPr>
          <w:p w14:paraId="35D4705C" w14:textId="1ECE59FF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C3B3C69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0F9DA39B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lastRenderedPageBreak/>
              <w:t>ECP Cost</w:t>
            </w:r>
          </w:p>
        </w:tc>
        <w:tc>
          <w:tcPr>
            <w:tcW w:w="6945" w:type="dxa"/>
            <w:noWrap/>
            <w:vAlign w:val="center"/>
          </w:tcPr>
          <w:p w14:paraId="2D9A2709" w14:textId="5BBFA9C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Cost incurred via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ESN’s involvement in the preparation and/or updating of ECPs (£60.83 per ECP).</w:t>
            </w:r>
          </w:p>
        </w:tc>
        <w:tc>
          <w:tcPr>
            <w:tcW w:w="4314" w:type="dxa"/>
          </w:tcPr>
          <w:p w14:paraId="0DD840D1" w14:textId="4878D181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 PSSRU Annual and unit costs for hospital-based nurses (Band 6 - Cost per hour including qualifications)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129F7483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4789619C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2019 IMD</w:t>
            </w:r>
          </w:p>
        </w:tc>
        <w:tc>
          <w:tcPr>
            <w:tcW w:w="6945" w:type="dxa"/>
            <w:noWrap/>
            <w:vAlign w:val="center"/>
          </w:tcPr>
          <w:p w14:paraId="7C7272DD" w14:textId="39B7B0A6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Welsh 2019 IMD quartile ranking</w:t>
            </w:r>
            <w:r w:rsidR="00E03EFD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: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1=most deprived, 2=</w:t>
            </w:r>
            <w:r w:rsidR="00E03EFD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d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eprived, 3=</w:t>
            </w:r>
            <w:r w:rsidR="00E03EFD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l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ess deprived and 4=</w:t>
            </w:r>
            <w:r w:rsidR="00E03EFD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l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east deprived</w:t>
            </w:r>
          </w:p>
        </w:tc>
        <w:tc>
          <w:tcPr>
            <w:tcW w:w="4314" w:type="dxa"/>
            <w:vAlign w:val="center"/>
          </w:tcPr>
          <w:p w14:paraId="4DAD7648" w14:textId="389ED9D0" w:rsidR="00F40F72" w:rsidRPr="00F40F72" w:rsidRDefault="00F40F72" w:rsidP="002E50A6">
            <w:pPr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</w:pP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>Welsh Government website</w:t>
            </w:r>
            <w:r w:rsidR="00062850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begin" w:fldLock="1"/>
            </w:r>
            <w:r w:rsidR="00B3611F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instrText>ADDIN CSL_CITATION {"citationItems":[{"id":"ITEM-1","itemData":{"URL":"https://www.gov.wales/welsh-index-multiple-deprivation-full-index-update-ranks-2019","accessed":{"date-parts":[["2024","9","24"]]},"author":[{"dropping-particle":"","family":"Welsh Government","given":"","non-dropping-particle":"","parse-names":false,"suffix":""}],"id":"ITEM-1","issued":{"date-parts":[["2022"]]},"title":"Welsh Index of Multiple Deprivation (full Index update with ranks): 2019","type":"webpage"},"uris":["http://www.mendeley.com/documents/?uuid=b4e598b5-9b01-4ba6-9bf0-954ef2908b7f"]}],"mendeley":{"formattedCitation":"[30]","plainTextFormattedCitation":"[30]","previouslyFormattedCitation":"[28]"},"properties":{"noteIndex":0},"schema":"https://github.com/citation-style-language/schema/raw/master/csl-citation.json"}</w:instrTex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separate"/>
            </w:r>
            <w:r w:rsidR="00B3611F" w:rsidRPr="00B3611F">
              <w:rPr>
                <w:rFonts w:eastAsia="Times New Roman" w:cstheme="minorHAnsi"/>
                <w:noProof/>
                <w:color w:val="000000" w:themeColor="text1"/>
                <w:kern w:val="0"/>
                <w:lang w:eastAsia="en-GB"/>
                <w14:ligatures w14:val="none"/>
              </w:rPr>
              <w:t>[30]</w:t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fldChar w:fldCharType="end"/>
            </w:r>
            <w:r w:rsidRPr="00F40F72">
              <w:rPr>
                <w:rFonts w:eastAsia="Times New Roman" w:cstheme="minorHAnsi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40F72" w:rsidRPr="00F40F72" w14:paraId="00239A77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0A457C97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Face-to-face contacts</w:t>
            </w:r>
          </w:p>
        </w:tc>
        <w:tc>
          <w:tcPr>
            <w:tcW w:w="6945" w:type="dxa"/>
            <w:noWrap/>
            <w:vAlign w:val="center"/>
          </w:tcPr>
          <w:p w14:paraId="4FFC3A12" w14:textId="62E15FF4" w:rsid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Total number of physical contacts between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and the CYPs</w:t>
            </w:r>
          </w:p>
          <w:p w14:paraId="26C96CC5" w14:textId="77777777" w:rsidR="00E03EFD" w:rsidRPr="00F40F72" w:rsidRDefault="00E03EFD" w:rsidP="002E50A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314" w:type="dxa"/>
          </w:tcPr>
          <w:p w14:paraId="185E9916" w14:textId="29F79484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2D8AE13A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70E986EB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from face-to-face contacts</w:t>
            </w:r>
          </w:p>
        </w:tc>
        <w:tc>
          <w:tcPr>
            <w:tcW w:w="6945" w:type="dxa"/>
            <w:noWrap/>
            <w:vAlign w:val="center"/>
          </w:tcPr>
          <w:p w14:paraId="49E9CE59" w14:textId="7B2B0EF8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cost incurred from the number of physical contacts between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 and the CYPs (£60.83 per contact). </w:t>
            </w:r>
          </w:p>
        </w:tc>
        <w:tc>
          <w:tcPr>
            <w:tcW w:w="4314" w:type="dxa"/>
          </w:tcPr>
          <w:p w14:paraId="299E00A1" w14:textId="0D4253D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 PSSRU Annual and unit costs for hospital-based nurses (Band 6 - Cost per hour including qualifications)</w:t>
            </w:r>
            <w:r w:rsidR="004B3CE2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6188A4A9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43EF4583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Virtual face-to-face contacts</w:t>
            </w:r>
          </w:p>
        </w:tc>
        <w:tc>
          <w:tcPr>
            <w:tcW w:w="6945" w:type="dxa"/>
            <w:noWrap/>
            <w:vAlign w:val="center"/>
          </w:tcPr>
          <w:p w14:paraId="4D4A8B74" w14:textId="3DEA3F8C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Total number of virtual contacts between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and the CYPs</w:t>
            </w:r>
          </w:p>
        </w:tc>
        <w:tc>
          <w:tcPr>
            <w:tcW w:w="4314" w:type="dxa"/>
            <w:vAlign w:val="center"/>
          </w:tcPr>
          <w:p w14:paraId="3FD4CB50" w14:textId="71ECB872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274C5D0E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5221D71D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from virtual face-to-face contacts</w:t>
            </w:r>
          </w:p>
        </w:tc>
        <w:tc>
          <w:tcPr>
            <w:tcW w:w="6945" w:type="dxa"/>
            <w:noWrap/>
            <w:vAlign w:val="center"/>
          </w:tcPr>
          <w:p w14:paraId="774646B4" w14:textId="5E94B6A6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cost incurred from the number of virtual contacts between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 and the CYPs (£60.83 per contact). </w:t>
            </w:r>
          </w:p>
        </w:tc>
        <w:tc>
          <w:tcPr>
            <w:tcW w:w="4314" w:type="dxa"/>
          </w:tcPr>
          <w:p w14:paraId="5E13590E" w14:textId="11F4CB9E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 PSSRU Annual and unit costs for hospital-based nurses (Band 6 - Cost per hour including qualifications)</w:t>
            </w:r>
            <w:r w:rsidR="004B3CE2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5FD8A03E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379ABC4D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Telephone calls</w:t>
            </w:r>
          </w:p>
        </w:tc>
        <w:tc>
          <w:tcPr>
            <w:tcW w:w="6945" w:type="dxa"/>
            <w:noWrap/>
            <w:vAlign w:val="center"/>
          </w:tcPr>
          <w:p w14:paraId="4636A41F" w14:textId="0A2FE183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total number of telephone calls made from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ESN’s phone to the CYP’s parents/guardians. The phone records are from 1</w:t>
            </w:r>
            <w:r w:rsidRPr="00F40F72">
              <w:rPr>
                <w:rFonts w:cstheme="minorHAnsi"/>
                <w:color w:val="000000" w:themeColor="text1"/>
                <w:vertAlign w:val="superscript"/>
              </w:rPr>
              <w:t>st</w:t>
            </w:r>
            <w:r w:rsidRPr="00F40F72">
              <w:rPr>
                <w:rFonts w:cstheme="minorHAnsi"/>
                <w:color w:val="000000" w:themeColor="text1"/>
              </w:rPr>
              <w:t xml:space="preserve"> August 2022 to 31</w:t>
            </w:r>
            <w:r w:rsidRPr="00F40F72">
              <w:rPr>
                <w:rFonts w:cstheme="minorHAnsi"/>
                <w:color w:val="000000" w:themeColor="text1"/>
                <w:vertAlign w:val="superscript"/>
              </w:rPr>
              <w:t>st</w:t>
            </w:r>
            <w:r w:rsidRPr="00F40F72">
              <w:rPr>
                <w:rFonts w:cstheme="minorHAnsi"/>
                <w:color w:val="000000" w:themeColor="text1"/>
              </w:rPr>
              <w:t xml:space="preserve"> July 2023.</w:t>
            </w:r>
          </w:p>
        </w:tc>
        <w:tc>
          <w:tcPr>
            <w:tcW w:w="4314" w:type="dxa"/>
            <w:vAlign w:val="center"/>
          </w:tcPr>
          <w:p w14:paraId="39432469" w14:textId="6A51FEAA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0C6E1B77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14884B09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from telephone calls</w:t>
            </w:r>
          </w:p>
        </w:tc>
        <w:tc>
          <w:tcPr>
            <w:tcW w:w="6945" w:type="dxa"/>
            <w:noWrap/>
            <w:vAlign w:val="center"/>
          </w:tcPr>
          <w:p w14:paraId="4BB349F2" w14:textId="30214EF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is</w:t>
            </w:r>
            <w:r w:rsidR="00E03EFD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t xml:space="preserve">based on the duration of telephone calls made from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ESN’s phone to the CYP’s parents/guardians (£60.83 per 60 minutes). </w:t>
            </w:r>
            <w:r w:rsidR="00E03EFD">
              <w:rPr>
                <w:rFonts w:cstheme="minorHAnsi"/>
                <w:color w:val="000000" w:themeColor="text1"/>
              </w:rPr>
              <w:t xml:space="preserve">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="00E03EFD">
              <w:rPr>
                <w:rFonts w:cstheme="minorHAnsi"/>
                <w:color w:val="000000" w:themeColor="text1"/>
              </w:rPr>
              <w:t>ESN takes an average of 6 minutes per call.</w:t>
            </w:r>
            <w:r w:rsidR="00D50093">
              <w:rPr>
                <w:rFonts w:cstheme="minorHAnsi"/>
                <w:color w:val="000000" w:themeColor="text1"/>
              </w:rPr>
              <w:t xml:space="preserve"> Telephone subscription fee not included.</w:t>
            </w:r>
          </w:p>
        </w:tc>
        <w:tc>
          <w:tcPr>
            <w:tcW w:w="4314" w:type="dxa"/>
          </w:tcPr>
          <w:p w14:paraId="3828B32A" w14:textId="6C7418B0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 PSSRU Annual and unit costs for hospital-based nurses (Band 6 - Cost per hour including qualifications)</w:t>
            </w:r>
            <w:r w:rsidR="004B3CE2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422C7A10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77206976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Text messages</w:t>
            </w:r>
          </w:p>
        </w:tc>
        <w:tc>
          <w:tcPr>
            <w:tcW w:w="6945" w:type="dxa"/>
            <w:noWrap/>
            <w:vAlign w:val="center"/>
          </w:tcPr>
          <w:p w14:paraId="317ACDC7" w14:textId="72B3BD46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total number of text messages made from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 xml:space="preserve">ESN’s phone to the CYP’s parents/guardians. 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takes an average of 5 minutes per text.</w:t>
            </w:r>
            <w:r w:rsidR="00D50093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4314" w:type="dxa"/>
            <w:vAlign w:val="center"/>
          </w:tcPr>
          <w:p w14:paraId="4F351326" w14:textId="2FF75559" w:rsidR="00F40F72" w:rsidRPr="00F40F72" w:rsidRDefault="000836E3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HDUHB </w:t>
            </w:r>
            <w:r>
              <w:rPr>
                <w:rFonts w:cstheme="minorHAnsi"/>
                <w:color w:val="000000" w:themeColor="text1"/>
              </w:rPr>
              <w:t>CCNS</w:t>
            </w:r>
            <w:r w:rsidRPr="00F40F72">
              <w:rPr>
                <w:rFonts w:cstheme="minorHAnsi"/>
                <w:color w:val="000000" w:themeColor="text1"/>
              </w:rPr>
              <w:t xml:space="preserve"> -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</w:t>
            </w:r>
          </w:p>
        </w:tc>
      </w:tr>
      <w:tr w:rsidR="00F40F72" w:rsidRPr="00F40F72" w14:paraId="381193F0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3F5388CF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from text messages</w:t>
            </w:r>
          </w:p>
        </w:tc>
        <w:tc>
          <w:tcPr>
            <w:tcW w:w="6945" w:type="dxa"/>
            <w:noWrap/>
            <w:vAlign w:val="center"/>
          </w:tcPr>
          <w:p w14:paraId="02B4549B" w14:textId="308AEFD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Cost is based on the number of text messages made </w:t>
            </w:r>
            <w:r w:rsidR="00E03EFD">
              <w:rPr>
                <w:rFonts w:cstheme="minorHAnsi"/>
                <w:color w:val="000000" w:themeColor="text1"/>
              </w:rPr>
              <w:t xml:space="preserve">by </w:t>
            </w:r>
            <w:r w:rsidRPr="00F40F72">
              <w:rPr>
                <w:rFonts w:cstheme="minorHAnsi"/>
                <w:color w:val="000000" w:themeColor="text1"/>
              </w:rPr>
              <w:t xml:space="preserve">the </w:t>
            </w:r>
            <w:r w:rsidR="00F63907">
              <w:rPr>
                <w:rFonts w:cstheme="minorHAnsi"/>
                <w:color w:val="000000" w:themeColor="text1"/>
              </w:rPr>
              <w:t>C</w:t>
            </w:r>
            <w:r w:rsidRPr="00F40F72">
              <w:rPr>
                <w:rFonts w:cstheme="minorHAnsi"/>
                <w:color w:val="000000" w:themeColor="text1"/>
              </w:rPr>
              <w:t>ESN to the CYP’s parents/guardians (£5.07 per text</w:t>
            </w:r>
            <w:r w:rsidR="00E03EFD">
              <w:rPr>
                <w:rFonts w:cstheme="minorHAnsi"/>
                <w:color w:val="000000" w:themeColor="text1"/>
              </w:rPr>
              <w:t xml:space="preserve"> taking 5 minutes on average to write</w:t>
            </w:r>
            <w:r w:rsidRPr="00F40F72">
              <w:rPr>
                <w:rFonts w:cstheme="minorHAnsi"/>
                <w:color w:val="000000" w:themeColor="text1"/>
              </w:rPr>
              <w:t>)</w:t>
            </w:r>
            <w:r w:rsidR="00D50093">
              <w:rPr>
                <w:rFonts w:cstheme="minorHAnsi"/>
                <w:color w:val="000000" w:themeColor="text1"/>
              </w:rPr>
              <w:t>. Telephone subscription fee not included.</w:t>
            </w:r>
          </w:p>
        </w:tc>
        <w:tc>
          <w:tcPr>
            <w:tcW w:w="4314" w:type="dxa"/>
            <w:vAlign w:val="center"/>
          </w:tcPr>
          <w:p w14:paraId="5B1E64E5" w14:textId="631ADD00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2023 PSSRU Annual and unit costs for hospital-based nurses (Band 6 - Cost per hour including qualifications)</w:t>
            </w:r>
            <w:r w:rsidR="004B3CE2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4388226E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15653A81" w14:textId="7D63AA3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A&amp;E </w:t>
            </w:r>
            <w:r w:rsidR="00E03EFD">
              <w:rPr>
                <w:rFonts w:cstheme="minorHAnsi"/>
                <w:color w:val="000000" w:themeColor="text1"/>
              </w:rPr>
              <w:t>visit</w:t>
            </w:r>
          </w:p>
        </w:tc>
        <w:tc>
          <w:tcPr>
            <w:tcW w:w="6945" w:type="dxa"/>
            <w:noWrap/>
            <w:vAlign w:val="center"/>
          </w:tcPr>
          <w:p w14:paraId="107A62B9" w14:textId="49A0951F" w:rsid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Total number of A&amp;E </w:t>
            </w:r>
            <w:r w:rsidR="00E03EFD">
              <w:rPr>
                <w:rFonts w:cstheme="minorHAnsi"/>
                <w:color w:val="000000" w:themeColor="text1"/>
              </w:rPr>
              <w:t>visit</w:t>
            </w:r>
            <w:r w:rsidRPr="00F40F72">
              <w:rPr>
                <w:rFonts w:cstheme="minorHAnsi"/>
                <w:color w:val="000000" w:themeColor="text1"/>
              </w:rPr>
              <w:t xml:space="preserve"> by the CYP</w:t>
            </w:r>
          </w:p>
          <w:p w14:paraId="678211F2" w14:textId="77777777" w:rsidR="00E03EFD" w:rsidRPr="00F40F72" w:rsidRDefault="00E03EFD" w:rsidP="002E50A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314" w:type="dxa"/>
            <w:vAlign w:val="center"/>
          </w:tcPr>
          <w:p w14:paraId="03F75BC4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HDUHB Information Services</w:t>
            </w:r>
          </w:p>
        </w:tc>
      </w:tr>
      <w:tr w:rsidR="00F40F72" w:rsidRPr="00F40F72" w14:paraId="270D3972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589DA097" w14:textId="2CC636A8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Cost of A&amp;E </w:t>
            </w:r>
            <w:r w:rsidR="00E03EFD">
              <w:rPr>
                <w:rFonts w:cstheme="minorHAnsi"/>
                <w:color w:val="000000" w:themeColor="text1"/>
              </w:rPr>
              <w:t>visit</w:t>
            </w:r>
          </w:p>
        </w:tc>
        <w:tc>
          <w:tcPr>
            <w:tcW w:w="6945" w:type="dxa"/>
            <w:noWrap/>
            <w:vAlign w:val="center"/>
          </w:tcPr>
          <w:p w14:paraId="32269766" w14:textId="78DCDD9B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 xml:space="preserve">The cost incurred from </w:t>
            </w:r>
            <w:r w:rsidR="00E03EFD">
              <w:rPr>
                <w:rFonts w:cstheme="minorHAnsi"/>
                <w:color w:val="000000" w:themeColor="text1"/>
              </w:rPr>
              <w:t xml:space="preserve">an </w:t>
            </w:r>
            <w:r w:rsidRPr="00F40F72">
              <w:rPr>
                <w:rFonts w:cstheme="minorHAnsi"/>
                <w:color w:val="000000" w:themeColor="text1"/>
              </w:rPr>
              <w:t xml:space="preserve">A&amp;E </w:t>
            </w:r>
            <w:r w:rsidR="00E03EFD">
              <w:rPr>
                <w:rFonts w:cstheme="minorHAnsi"/>
                <w:color w:val="000000" w:themeColor="text1"/>
              </w:rPr>
              <w:t>visit</w:t>
            </w:r>
            <w:r w:rsidRPr="00F40F72">
              <w:rPr>
                <w:rFonts w:cstheme="minorHAnsi"/>
                <w:color w:val="000000" w:themeColor="text1"/>
              </w:rPr>
              <w:t xml:space="preserve"> by the CYP</w:t>
            </w:r>
          </w:p>
        </w:tc>
        <w:tc>
          <w:tcPr>
            <w:tcW w:w="4314" w:type="dxa"/>
            <w:vAlign w:val="center"/>
          </w:tcPr>
          <w:p w14:paraId="0D8AF608" w14:textId="3B2179A9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National Tariff - VB08Z (Emergency Medicine, Category 2 Investigation with Category 1 Treatment)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[28]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7E31BCD4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41618828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Inpatient admission</w:t>
            </w:r>
          </w:p>
        </w:tc>
        <w:tc>
          <w:tcPr>
            <w:tcW w:w="6945" w:type="dxa"/>
            <w:noWrap/>
            <w:vAlign w:val="center"/>
          </w:tcPr>
          <w:p w14:paraId="30C57B56" w14:textId="77777777" w:rsid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Total number of inpatient stays by the CYP</w:t>
            </w:r>
          </w:p>
          <w:p w14:paraId="55B133C8" w14:textId="77777777" w:rsidR="00E03EFD" w:rsidRPr="00F40F72" w:rsidRDefault="00E03EFD" w:rsidP="002E50A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314" w:type="dxa"/>
            <w:vAlign w:val="center"/>
          </w:tcPr>
          <w:p w14:paraId="0A1C63EA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HDUHB Information Services</w:t>
            </w:r>
          </w:p>
        </w:tc>
      </w:tr>
      <w:tr w:rsidR="00F40F72" w:rsidRPr="00F40F72" w14:paraId="6E2C6792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55261364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of inpatient admission</w:t>
            </w:r>
          </w:p>
        </w:tc>
        <w:tc>
          <w:tcPr>
            <w:tcW w:w="6945" w:type="dxa"/>
            <w:noWrap/>
            <w:vAlign w:val="center"/>
          </w:tcPr>
          <w:p w14:paraId="30C2BF44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The cost incurred from inpatient admission by the CYP</w:t>
            </w:r>
          </w:p>
        </w:tc>
        <w:tc>
          <w:tcPr>
            <w:tcW w:w="4314" w:type="dxa"/>
            <w:vAlign w:val="center"/>
          </w:tcPr>
          <w:p w14:paraId="3A3068AC" w14:textId="3B49360A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National Tariff - Combined day case /ordinary elective spell or Non-elective spell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[28]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  <w:r w:rsidRPr="00F40F72">
              <w:rPr>
                <w:rFonts w:cstheme="minorHAnsi"/>
                <w:color w:val="000000" w:themeColor="text1"/>
              </w:rPr>
              <w:t xml:space="preserve"> and </w:t>
            </w:r>
            <w:r w:rsidRPr="00F40F72">
              <w:rPr>
                <w:rFonts w:cstheme="minorHAnsi"/>
                <w:color w:val="000000" w:themeColor="text1"/>
              </w:rPr>
              <w:lastRenderedPageBreak/>
              <w:t>National Tariff - AA26F (Muscular, Balance, Cranial or Peripheral Nerve Disorders, Epilepsy or Head Injury, with CC Score 6-8)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[28]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2A2675C5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388E4B1E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lastRenderedPageBreak/>
              <w:t>Outpatient appointment</w:t>
            </w:r>
          </w:p>
        </w:tc>
        <w:tc>
          <w:tcPr>
            <w:tcW w:w="6945" w:type="dxa"/>
            <w:noWrap/>
            <w:vAlign w:val="center"/>
          </w:tcPr>
          <w:p w14:paraId="1FA7E693" w14:textId="77777777" w:rsid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Total number of outpatient attendances by the CYP</w:t>
            </w:r>
          </w:p>
          <w:p w14:paraId="45E49A23" w14:textId="77777777" w:rsidR="00E03EFD" w:rsidRPr="00F40F72" w:rsidRDefault="00E03EFD" w:rsidP="002E50A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314" w:type="dxa"/>
            <w:vAlign w:val="center"/>
          </w:tcPr>
          <w:p w14:paraId="6DF9FB31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HDUHB Information Services</w:t>
            </w:r>
          </w:p>
        </w:tc>
      </w:tr>
      <w:tr w:rsidR="00F40F72" w:rsidRPr="00F40F72" w14:paraId="1184BEDA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2080E0DB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Cost of Outpatient appointment</w:t>
            </w:r>
          </w:p>
        </w:tc>
        <w:tc>
          <w:tcPr>
            <w:tcW w:w="6945" w:type="dxa"/>
            <w:noWrap/>
            <w:vAlign w:val="center"/>
          </w:tcPr>
          <w:p w14:paraId="0B3F06AE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The cost incurred from outpatient appointments by the CYP</w:t>
            </w:r>
          </w:p>
        </w:tc>
        <w:tc>
          <w:tcPr>
            <w:tcW w:w="4314" w:type="dxa"/>
            <w:vAlign w:val="center"/>
          </w:tcPr>
          <w:p w14:paraId="0BF001E1" w14:textId="42BF42DD" w:rsidR="00F40F72" w:rsidRPr="00F40F72" w:rsidRDefault="00F40F72" w:rsidP="002E50A6">
            <w:pPr>
              <w:tabs>
                <w:tab w:val="left" w:pos="2954"/>
              </w:tabs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National Tariff (first attendance -single professional)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{"citationItems":[{"id":"ITEM-1","itemData":{"URL":"https://www.england.nhs.uk/publication/past-national-tariffs-documents-and-policies/","accessed":{"date-parts":[["2024","5","16"]]},"author":[{"dropping-particle":"","family":"NHS England","given":"","non-dropping-particle":"","parse-names":false,"suffix":""}],"id":"ITEM-1","issued":{"date-parts":[["2023"]]},"title":"Past national tariffs: documents and policies","type":"webpage"},"uris":["http://www.mendeley.com/documents/?uuid=d9e58b5f-ce72-4358-b396-908c70a6c0d9"]}],"mendeley":{"formattedCitation":"[28]","plainTextFormattedCitation":"[28]","previouslyFormattedCitation":"[26]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[28]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  <w:r w:rsidRPr="00F40F72">
              <w:rPr>
                <w:rFonts w:cstheme="minorHAnsi"/>
                <w:color w:val="000000" w:themeColor="text1"/>
              </w:rPr>
              <w:t xml:space="preserve"> and 2019 PSSRU - Unit Costs of Health and Social Care - unit costs for hospital services - Outpatient attendances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{"citationItems":[{"id":"ITEM-1","itemData":{"ISBN":"978-1-911353-10-2","abstract":"SPIRITUALITY AND ISLAMIC FEMINISM: A CRITICAL ANALYSIS OF RELIGIOUS AGENCY IN SELECTED LITERARY AND CINEMATIC WORKS","author":[{"dropping-particle":"","family":"Curtis","given":"Lesley A","non-dropping-particle":"","parse-names":false,"suffix":""},{"dropping-particle":"","family":"Burns","given":"Amanda","non-dropping-particle":"","parse-names":false,"suffix":""}],"id":"ITEM-1","issued":{"date-parts":[["2019"]]},"number-of-pages":"176","publisher":"Personal Social Services Research Unit","publisher-place":"Canterbury","title":"PSSRU Unit Costs of Health and Social Care 2019","type":"report"},"uris":["http://www.mendeley.com/documents/?uuid=f352e030-8ff4-42ec-b2fc-0ab2ec6f34ea"]}],"mendeley":{"formattedCitation":"[26]","plainTextFormattedCitation":"[26]","previouslyFormattedCitation":"[24]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[26]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F40F72" w:rsidRPr="00F40F72" w14:paraId="6820BB79" w14:textId="77777777" w:rsidTr="00F40F72">
        <w:trPr>
          <w:trHeight w:val="20"/>
        </w:trPr>
        <w:tc>
          <w:tcPr>
            <w:tcW w:w="2689" w:type="dxa"/>
            <w:noWrap/>
            <w:vAlign w:val="center"/>
          </w:tcPr>
          <w:p w14:paraId="2C9A67D2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Medication</w:t>
            </w:r>
          </w:p>
        </w:tc>
        <w:tc>
          <w:tcPr>
            <w:tcW w:w="6945" w:type="dxa"/>
            <w:noWrap/>
            <w:vAlign w:val="center"/>
          </w:tcPr>
          <w:p w14:paraId="3A8DA6BA" w14:textId="77777777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Sodium valproate at maximum indicated daily dosage levels and two packs of rescue buccal midazolam pre-filled oral syringes, one for storage at home and the other at school</w:t>
            </w:r>
          </w:p>
        </w:tc>
        <w:tc>
          <w:tcPr>
            <w:tcW w:w="4314" w:type="dxa"/>
            <w:vAlign w:val="center"/>
          </w:tcPr>
          <w:p w14:paraId="6741F354" w14:textId="0FC8D772" w:rsidR="00F40F72" w:rsidRPr="00F40F72" w:rsidRDefault="00F40F72" w:rsidP="002E50A6">
            <w:pPr>
              <w:rPr>
                <w:rFonts w:cstheme="minorHAnsi"/>
                <w:color w:val="000000" w:themeColor="text1"/>
              </w:rPr>
            </w:pPr>
            <w:r w:rsidRPr="00F40F72">
              <w:rPr>
                <w:rFonts w:cstheme="minorHAnsi"/>
                <w:color w:val="000000" w:themeColor="text1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Pr="00F40F72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F40F72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F40F72">
              <w:rPr>
                <w:rFonts w:cstheme="minorHAnsi"/>
                <w:color w:val="000000" w:themeColor="text1"/>
              </w:rPr>
              <w:fldChar w:fldCharType="end"/>
            </w:r>
          </w:p>
        </w:tc>
      </w:tr>
    </w:tbl>
    <w:p w14:paraId="7BE4F370" w14:textId="77777777" w:rsidR="001034D9" w:rsidRPr="00243BD8" w:rsidRDefault="001034D9" w:rsidP="0053236F">
      <w:pPr>
        <w:rPr>
          <w:rFonts w:cstheme="minorHAnsi"/>
          <w:color w:val="000000" w:themeColor="text1"/>
        </w:rPr>
      </w:pPr>
    </w:p>
    <w:p w14:paraId="06B273E7" w14:textId="4EF155B9" w:rsidR="00261AFC" w:rsidRPr="009E13FB" w:rsidRDefault="009E13FB" w:rsidP="00261AFC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9E13FB">
        <w:rPr>
          <w:rFonts w:cstheme="minorHAnsi"/>
          <w:b/>
          <w:bCs/>
          <w:color w:val="000000" w:themeColor="text1"/>
          <w:sz w:val="24"/>
          <w:szCs w:val="24"/>
        </w:rPr>
        <w:t xml:space="preserve">S3 </w:t>
      </w:r>
      <w:r w:rsidR="00243BD8" w:rsidRPr="009E13FB">
        <w:rPr>
          <w:rFonts w:cstheme="minorHAnsi"/>
          <w:b/>
          <w:bCs/>
          <w:color w:val="000000" w:themeColor="text1"/>
          <w:sz w:val="24"/>
          <w:szCs w:val="24"/>
        </w:rPr>
        <w:t>Table 5</w:t>
      </w:r>
      <w:r w:rsidRPr="009E13FB">
        <w:rPr>
          <w:rFonts w:cstheme="minorHAnsi"/>
          <w:b/>
          <w:bCs/>
          <w:color w:val="000000" w:themeColor="text1"/>
          <w:sz w:val="24"/>
          <w:szCs w:val="24"/>
        </w:rPr>
        <w:t>.</w:t>
      </w:r>
      <w:r w:rsidR="00243BD8" w:rsidRPr="009E13F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261AFC" w:rsidRPr="009E13FB">
        <w:rPr>
          <w:rFonts w:cstheme="minorHAnsi"/>
          <w:color w:val="000000" w:themeColor="text1"/>
          <w:sz w:val="24"/>
          <w:szCs w:val="24"/>
        </w:rPr>
        <w:t>Imputed variables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689"/>
        <w:gridCol w:w="6945"/>
        <w:gridCol w:w="4314"/>
      </w:tblGrid>
      <w:tr w:rsidR="00243BD8" w:rsidRPr="00243BD8" w14:paraId="149EBAB3" w14:textId="77777777" w:rsidTr="00243BD8">
        <w:trPr>
          <w:trHeight w:val="20"/>
        </w:trPr>
        <w:tc>
          <w:tcPr>
            <w:tcW w:w="2689" w:type="dxa"/>
            <w:noWrap/>
          </w:tcPr>
          <w:p w14:paraId="07150B83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6945" w:type="dxa"/>
            <w:noWrap/>
          </w:tcPr>
          <w:p w14:paraId="4D67429B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b/>
                <w:bCs/>
                <w:color w:val="000000" w:themeColor="text1"/>
              </w:rPr>
              <w:t>Variable Description</w:t>
            </w:r>
          </w:p>
        </w:tc>
        <w:tc>
          <w:tcPr>
            <w:tcW w:w="4314" w:type="dxa"/>
          </w:tcPr>
          <w:p w14:paraId="0D731FFC" w14:textId="77777777" w:rsidR="00261AFC" w:rsidRPr="00243BD8" w:rsidRDefault="00261AFC" w:rsidP="002E50A6">
            <w:pPr>
              <w:tabs>
                <w:tab w:val="left" w:pos="468"/>
              </w:tabs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b/>
                <w:bCs/>
                <w:color w:val="000000" w:themeColor="text1"/>
              </w:rPr>
              <w:t>Source</w:t>
            </w:r>
          </w:p>
        </w:tc>
      </w:tr>
      <w:tr w:rsidR="00243BD8" w:rsidRPr="00243BD8" w14:paraId="622A29FE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286D28B0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Day Care</w:t>
            </w:r>
          </w:p>
        </w:tc>
        <w:tc>
          <w:tcPr>
            <w:tcW w:w="6945" w:type="dxa"/>
            <w:noWrap/>
            <w:vAlign w:val="center"/>
          </w:tcPr>
          <w:p w14:paraId="7EBEC299" w14:textId="5FCE6102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Estimated number of day care attendances by the CYP</w:t>
            </w:r>
          </w:p>
        </w:tc>
        <w:tc>
          <w:tcPr>
            <w:tcW w:w="4314" w:type="dxa"/>
            <w:vAlign w:val="center"/>
          </w:tcPr>
          <w:p w14:paraId="773C5F8A" w14:textId="029DF7A6" w:rsidR="00261AFC" w:rsidRPr="00243BD8" w:rsidRDefault="00261AFC" w:rsidP="002E50A6">
            <w:pPr>
              <w:tabs>
                <w:tab w:val="left" w:pos="468"/>
              </w:tabs>
              <w:rPr>
                <w:rFonts w:cstheme="minorHAnsi"/>
                <w:noProof/>
                <w:color w:val="000000" w:themeColor="text1"/>
                <w:kern w:val="0"/>
              </w:rPr>
            </w:pPr>
            <w:r w:rsidRPr="00243BD8">
              <w:rPr>
                <w:rFonts w:cstheme="minorHAnsi"/>
                <w:noProof/>
                <w:color w:val="000000" w:themeColor="text1"/>
                <w:kern w:val="0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noProof/>
                <w:color w:val="000000" w:themeColor="text1"/>
                <w:kern w:val="0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1E1A0DF4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0699CEAB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of Day Care</w:t>
            </w:r>
          </w:p>
        </w:tc>
        <w:tc>
          <w:tcPr>
            <w:tcW w:w="6945" w:type="dxa"/>
            <w:noWrap/>
            <w:vAlign w:val="center"/>
          </w:tcPr>
          <w:p w14:paraId="559A1DFB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incurred from the estimated number of day care attendance by the CYP</w:t>
            </w:r>
          </w:p>
        </w:tc>
        <w:tc>
          <w:tcPr>
            <w:tcW w:w="4314" w:type="dxa"/>
            <w:vAlign w:val="center"/>
          </w:tcPr>
          <w:p w14:paraId="147D184D" w14:textId="5292DE11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2019 PSSRU - Unit Costs of Health and Social Care, National Schedule of NHS costs for children's health services (Daycare for Child and Adolescent Mental Health Services, Average Cost Per Patient Contact)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{"citationItems":[{"id":"ITEM-1","itemData":{"ISBN":"978-1-911353-10-2","abstract":"SPIRITUALITY AND ISLAMIC FEMINISM: A CRITICAL ANALYSIS OF RELIGIOUS AGENCY IN SELECTED LITERARY AND CINEMATIC WORKS","author":[{"dropping-particle":"","family":"Curtis","given":"Lesley A","non-dropping-particle":"","parse-names":false,"suffix":""},{"dropping-particle":"","family":"Burns","given":"Amanda","non-dropping-particle":"","parse-names":false,"suffix":""}],"id":"ITEM-1","issued":{"date-parts":[["2019"]]},"number-of-pages":"176","publisher":"Personal Social Services Research Unit","publisher-place":"Canterbury","title":"PSSRU Unit Costs of Health and Social Care 2019","type":"report"},"uris":["http://www.mendeley.com/documents/?uuid=f352e030-8ff4-42ec-b2fc-0ab2ec6f34ea"]}],"mendeley":{"formattedCitation":"[26]","plainTextFormattedCitation":"[26]","previouslyFormattedCitation":"[24]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[26]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4C9A103F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68960428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GP doctor visit</w:t>
            </w:r>
          </w:p>
        </w:tc>
        <w:tc>
          <w:tcPr>
            <w:tcW w:w="6945" w:type="dxa"/>
            <w:noWrap/>
            <w:vAlign w:val="center"/>
          </w:tcPr>
          <w:p w14:paraId="5E2A6D6A" w14:textId="0B6C7840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Estimated number of GP doctor visits by the CYP</w:t>
            </w:r>
          </w:p>
        </w:tc>
        <w:tc>
          <w:tcPr>
            <w:tcW w:w="4314" w:type="dxa"/>
            <w:vAlign w:val="center"/>
          </w:tcPr>
          <w:p w14:paraId="1CB45127" w14:textId="2B27FC1B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noProof/>
                <w:color w:val="000000" w:themeColor="text1"/>
                <w:kern w:val="0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noProof/>
                <w:color w:val="000000" w:themeColor="text1"/>
                <w:kern w:val="0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241BB1A4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4D6E1AE0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from GP doctor visit</w:t>
            </w:r>
          </w:p>
        </w:tc>
        <w:tc>
          <w:tcPr>
            <w:tcW w:w="6945" w:type="dxa"/>
            <w:noWrap/>
            <w:vAlign w:val="center"/>
          </w:tcPr>
          <w:p w14:paraId="1409E2FD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The cost incurred from the estimated number of GP doctor visits by the CYP</w:t>
            </w:r>
          </w:p>
        </w:tc>
        <w:tc>
          <w:tcPr>
            <w:tcW w:w="4314" w:type="dxa"/>
            <w:vAlign w:val="center"/>
          </w:tcPr>
          <w:p w14:paraId="5A55AEB1" w14:textId="49B80980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2023 PSSRU - Unit Costs of Health and Social Care, Community-based health care staff (GP: Per surgery consultation)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6B571E82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557AA549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lastRenderedPageBreak/>
              <w:t>GP nurse visit</w:t>
            </w:r>
          </w:p>
        </w:tc>
        <w:tc>
          <w:tcPr>
            <w:tcW w:w="6945" w:type="dxa"/>
            <w:noWrap/>
            <w:vAlign w:val="center"/>
          </w:tcPr>
          <w:p w14:paraId="5D23D103" w14:textId="5B4DDFA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Estimated number of GP nurse visits by the CYP</w:t>
            </w:r>
          </w:p>
        </w:tc>
        <w:tc>
          <w:tcPr>
            <w:tcW w:w="4314" w:type="dxa"/>
            <w:vAlign w:val="center"/>
          </w:tcPr>
          <w:p w14:paraId="421644B8" w14:textId="146A73E8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noProof/>
                <w:color w:val="000000" w:themeColor="text1"/>
                <w:kern w:val="0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noProof/>
                <w:color w:val="000000" w:themeColor="text1"/>
                <w:kern w:val="0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540A6AC2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083A4F00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from GP nurse visit</w:t>
            </w:r>
          </w:p>
        </w:tc>
        <w:tc>
          <w:tcPr>
            <w:tcW w:w="6945" w:type="dxa"/>
            <w:noWrap/>
            <w:vAlign w:val="center"/>
          </w:tcPr>
          <w:p w14:paraId="3FF56A86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The cost incurred from the estimated number of GP nurse visits by the CYP</w:t>
            </w:r>
          </w:p>
        </w:tc>
        <w:tc>
          <w:tcPr>
            <w:tcW w:w="4314" w:type="dxa"/>
            <w:vAlign w:val="center"/>
          </w:tcPr>
          <w:p w14:paraId="45046102" w14:textId="145AC776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2021/2022 National Schedule of NHS costs (N12: Nursing Services for Children)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{"citationItems":[{"id":"ITEM-1","itemData":{"URL":"https://www.england.nhs.uk/publication/2021-22-national-cost-collection-data-publication/","author":[{"dropping-particle":"","family":"NHS England","given":"","non-dropping-particle":"","parse-names":false,"suffix":""}],"id":"ITEM-1","issued":{"date-parts":[["2023"]]},"title":"2021/22 National Cost Collection Data Publication","type":"webpage"},"uris":["http://www.mendeley.com/documents/?uuid=6cb247e3-ca62-4db3-8fb0-b7e54f9c965e"]}],"mendeley":{"formattedCitation":"[27]","plainTextFormattedCitation":"[27]","previouslyFormattedCitation":"[25]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[27]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39CFB280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2EAE76EF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Physiotherapist visit</w:t>
            </w:r>
          </w:p>
        </w:tc>
        <w:tc>
          <w:tcPr>
            <w:tcW w:w="6945" w:type="dxa"/>
            <w:noWrap/>
            <w:vAlign w:val="center"/>
          </w:tcPr>
          <w:p w14:paraId="76157C39" w14:textId="5589F08B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Estimated number of Physiotherapist visits by the CYP</w:t>
            </w:r>
          </w:p>
        </w:tc>
        <w:tc>
          <w:tcPr>
            <w:tcW w:w="4314" w:type="dxa"/>
            <w:vAlign w:val="center"/>
          </w:tcPr>
          <w:p w14:paraId="314B88E6" w14:textId="0177099B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noProof/>
                <w:color w:val="000000" w:themeColor="text1"/>
                <w:kern w:val="0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noProof/>
                <w:color w:val="000000" w:themeColor="text1"/>
                <w:kern w:val="0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5BD7C714" w14:textId="77777777" w:rsidTr="00243BD8">
        <w:trPr>
          <w:trHeight w:val="20"/>
        </w:trPr>
        <w:tc>
          <w:tcPr>
            <w:tcW w:w="2689" w:type="dxa"/>
            <w:noWrap/>
            <w:vAlign w:val="center"/>
          </w:tcPr>
          <w:p w14:paraId="6FFFB542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from Physiotherapist visit</w:t>
            </w:r>
          </w:p>
        </w:tc>
        <w:tc>
          <w:tcPr>
            <w:tcW w:w="6945" w:type="dxa"/>
            <w:noWrap/>
            <w:vAlign w:val="center"/>
          </w:tcPr>
          <w:p w14:paraId="3FD9A03C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incurred from the estimated number of Physiotherapist visits by the CYP</w:t>
            </w:r>
          </w:p>
        </w:tc>
        <w:tc>
          <w:tcPr>
            <w:tcW w:w="4314" w:type="dxa"/>
            <w:vAlign w:val="center"/>
          </w:tcPr>
          <w:p w14:paraId="1AE4EFFF" w14:textId="3C4235D0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2021/2022 National Schedule of NHS costs (A08C1: Physiotherapist, Child, One to One)</w:t>
            </w:r>
            <w:r w:rsidR="00062850">
              <w:rPr>
                <w:rFonts w:cstheme="minorHAnsi"/>
                <w:color w:val="000000" w:themeColor="text1"/>
              </w:rPr>
              <w:t xml:space="preserve"> </w:t>
            </w:r>
            <w:r w:rsidR="00062850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{"citationItems":[{"id":"ITEM-1","itemData":{"URL":"https://www.england.nhs.uk/publication/2021-22-national-cost-collection-data-publication/","author":[{"dropping-particle":"","family":"NHS England","given":"","non-dropping-particle":"","parse-names":false,"suffix":""}],"id":"ITEM-1","issued":{"date-parts":[["2023"]]},"title":"2021/22 National Cost Collection Data Publication","type":"webpage"},"uris":["http://www.mendeley.com/documents/?uuid=6cb247e3-ca62-4db3-8fb0-b7e54f9c965e"]}],"mendeley":{"formattedCitation":"[27]","plainTextFormattedCitation":"[27]","previouslyFormattedCitation":"[25]"},"properties":{"noteIndex":0},"schema":"https://github.com/citation-style-language/schema/raw/master/csl-citation.json"}</w:instrText>
            </w:r>
            <w:r w:rsidR="00062850">
              <w:rPr>
                <w:rFonts w:cstheme="minorHAnsi"/>
                <w:color w:val="000000" w:themeColor="text1"/>
              </w:rPr>
              <w:fldChar w:fldCharType="separate"/>
            </w:r>
            <w:r w:rsidR="00B3611F" w:rsidRPr="00B3611F">
              <w:rPr>
                <w:rFonts w:cstheme="minorHAnsi"/>
                <w:noProof/>
                <w:color w:val="000000" w:themeColor="text1"/>
              </w:rPr>
              <w:t>[27]</w:t>
            </w:r>
            <w:r w:rsidR="00062850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44420231" w14:textId="77777777" w:rsidTr="00243BD8">
        <w:trPr>
          <w:trHeight w:val="20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</w:tcPr>
          <w:p w14:paraId="7FFD2201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Social Worker visit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noWrap/>
            <w:vAlign w:val="center"/>
          </w:tcPr>
          <w:p w14:paraId="2D0E751A" w14:textId="27DDED66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Estimated number of social worker visits by the CYP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1EAF4049" w14:textId="581E89D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noProof/>
                <w:color w:val="000000" w:themeColor="text1"/>
                <w:kern w:val="0"/>
              </w:rPr>
              <w:t>NICE (2022). Epilepsies in children, young people and adults: [O] Effectiveness of a nurse specialist in the management of epilepsy</w:t>
            </w:r>
            <w:r w:rsidR="00062850">
              <w:rPr>
                <w:rFonts w:cstheme="minorHAnsi"/>
                <w:noProof/>
                <w:color w:val="000000" w:themeColor="text1"/>
                <w:kern w:val="0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{"citationItems":[{"id":"ITEM-1","itemData":{"ISBN":"9781473145139","author":[{"dropping-particle":"","family":"NICE","given":"","non-dropping-particle":"","parse-names":false,"suffix":""}],"id":"ITEM-1","issued":{"date-parts":[["2022"]]},"publisher":"NICE","title":"Epilepsies in children, young people and adults: [O] Effectiveness of a nurse specialist in the management of epilepsy","type":"book"},"uris":["http://www.mendeley.com/documents/?uuid=9389920b-e674-42c5-a1fa-dd34eaf6774e"]}],"mendeley":{"formattedCitation":"[16]","plainTextFormattedCitation":"[16]","previouslyFormattedCitation":"[16]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[16]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  <w:tr w:rsidR="00243BD8" w:rsidRPr="00243BD8" w14:paraId="336E1496" w14:textId="77777777" w:rsidTr="00243BD8">
        <w:trPr>
          <w:trHeight w:val="20"/>
        </w:trPr>
        <w:tc>
          <w:tcPr>
            <w:tcW w:w="2689" w:type="dxa"/>
            <w:tcBorders>
              <w:bottom w:val="single" w:sz="4" w:space="0" w:color="auto"/>
            </w:tcBorders>
            <w:noWrap/>
            <w:vAlign w:val="center"/>
          </w:tcPr>
          <w:p w14:paraId="335AEB31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from social worker visit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noWrap/>
            <w:vAlign w:val="center"/>
          </w:tcPr>
          <w:p w14:paraId="41FD8507" w14:textId="77777777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Cost incurred from the estimated number of social worker visits by the CYP</w:t>
            </w:r>
          </w:p>
        </w:tc>
        <w:tc>
          <w:tcPr>
            <w:tcW w:w="4314" w:type="dxa"/>
            <w:tcBorders>
              <w:bottom w:val="single" w:sz="4" w:space="0" w:color="auto"/>
            </w:tcBorders>
            <w:vAlign w:val="center"/>
          </w:tcPr>
          <w:p w14:paraId="35E5294C" w14:textId="57CE8E5C" w:rsidR="00261AFC" w:rsidRPr="00243BD8" w:rsidRDefault="00261AFC" w:rsidP="002E50A6">
            <w:pPr>
              <w:rPr>
                <w:rFonts w:cstheme="minorHAnsi"/>
                <w:color w:val="000000" w:themeColor="text1"/>
              </w:rPr>
            </w:pPr>
            <w:r w:rsidRPr="00243BD8">
              <w:rPr>
                <w:rFonts w:cstheme="minorHAnsi"/>
                <w:color w:val="000000" w:themeColor="text1"/>
              </w:rPr>
              <w:t>2023 PSSRU - Unit Costs of Health and Social Care, Social work assistant unit cost (Costs and unit estimations for a social work assistant - Per</w:t>
            </w:r>
            <w:r w:rsidRPr="00243BD8">
              <w:rPr>
                <w:rStyle w:val="fontstyle01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hour without qualifications)</w:t>
            </w:r>
            <w:r w:rsidR="00062850">
              <w:rPr>
                <w:rStyle w:val="fontstyle01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243BD8">
              <w:rPr>
                <w:rFonts w:cstheme="minorHAnsi"/>
                <w:color w:val="000000" w:themeColor="text1"/>
              </w:rPr>
              <w:fldChar w:fldCharType="begin" w:fldLock="1"/>
            </w:r>
            <w:r w:rsidR="00B3611F">
              <w:rPr>
                <w:rFonts w:cstheme="minorHAnsi"/>
                <w:color w:val="000000" w:themeColor="text1"/>
              </w:rPr>
              <w:instrText>ADDIN CSL_CITATION {"citationItems":[{"id":"ITEM-1","itemData":{"author":[{"dropping-particle":"","family":"Jones","given":"Karen C.","non-dropping-particle":"","parse-names":false,"suffix":""},{"dropping-particle":"","family":"Weatherly","given":"Helen","non-dropping-particle":"","parse-names":false,"suffix":""},{"dropping-particle":"","family":"Birch","given":"Sarah","non-dropping-particle":"","parse-names":false,"suffix":""},{"dropping-particle":"","family":"Castelli","given":"Adriana","non-dropping-particle":"","parse-names":false,"suffix":""},{"dropping-particle":"","family":"Chalkley","given":"Martin","non-dropping-particle":"","parse-names":false,"suffix":""},{"dropping-particle":"","family":"Dargan","given":"Alan","non-dropping-particle":"","parse-names":false,"suffix":""},{"dropping-particle":"","family":"Forder","given":"Julien E.","non-dropping-particle":"","parse-names":false,"suffix":""},{"dropping-particle":"","family":"Gao","given":"Minyue","non-dropping-particle":"","parse-names":false,"suffix":""},{"dropping-particle":"","family":"Hinde","given":"Seb","non-dropping-particle":"","parse-names":false,"suffix":""},{"dropping-particle":"","family":"Markham","given":"Sarah","non-dropping-particle":"","parse-names":false,"suffix":""}],"id":"ITEM-1","issued":{"date-parts":[["2024"]]},"number-of-pages":"122","publisher":"Personal Social Services Research Unit","publisher-place":"Canterbury","title":"Unit Costs of Health and Social Care 2023 Manual","type":"report"},"uris":["http://www.mendeley.com/documents/?uuid=f1cffc6d-b65d-4073-afd8-df5ace3cd313"]}],"mendeley":{"formattedCitation":"[21]","plainTextFormattedCitation":"[21]","previouslyFormattedCitation":"[21]"},"properties":{"noteIndex":0},"schema":"https://github.com/citation-style-language/schema/raw/master/csl-citation.json"}</w:instrText>
            </w:r>
            <w:r w:rsidRPr="00243BD8">
              <w:rPr>
                <w:rFonts w:cstheme="minorHAnsi"/>
                <w:color w:val="000000" w:themeColor="text1"/>
              </w:rPr>
              <w:fldChar w:fldCharType="separate"/>
            </w:r>
            <w:r w:rsidR="004738BE" w:rsidRPr="004738BE">
              <w:rPr>
                <w:rFonts w:cstheme="minorHAnsi"/>
                <w:noProof/>
                <w:color w:val="000000" w:themeColor="text1"/>
              </w:rPr>
              <w:t>[21]</w:t>
            </w:r>
            <w:r w:rsidRPr="00243BD8">
              <w:rPr>
                <w:rFonts w:cstheme="minorHAnsi"/>
                <w:color w:val="000000" w:themeColor="text1"/>
              </w:rPr>
              <w:fldChar w:fldCharType="end"/>
            </w:r>
          </w:p>
        </w:tc>
      </w:tr>
    </w:tbl>
    <w:p w14:paraId="27D9F4E8" w14:textId="7750E038" w:rsidR="00243BD8" w:rsidRPr="00B06834" w:rsidRDefault="00243BD8" w:rsidP="0053236F">
      <w:pPr>
        <w:jc w:val="both"/>
        <w:rPr>
          <w:rFonts w:cstheme="minorHAnsi"/>
          <w:color w:val="000000" w:themeColor="text1"/>
        </w:rPr>
      </w:pPr>
    </w:p>
    <w:p w14:paraId="1F2CE18C" w14:textId="77777777" w:rsidR="00B06834" w:rsidRDefault="00B06834" w:rsidP="00B06834">
      <w:pPr>
        <w:rPr>
          <w:rFonts w:ascii="Calibri" w:hAnsi="Calibri" w:cs="Calibri"/>
          <w:b/>
          <w:bCs/>
        </w:rPr>
      </w:pPr>
      <w:r w:rsidRPr="00E92BD8">
        <w:rPr>
          <w:rFonts w:ascii="Calibri" w:hAnsi="Calibri" w:cs="Calibri"/>
          <w:b/>
          <w:bCs/>
        </w:rPr>
        <w:t>Additional References</w:t>
      </w:r>
    </w:p>
    <w:p w14:paraId="2BE8E762" w14:textId="77777777" w:rsidR="00F81011" w:rsidRPr="00D244E0" w:rsidRDefault="00F81011" w:rsidP="00F81011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25.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Driversnote. HMRC mileage rates 2024 [Internet]. 2024 [cited 2024 Jun 11]. Available from: https://www.driversnote.co.uk/blog/hmrc-mileage-rates-2024</w:t>
      </w:r>
    </w:p>
    <w:p w14:paraId="21015486" w14:textId="77777777" w:rsidR="00F81011" w:rsidRPr="00D244E0" w:rsidRDefault="00F81011" w:rsidP="00F81011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26.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Curtis LA, Burns A. PSSRU Unit Costs of Health and Social Care 2019 [Internet]. Canterbury: Personal Social Services Research Unit; 2019. Available from: www.pssru.ac.uk</w:t>
      </w:r>
    </w:p>
    <w:p w14:paraId="17D57EBF" w14:textId="60DFDF47" w:rsidR="00B06834" w:rsidRPr="00D244E0" w:rsidRDefault="00B06834" w:rsidP="00B06834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27.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NHS England. 2021/22 National Cost Collection Data Publication [Internet]. 2023. Available from: https://www.england.nhs.uk/publication/2021-22-national-cost-collection-data-publication/</w:t>
      </w:r>
    </w:p>
    <w:p w14:paraId="746C126A" w14:textId="77777777" w:rsidR="00B06834" w:rsidRPr="00D244E0" w:rsidRDefault="00B06834" w:rsidP="00B06834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28.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NHS England. Past national tariffs: documents and policies [Internet]. 2023 [cited 2024 May 16]. Available from: https://www.england.nhs.uk/publication/past-national-tariffs-documents-and-policies/</w:t>
      </w:r>
    </w:p>
    <w:p w14:paraId="442CF811" w14:textId="25F49D6A" w:rsidR="00B06834" w:rsidRDefault="00B06834" w:rsidP="00B06834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" w:hAnsi="Calibri" w:cs="Calibri"/>
          <w:noProof/>
          <w:color w:val="000000" w:themeColor="text1"/>
          <w:kern w:val="0"/>
        </w:rPr>
      </w:pPr>
      <w:r w:rsidRPr="00D244E0">
        <w:rPr>
          <w:rFonts w:ascii="Calibri" w:hAnsi="Calibri" w:cs="Calibri"/>
          <w:noProof/>
          <w:color w:val="000000" w:themeColor="text1"/>
          <w:kern w:val="0"/>
        </w:rPr>
        <w:t xml:space="preserve">30. </w:t>
      </w:r>
      <w:r w:rsidRPr="00D244E0">
        <w:rPr>
          <w:rFonts w:ascii="Calibri" w:hAnsi="Calibri" w:cs="Calibri"/>
          <w:noProof/>
          <w:color w:val="000000" w:themeColor="text1"/>
          <w:kern w:val="0"/>
        </w:rPr>
        <w:tab/>
        <w:t>Welsh Government. Welsh Index of Multiple Deprivation (full Index update with ranks): 2019 [Internet]. 2022 [cited 2024 Sep 24]. Available from: https://www.gov.wales/welsh-index-multiple-deprivation-full-index-update-ranks-2019</w:t>
      </w:r>
    </w:p>
    <w:sectPr w:rsidR="00B06834" w:rsidSect="006A59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CEF6" w14:textId="77777777" w:rsidR="00616F8C" w:rsidRDefault="00616F8C" w:rsidP="00840926">
      <w:pPr>
        <w:spacing w:after="0" w:line="240" w:lineRule="auto"/>
      </w:pPr>
      <w:r>
        <w:separator/>
      </w:r>
    </w:p>
  </w:endnote>
  <w:endnote w:type="continuationSeparator" w:id="0">
    <w:p w14:paraId="03F7256D" w14:textId="77777777" w:rsidR="00616F8C" w:rsidRDefault="00616F8C" w:rsidP="00840926">
      <w:pPr>
        <w:spacing w:after="0" w:line="240" w:lineRule="auto"/>
      </w:pPr>
      <w:r>
        <w:continuationSeparator/>
      </w:r>
    </w:p>
  </w:endnote>
  <w:endnote w:type="continuationNotice" w:id="1">
    <w:p w14:paraId="7403E8EA" w14:textId="77777777" w:rsidR="00616F8C" w:rsidRDefault="00616F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090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D5F37" w14:textId="30ABC6BC" w:rsidR="00840926" w:rsidRDefault="00840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68A7B" w14:textId="77777777" w:rsidR="00840926" w:rsidRDefault="00840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8461" w14:textId="77777777" w:rsidR="00616F8C" w:rsidRDefault="00616F8C" w:rsidP="00840926">
      <w:pPr>
        <w:spacing w:after="0" w:line="240" w:lineRule="auto"/>
      </w:pPr>
      <w:r>
        <w:separator/>
      </w:r>
    </w:p>
  </w:footnote>
  <w:footnote w:type="continuationSeparator" w:id="0">
    <w:p w14:paraId="161D9341" w14:textId="77777777" w:rsidR="00616F8C" w:rsidRDefault="00616F8C" w:rsidP="00840926">
      <w:pPr>
        <w:spacing w:after="0" w:line="240" w:lineRule="auto"/>
      </w:pPr>
      <w:r>
        <w:continuationSeparator/>
      </w:r>
    </w:p>
  </w:footnote>
  <w:footnote w:type="continuationNotice" w:id="1">
    <w:p w14:paraId="2A71515A" w14:textId="77777777" w:rsidR="00616F8C" w:rsidRDefault="00616F8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F8"/>
    <w:multiLevelType w:val="hybridMultilevel"/>
    <w:tmpl w:val="0EB0E1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70607"/>
    <w:multiLevelType w:val="hybridMultilevel"/>
    <w:tmpl w:val="F384AA8A"/>
    <w:lvl w:ilvl="0" w:tplc="1C681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27E"/>
    <w:multiLevelType w:val="hybridMultilevel"/>
    <w:tmpl w:val="696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4910"/>
    <w:multiLevelType w:val="hybridMultilevel"/>
    <w:tmpl w:val="6962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211D0"/>
    <w:multiLevelType w:val="hybridMultilevel"/>
    <w:tmpl w:val="632AD53E"/>
    <w:lvl w:ilvl="0" w:tplc="5B147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4B"/>
    <w:multiLevelType w:val="hybridMultilevel"/>
    <w:tmpl w:val="58042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26E4D"/>
    <w:multiLevelType w:val="hybridMultilevel"/>
    <w:tmpl w:val="B1C8C33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09B1743C"/>
    <w:multiLevelType w:val="hybridMultilevel"/>
    <w:tmpl w:val="078E1AAA"/>
    <w:lvl w:ilvl="0" w:tplc="320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4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6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5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E2C78"/>
    <w:multiLevelType w:val="hybridMultilevel"/>
    <w:tmpl w:val="794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C08"/>
    <w:multiLevelType w:val="hybridMultilevel"/>
    <w:tmpl w:val="7ED2B142"/>
    <w:lvl w:ilvl="0" w:tplc="8188B2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CC0CA526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F5AB8"/>
    <w:multiLevelType w:val="hybridMultilevel"/>
    <w:tmpl w:val="25C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94520"/>
    <w:multiLevelType w:val="multilevel"/>
    <w:tmpl w:val="5972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74B5E7E"/>
    <w:multiLevelType w:val="hybridMultilevel"/>
    <w:tmpl w:val="835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3533"/>
    <w:multiLevelType w:val="hybridMultilevel"/>
    <w:tmpl w:val="22B6E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B5D7F"/>
    <w:multiLevelType w:val="hybridMultilevel"/>
    <w:tmpl w:val="237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14B"/>
    <w:multiLevelType w:val="hybridMultilevel"/>
    <w:tmpl w:val="922286A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0643"/>
    <w:multiLevelType w:val="multilevel"/>
    <w:tmpl w:val="C5D06F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D93DE3"/>
    <w:multiLevelType w:val="hybridMultilevel"/>
    <w:tmpl w:val="E2F6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884"/>
    <w:multiLevelType w:val="hybridMultilevel"/>
    <w:tmpl w:val="D1EA8B0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7D4A"/>
    <w:multiLevelType w:val="hybridMultilevel"/>
    <w:tmpl w:val="A09023B6"/>
    <w:lvl w:ilvl="0" w:tplc="78BC2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7E3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EEB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D09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4C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D6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0E0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22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C6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06600C6"/>
    <w:multiLevelType w:val="multilevel"/>
    <w:tmpl w:val="D7E0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8D7775"/>
    <w:multiLevelType w:val="hybridMultilevel"/>
    <w:tmpl w:val="31E4639C"/>
    <w:lvl w:ilvl="0" w:tplc="D8C4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A87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4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2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8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D52C3"/>
    <w:multiLevelType w:val="hybridMultilevel"/>
    <w:tmpl w:val="A9DA855C"/>
    <w:lvl w:ilvl="0" w:tplc="8188B2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0B7F"/>
    <w:multiLevelType w:val="hybridMultilevel"/>
    <w:tmpl w:val="5F2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229"/>
    <w:multiLevelType w:val="hybridMultilevel"/>
    <w:tmpl w:val="FFB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F0BCC"/>
    <w:multiLevelType w:val="hybridMultilevel"/>
    <w:tmpl w:val="A542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797A"/>
    <w:multiLevelType w:val="hybridMultilevel"/>
    <w:tmpl w:val="218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8F1"/>
    <w:multiLevelType w:val="multilevel"/>
    <w:tmpl w:val="144A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5605EF"/>
    <w:multiLevelType w:val="multilevel"/>
    <w:tmpl w:val="BA5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84AF8"/>
    <w:multiLevelType w:val="hybridMultilevel"/>
    <w:tmpl w:val="BBDE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7C2"/>
    <w:multiLevelType w:val="hybridMultilevel"/>
    <w:tmpl w:val="222AEAC6"/>
    <w:lvl w:ilvl="0" w:tplc="4C30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6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952C37"/>
    <w:multiLevelType w:val="hybridMultilevel"/>
    <w:tmpl w:val="F58ECDDA"/>
    <w:lvl w:ilvl="0" w:tplc="5B147A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D4BF1"/>
    <w:multiLevelType w:val="multilevel"/>
    <w:tmpl w:val="620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94BBA"/>
    <w:multiLevelType w:val="hybridMultilevel"/>
    <w:tmpl w:val="E6E0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3D5"/>
    <w:multiLevelType w:val="hybridMultilevel"/>
    <w:tmpl w:val="E10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0B96"/>
    <w:multiLevelType w:val="hybridMultilevel"/>
    <w:tmpl w:val="630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6121"/>
    <w:multiLevelType w:val="hybridMultilevel"/>
    <w:tmpl w:val="174C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F299D"/>
    <w:multiLevelType w:val="multilevel"/>
    <w:tmpl w:val="61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03CAD"/>
    <w:multiLevelType w:val="hybridMultilevel"/>
    <w:tmpl w:val="0A04A36C"/>
    <w:lvl w:ilvl="0" w:tplc="118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C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4F0C18"/>
    <w:multiLevelType w:val="hybridMultilevel"/>
    <w:tmpl w:val="5C7A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E2282"/>
    <w:multiLevelType w:val="hybridMultilevel"/>
    <w:tmpl w:val="27E0F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7F14"/>
    <w:multiLevelType w:val="hybridMultilevel"/>
    <w:tmpl w:val="6E52CB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74192EC4"/>
    <w:multiLevelType w:val="hybridMultilevel"/>
    <w:tmpl w:val="9C84D9BA"/>
    <w:lvl w:ilvl="0" w:tplc="5B147A6E">
      <w:start w:val="1"/>
      <w:numFmt w:val="lowerRoman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5B57724"/>
    <w:multiLevelType w:val="hybridMultilevel"/>
    <w:tmpl w:val="FEBA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B5502"/>
    <w:multiLevelType w:val="hybridMultilevel"/>
    <w:tmpl w:val="CCEAC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72288"/>
    <w:multiLevelType w:val="hybridMultilevel"/>
    <w:tmpl w:val="09B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884"/>
    <w:multiLevelType w:val="hybridMultilevel"/>
    <w:tmpl w:val="1DF465E2"/>
    <w:lvl w:ilvl="0" w:tplc="E6144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A5"/>
    <w:multiLevelType w:val="hybridMultilevel"/>
    <w:tmpl w:val="7D0A74AA"/>
    <w:lvl w:ilvl="0" w:tplc="0ED6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C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A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E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961959">
    <w:abstractNumId w:val="38"/>
  </w:num>
  <w:num w:numId="2" w16cid:durableId="1314143640">
    <w:abstractNumId w:val="4"/>
  </w:num>
  <w:num w:numId="3" w16cid:durableId="1291940991">
    <w:abstractNumId w:val="42"/>
  </w:num>
  <w:num w:numId="4" w16cid:durableId="1692225672">
    <w:abstractNumId w:val="41"/>
  </w:num>
  <w:num w:numId="5" w16cid:durableId="1396969395">
    <w:abstractNumId w:val="18"/>
  </w:num>
  <w:num w:numId="6" w16cid:durableId="1085342537">
    <w:abstractNumId w:val="24"/>
  </w:num>
  <w:num w:numId="7" w16cid:durableId="1985500384">
    <w:abstractNumId w:val="31"/>
  </w:num>
  <w:num w:numId="8" w16cid:durableId="492835671">
    <w:abstractNumId w:val="12"/>
  </w:num>
  <w:num w:numId="9" w16cid:durableId="1028530074">
    <w:abstractNumId w:val="28"/>
  </w:num>
  <w:num w:numId="10" w16cid:durableId="1106998705">
    <w:abstractNumId w:val="29"/>
  </w:num>
  <w:num w:numId="11" w16cid:durableId="1902670461">
    <w:abstractNumId w:val="30"/>
  </w:num>
  <w:num w:numId="12" w16cid:durableId="549918650">
    <w:abstractNumId w:val="7"/>
  </w:num>
  <w:num w:numId="13" w16cid:durableId="953055056">
    <w:abstractNumId w:val="32"/>
  </w:num>
  <w:num w:numId="14" w16cid:durableId="1676809950">
    <w:abstractNumId w:val="21"/>
  </w:num>
  <w:num w:numId="15" w16cid:durableId="1535995243">
    <w:abstractNumId w:val="0"/>
  </w:num>
  <w:num w:numId="16" w16cid:durableId="862862988">
    <w:abstractNumId w:val="47"/>
  </w:num>
  <w:num w:numId="17" w16cid:durableId="1775593688">
    <w:abstractNumId w:val="3"/>
  </w:num>
  <w:num w:numId="18" w16cid:durableId="307709675">
    <w:abstractNumId w:val="36"/>
  </w:num>
  <w:num w:numId="19" w16cid:durableId="300379635">
    <w:abstractNumId w:val="33"/>
  </w:num>
  <w:num w:numId="20" w16cid:durableId="1008169179">
    <w:abstractNumId w:val="26"/>
  </w:num>
  <w:num w:numId="21" w16cid:durableId="1099448687">
    <w:abstractNumId w:val="43"/>
  </w:num>
  <w:num w:numId="22" w16cid:durableId="483666219">
    <w:abstractNumId w:val="6"/>
  </w:num>
  <w:num w:numId="23" w16cid:durableId="789519645">
    <w:abstractNumId w:val="14"/>
  </w:num>
  <w:num w:numId="24" w16cid:durableId="1790657893">
    <w:abstractNumId w:val="45"/>
  </w:num>
  <w:num w:numId="25" w16cid:durableId="1172140233">
    <w:abstractNumId w:val="17"/>
  </w:num>
  <w:num w:numId="26" w16cid:durableId="557976309">
    <w:abstractNumId w:val="10"/>
  </w:num>
  <w:num w:numId="27" w16cid:durableId="1362632554">
    <w:abstractNumId w:val="40"/>
  </w:num>
  <w:num w:numId="28" w16cid:durableId="923610686">
    <w:abstractNumId w:val="23"/>
  </w:num>
  <w:num w:numId="29" w16cid:durableId="713165277">
    <w:abstractNumId w:val="2"/>
  </w:num>
  <w:num w:numId="30" w16cid:durableId="1365595110">
    <w:abstractNumId w:val="39"/>
  </w:num>
  <w:num w:numId="31" w16cid:durableId="16539849">
    <w:abstractNumId w:val="9"/>
  </w:num>
  <w:num w:numId="32" w16cid:durableId="1970821388">
    <w:abstractNumId w:val="34"/>
  </w:num>
  <w:num w:numId="33" w16cid:durableId="427165760">
    <w:abstractNumId w:val="13"/>
  </w:num>
  <w:num w:numId="34" w16cid:durableId="1971932970">
    <w:abstractNumId w:val="22"/>
  </w:num>
  <w:num w:numId="35" w16cid:durableId="334653766">
    <w:abstractNumId w:val="27"/>
  </w:num>
  <w:num w:numId="36" w16cid:durableId="1582567823">
    <w:abstractNumId w:val="16"/>
  </w:num>
  <w:num w:numId="37" w16cid:durableId="2068529208">
    <w:abstractNumId w:val="19"/>
  </w:num>
  <w:num w:numId="38" w16cid:durableId="623191071">
    <w:abstractNumId w:val="35"/>
  </w:num>
  <w:num w:numId="39" w16cid:durableId="1408531068">
    <w:abstractNumId w:val="25"/>
  </w:num>
  <w:num w:numId="40" w16cid:durableId="1839692374">
    <w:abstractNumId w:val="8"/>
  </w:num>
  <w:num w:numId="41" w16cid:durableId="752704184">
    <w:abstractNumId w:val="1"/>
  </w:num>
  <w:num w:numId="42" w16cid:durableId="878977639">
    <w:abstractNumId w:val="46"/>
  </w:num>
  <w:num w:numId="43" w16cid:durableId="2045136502">
    <w:abstractNumId w:val="20"/>
  </w:num>
  <w:num w:numId="44" w16cid:durableId="421529942">
    <w:abstractNumId w:val="37"/>
  </w:num>
  <w:num w:numId="45" w16cid:durableId="1751731224">
    <w:abstractNumId w:val="5"/>
  </w:num>
  <w:num w:numId="46" w16cid:durableId="928778392">
    <w:abstractNumId w:val="44"/>
  </w:num>
  <w:num w:numId="47" w16cid:durableId="130174601">
    <w:abstractNumId w:val="11"/>
  </w:num>
  <w:num w:numId="48" w16cid:durableId="1584024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1"/>
    <w:rsid w:val="0000000F"/>
    <w:rsid w:val="000000F0"/>
    <w:rsid w:val="0000053F"/>
    <w:rsid w:val="000016C7"/>
    <w:rsid w:val="000019F1"/>
    <w:rsid w:val="00002676"/>
    <w:rsid w:val="000028A4"/>
    <w:rsid w:val="00002D2A"/>
    <w:rsid w:val="00003581"/>
    <w:rsid w:val="0000429F"/>
    <w:rsid w:val="0000470B"/>
    <w:rsid w:val="00004740"/>
    <w:rsid w:val="00004ACB"/>
    <w:rsid w:val="0000560C"/>
    <w:rsid w:val="00005848"/>
    <w:rsid w:val="00005875"/>
    <w:rsid w:val="00006704"/>
    <w:rsid w:val="00006751"/>
    <w:rsid w:val="00006B9A"/>
    <w:rsid w:val="0000741D"/>
    <w:rsid w:val="00010955"/>
    <w:rsid w:val="00011622"/>
    <w:rsid w:val="00011D0E"/>
    <w:rsid w:val="00011E63"/>
    <w:rsid w:val="00011F54"/>
    <w:rsid w:val="00012719"/>
    <w:rsid w:val="00013672"/>
    <w:rsid w:val="00014661"/>
    <w:rsid w:val="0001496D"/>
    <w:rsid w:val="00015161"/>
    <w:rsid w:val="00015819"/>
    <w:rsid w:val="00016066"/>
    <w:rsid w:val="000160E9"/>
    <w:rsid w:val="00016E0F"/>
    <w:rsid w:val="00016F94"/>
    <w:rsid w:val="00017DF9"/>
    <w:rsid w:val="000206A9"/>
    <w:rsid w:val="00020854"/>
    <w:rsid w:val="000213EC"/>
    <w:rsid w:val="00021ACA"/>
    <w:rsid w:val="00021EBC"/>
    <w:rsid w:val="00021F8B"/>
    <w:rsid w:val="000222A8"/>
    <w:rsid w:val="0002247F"/>
    <w:rsid w:val="000236AA"/>
    <w:rsid w:val="00023E4F"/>
    <w:rsid w:val="00024478"/>
    <w:rsid w:val="000247CD"/>
    <w:rsid w:val="00024872"/>
    <w:rsid w:val="00024DE4"/>
    <w:rsid w:val="000260CB"/>
    <w:rsid w:val="0002629B"/>
    <w:rsid w:val="000264E8"/>
    <w:rsid w:val="00026745"/>
    <w:rsid w:val="000269AB"/>
    <w:rsid w:val="000275A5"/>
    <w:rsid w:val="00027623"/>
    <w:rsid w:val="00030584"/>
    <w:rsid w:val="000315BD"/>
    <w:rsid w:val="00031B42"/>
    <w:rsid w:val="00031D2C"/>
    <w:rsid w:val="00033074"/>
    <w:rsid w:val="00033630"/>
    <w:rsid w:val="0003366D"/>
    <w:rsid w:val="00033D52"/>
    <w:rsid w:val="00033E0B"/>
    <w:rsid w:val="00033EC4"/>
    <w:rsid w:val="00033F71"/>
    <w:rsid w:val="00034805"/>
    <w:rsid w:val="00034F3E"/>
    <w:rsid w:val="000367D7"/>
    <w:rsid w:val="00037513"/>
    <w:rsid w:val="000375AC"/>
    <w:rsid w:val="0004096C"/>
    <w:rsid w:val="0004096F"/>
    <w:rsid w:val="00040B5C"/>
    <w:rsid w:val="000419CB"/>
    <w:rsid w:val="00041AD0"/>
    <w:rsid w:val="00041FEA"/>
    <w:rsid w:val="000420E4"/>
    <w:rsid w:val="000422D2"/>
    <w:rsid w:val="000424DC"/>
    <w:rsid w:val="00043027"/>
    <w:rsid w:val="00043614"/>
    <w:rsid w:val="00043E8C"/>
    <w:rsid w:val="00044C31"/>
    <w:rsid w:val="00044DDB"/>
    <w:rsid w:val="00046CED"/>
    <w:rsid w:val="000472A8"/>
    <w:rsid w:val="000477B6"/>
    <w:rsid w:val="00047B76"/>
    <w:rsid w:val="00047C89"/>
    <w:rsid w:val="000502D6"/>
    <w:rsid w:val="000514E3"/>
    <w:rsid w:val="00051AAB"/>
    <w:rsid w:val="000522CD"/>
    <w:rsid w:val="0005255B"/>
    <w:rsid w:val="00052CD7"/>
    <w:rsid w:val="00053047"/>
    <w:rsid w:val="000539EC"/>
    <w:rsid w:val="000541B3"/>
    <w:rsid w:val="0005483A"/>
    <w:rsid w:val="0005486C"/>
    <w:rsid w:val="00054B72"/>
    <w:rsid w:val="00055127"/>
    <w:rsid w:val="00055348"/>
    <w:rsid w:val="000560C1"/>
    <w:rsid w:val="00056EE5"/>
    <w:rsid w:val="00060A04"/>
    <w:rsid w:val="00060EB2"/>
    <w:rsid w:val="00061113"/>
    <w:rsid w:val="00061846"/>
    <w:rsid w:val="00061930"/>
    <w:rsid w:val="00062177"/>
    <w:rsid w:val="00062850"/>
    <w:rsid w:val="00063682"/>
    <w:rsid w:val="000648AB"/>
    <w:rsid w:val="00065287"/>
    <w:rsid w:val="00065CF4"/>
    <w:rsid w:val="000660C8"/>
    <w:rsid w:val="00066C4B"/>
    <w:rsid w:val="00066CF7"/>
    <w:rsid w:val="0006712C"/>
    <w:rsid w:val="000673B7"/>
    <w:rsid w:val="00067CDA"/>
    <w:rsid w:val="0007131A"/>
    <w:rsid w:val="000718A5"/>
    <w:rsid w:val="000719F3"/>
    <w:rsid w:val="0007257A"/>
    <w:rsid w:val="00072C03"/>
    <w:rsid w:val="00072CB6"/>
    <w:rsid w:val="0007347F"/>
    <w:rsid w:val="0007364A"/>
    <w:rsid w:val="00073D97"/>
    <w:rsid w:val="00074DA6"/>
    <w:rsid w:val="0007616D"/>
    <w:rsid w:val="000763B2"/>
    <w:rsid w:val="00077E58"/>
    <w:rsid w:val="00077FDB"/>
    <w:rsid w:val="000805E9"/>
    <w:rsid w:val="00080BE6"/>
    <w:rsid w:val="000812F7"/>
    <w:rsid w:val="0008183C"/>
    <w:rsid w:val="000826F9"/>
    <w:rsid w:val="000836E3"/>
    <w:rsid w:val="00083A06"/>
    <w:rsid w:val="00084ACC"/>
    <w:rsid w:val="00084C3A"/>
    <w:rsid w:val="00084E8D"/>
    <w:rsid w:val="00085627"/>
    <w:rsid w:val="00085BA1"/>
    <w:rsid w:val="00086615"/>
    <w:rsid w:val="000867DB"/>
    <w:rsid w:val="0008692A"/>
    <w:rsid w:val="00086A4E"/>
    <w:rsid w:val="000870AD"/>
    <w:rsid w:val="00087ACE"/>
    <w:rsid w:val="00090297"/>
    <w:rsid w:val="000907C6"/>
    <w:rsid w:val="000907E5"/>
    <w:rsid w:val="00090C05"/>
    <w:rsid w:val="00090FF6"/>
    <w:rsid w:val="00091354"/>
    <w:rsid w:val="00092874"/>
    <w:rsid w:val="00092AF2"/>
    <w:rsid w:val="00092F27"/>
    <w:rsid w:val="00093822"/>
    <w:rsid w:val="00095399"/>
    <w:rsid w:val="0009568D"/>
    <w:rsid w:val="0009576F"/>
    <w:rsid w:val="00096345"/>
    <w:rsid w:val="00096675"/>
    <w:rsid w:val="000968A8"/>
    <w:rsid w:val="00097CDC"/>
    <w:rsid w:val="000A00AD"/>
    <w:rsid w:val="000A0107"/>
    <w:rsid w:val="000A07A0"/>
    <w:rsid w:val="000A0984"/>
    <w:rsid w:val="000A10B1"/>
    <w:rsid w:val="000A162C"/>
    <w:rsid w:val="000A2731"/>
    <w:rsid w:val="000A2767"/>
    <w:rsid w:val="000A30C1"/>
    <w:rsid w:val="000A37BA"/>
    <w:rsid w:val="000A48C1"/>
    <w:rsid w:val="000A4A4A"/>
    <w:rsid w:val="000A4E31"/>
    <w:rsid w:val="000A56DA"/>
    <w:rsid w:val="000B07B0"/>
    <w:rsid w:val="000B0865"/>
    <w:rsid w:val="000B0A76"/>
    <w:rsid w:val="000B1560"/>
    <w:rsid w:val="000B20C8"/>
    <w:rsid w:val="000B23FE"/>
    <w:rsid w:val="000B25F3"/>
    <w:rsid w:val="000B2F51"/>
    <w:rsid w:val="000B2FF5"/>
    <w:rsid w:val="000B30C9"/>
    <w:rsid w:val="000B31F3"/>
    <w:rsid w:val="000B4ABB"/>
    <w:rsid w:val="000B538E"/>
    <w:rsid w:val="000B53BF"/>
    <w:rsid w:val="000B573B"/>
    <w:rsid w:val="000B606A"/>
    <w:rsid w:val="000B621A"/>
    <w:rsid w:val="000B64F4"/>
    <w:rsid w:val="000B6565"/>
    <w:rsid w:val="000B6DE7"/>
    <w:rsid w:val="000B7407"/>
    <w:rsid w:val="000B761E"/>
    <w:rsid w:val="000B7D99"/>
    <w:rsid w:val="000C04AE"/>
    <w:rsid w:val="000C0E3C"/>
    <w:rsid w:val="000C19A3"/>
    <w:rsid w:val="000C2716"/>
    <w:rsid w:val="000C347E"/>
    <w:rsid w:val="000C3CE3"/>
    <w:rsid w:val="000C4C1E"/>
    <w:rsid w:val="000C575A"/>
    <w:rsid w:val="000C59C4"/>
    <w:rsid w:val="000C5BC0"/>
    <w:rsid w:val="000C5D70"/>
    <w:rsid w:val="000C5F0B"/>
    <w:rsid w:val="000D1BC7"/>
    <w:rsid w:val="000D2050"/>
    <w:rsid w:val="000D23ED"/>
    <w:rsid w:val="000D32D0"/>
    <w:rsid w:val="000D32D7"/>
    <w:rsid w:val="000D3964"/>
    <w:rsid w:val="000D43C2"/>
    <w:rsid w:val="000D48A3"/>
    <w:rsid w:val="000D4D20"/>
    <w:rsid w:val="000D51C6"/>
    <w:rsid w:val="000D5868"/>
    <w:rsid w:val="000D5BE5"/>
    <w:rsid w:val="000D5D81"/>
    <w:rsid w:val="000D5D92"/>
    <w:rsid w:val="000D683F"/>
    <w:rsid w:val="000D6CB6"/>
    <w:rsid w:val="000D757E"/>
    <w:rsid w:val="000D7862"/>
    <w:rsid w:val="000E01A2"/>
    <w:rsid w:val="000E06DE"/>
    <w:rsid w:val="000E07B9"/>
    <w:rsid w:val="000E094E"/>
    <w:rsid w:val="000E0E0D"/>
    <w:rsid w:val="000E0E4B"/>
    <w:rsid w:val="000E24E6"/>
    <w:rsid w:val="000E279A"/>
    <w:rsid w:val="000E3228"/>
    <w:rsid w:val="000E340F"/>
    <w:rsid w:val="000E3A36"/>
    <w:rsid w:val="000E3B59"/>
    <w:rsid w:val="000E3FDF"/>
    <w:rsid w:val="000E4A8C"/>
    <w:rsid w:val="000E52C6"/>
    <w:rsid w:val="000E6A1C"/>
    <w:rsid w:val="000E72EF"/>
    <w:rsid w:val="000E7A82"/>
    <w:rsid w:val="000E7FF4"/>
    <w:rsid w:val="000F1512"/>
    <w:rsid w:val="000F19FB"/>
    <w:rsid w:val="000F221D"/>
    <w:rsid w:val="000F24F6"/>
    <w:rsid w:val="000F3BDA"/>
    <w:rsid w:val="000F5A21"/>
    <w:rsid w:val="000F6175"/>
    <w:rsid w:val="000F646C"/>
    <w:rsid w:val="000F73D1"/>
    <w:rsid w:val="000F7E61"/>
    <w:rsid w:val="00100028"/>
    <w:rsid w:val="00100A4A"/>
    <w:rsid w:val="00101399"/>
    <w:rsid w:val="001016A5"/>
    <w:rsid w:val="00101B16"/>
    <w:rsid w:val="00101E43"/>
    <w:rsid w:val="00102518"/>
    <w:rsid w:val="00102C3D"/>
    <w:rsid w:val="001031B3"/>
    <w:rsid w:val="001034D9"/>
    <w:rsid w:val="0010374E"/>
    <w:rsid w:val="00104872"/>
    <w:rsid w:val="00105543"/>
    <w:rsid w:val="00105612"/>
    <w:rsid w:val="00105BAC"/>
    <w:rsid w:val="00105E4A"/>
    <w:rsid w:val="00105FFF"/>
    <w:rsid w:val="00106578"/>
    <w:rsid w:val="00106AA8"/>
    <w:rsid w:val="00106F14"/>
    <w:rsid w:val="001073A3"/>
    <w:rsid w:val="001079CE"/>
    <w:rsid w:val="00110AF3"/>
    <w:rsid w:val="00110E15"/>
    <w:rsid w:val="00110F4C"/>
    <w:rsid w:val="0011117C"/>
    <w:rsid w:val="00111D15"/>
    <w:rsid w:val="00113091"/>
    <w:rsid w:val="0011391B"/>
    <w:rsid w:val="00113D47"/>
    <w:rsid w:val="0011420A"/>
    <w:rsid w:val="001146DD"/>
    <w:rsid w:val="00114C6B"/>
    <w:rsid w:val="00115BEB"/>
    <w:rsid w:val="001168E3"/>
    <w:rsid w:val="00116A6F"/>
    <w:rsid w:val="00117987"/>
    <w:rsid w:val="001200CC"/>
    <w:rsid w:val="0012011C"/>
    <w:rsid w:val="001201FE"/>
    <w:rsid w:val="00120247"/>
    <w:rsid w:val="001206E3"/>
    <w:rsid w:val="00120A1D"/>
    <w:rsid w:val="00121D6D"/>
    <w:rsid w:val="00122004"/>
    <w:rsid w:val="00122C7A"/>
    <w:rsid w:val="001231ED"/>
    <w:rsid w:val="001242EA"/>
    <w:rsid w:val="00124F90"/>
    <w:rsid w:val="001252CD"/>
    <w:rsid w:val="001252E9"/>
    <w:rsid w:val="001263F1"/>
    <w:rsid w:val="0012687C"/>
    <w:rsid w:val="00126A46"/>
    <w:rsid w:val="00126D49"/>
    <w:rsid w:val="00127B29"/>
    <w:rsid w:val="00127E9A"/>
    <w:rsid w:val="00130607"/>
    <w:rsid w:val="00130CEF"/>
    <w:rsid w:val="001312CF"/>
    <w:rsid w:val="001314AE"/>
    <w:rsid w:val="00132D7B"/>
    <w:rsid w:val="00132E80"/>
    <w:rsid w:val="0013339C"/>
    <w:rsid w:val="00133508"/>
    <w:rsid w:val="00133A90"/>
    <w:rsid w:val="001342DE"/>
    <w:rsid w:val="0013472E"/>
    <w:rsid w:val="0013543B"/>
    <w:rsid w:val="001355A1"/>
    <w:rsid w:val="00135679"/>
    <w:rsid w:val="0013581C"/>
    <w:rsid w:val="00135A0F"/>
    <w:rsid w:val="001360B0"/>
    <w:rsid w:val="0013652F"/>
    <w:rsid w:val="0013676F"/>
    <w:rsid w:val="00136895"/>
    <w:rsid w:val="00136B11"/>
    <w:rsid w:val="001371A4"/>
    <w:rsid w:val="0013762B"/>
    <w:rsid w:val="00137B0B"/>
    <w:rsid w:val="001405C8"/>
    <w:rsid w:val="0014101B"/>
    <w:rsid w:val="00142D12"/>
    <w:rsid w:val="00142FB7"/>
    <w:rsid w:val="00143400"/>
    <w:rsid w:val="001435A8"/>
    <w:rsid w:val="001440E9"/>
    <w:rsid w:val="001443C3"/>
    <w:rsid w:val="001445A8"/>
    <w:rsid w:val="001448C2"/>
    <w:rsid w:val="001449D0"/>
    <w:rsid w:val="001454CB"/>
    <w:rsid w:val="001466DE"/>
    <w:rsid w:val="00146C09"/>
    <w:rsid w:val="00146EDA"/>
    <w:rsid w:val="001476CB"/>
    <w:rsid w:val="00147CE5"/>
    <w:rsid w:val="001509CA"/>
    <w:rsid w:val="00151625"/>
    <w:rsid w:val="001527C9"/>
    <w:rsid w:val="00153296"/>
    <w:rsid w:val="00153713"/>
    <w:rsid w:val="001539FD"/>
    <w:rsid w:val="0015427A"/>
    <w:rsid w:val="00154FC9"/>
    <w:rsid w:val="001558F0"/>
    <w:rsid w:val="00155B2E"/>
    <w:rsid w:val="00156913"/>
    <w:rsid w:val="00156E7E"/>
    <w:rsid w:val="001606CE"/>
    <w:rsid w:val="001611C7"/>
    <w:rsid w:val="00161A34"/>
    <w:rsid w:val="00162A1A"/>
    <w:rsid w:val="001630B7"/>
    <w:rsid w:val="00164752"/>
    <w:rsid w:val="00164C32"/>
    <w:rsid w:val="00165363"/>
    <w:rsid w:val="001674A6"/>
    <w:rsid w:val="00167F2C"/>
    <w:rsid w:val="0017009D"/>
    <w:rsid w:val="0017062C"/>
    <w:rsid w:val="00170AFB"/>
    <w:rsid w:val="0017157B"/>
    <w:rsid w:val="00171BE6"/>
    <w:rsid w:val="00171FA6"/>
    <w:rsid w:val="00172B35"/>
    <w:rsid w:val="001737B5"/>
    <w:rsid w:val="00174D4F"/>
    <w:rsid w:val="00175217"/>
    <w:rsid w:val="001754AE"/>
    <w:rsid w:val="00176350"/>
    <w:rsid w:val="001764ED"/>
    <w:rsid w:val="001769D1"/>
    <w:rsid w:val="0017739A"/>
    <w:rsid w:val="001801BD"/>
    <w:rsid w:val="001808C7"/>
    <w:rsid w:val="0018151F"/>
    <w:rsid w:val="00181614"/>
    <w:rsid w:val="0018171C"/>
    <w:rsid w:val="001831AD"/>
    <w:rsid w:val="00184369"/>
    <w:rsid w:val="001844C9"/>
    <w:rsid w:val="00184690"/>
    <w:rsid w:val="0018482D"/>
    <w:rsid w:val="00184A9C"/>
    <w:rsid w:val="00185D3C"/>
    <w:rsid w:val="00185ECB"/>
    <w:rsid w:val="00186434"/>
    <w:rsid w:val="00186BA4"/>
    <w:rsid w:val="001876BE"/>
    <w:rsid w:val="00187EF4"/>
    <w:rsid w:val="0019082F"/>
    <w:rsid w:val="00190A97"/>
    <w:rsid w:val="0019135A"/>
    <w:rsid w:val="001927A8"/>
    <w:rsid w:val="00192B91"/>
    <w:rsid w:val="00192E8F"/>
    <w:rsid w:val="001932AC"/>
    <w:rsid w:val="001938CE"/>
    <w:rsid w:val="00193FA9"/>
    <w:rsid w:val="0019423A"/>
    <w:rsid w:val="001946BF"/>
    <w:rsid w:val="00194871"/>
    <w:rsid w:val="00194F47"/>
    <w:rsid w:val="00195C55"/>
    <w:rsid w:val="00195FC8"/>
    <w:rsid w:val="0019601F"/>
    <w:rsid w:val="001965F6"/>
    <w:rsid w:val="00197505"/>
    <w:rsid w:val="00197D5C"/>
    <w:rsid w:val="001A0795"/>
    <w:rsid w:val="001A09FC"/>
    <w:rsid w:val="001A1310"/>
    <w:rsid w:val="001A1AD9"/>
    <w:rsid w:val="001A43DD"/>
    <w:rsid w:val="001A49D9"/>
    <w:rsid w:val="001A6427"/>
    <w:rsid w:val="001B199C"/>
    <w:rsid w:val="001B20DD"/>
    <w:rsid w:val="001B2617"/>
    <w:rsid w:val="001B3015"/>
    <w:rsid w:val="001B334F"/>
    <w:rsid w:val="001B397F"/>
    <w:rsid w:val="001B458D"/>
    <w:rsid w:val="001B4E94"/>
    <w:rsid w:val="001B50C8"/>
    <w:rsid w:val="001B52FD"/>
    <w:rsid w:val="001B60DB"/>
    <w:rsid w:val="001B69A2"/>
    <w:rsid w:val="001B718D"/>
    <w:rsid w:val="001B7481"/>
    <w:rsid w:val="001B761C"/>
    <w:rsid w:val="001B76FF"/>
    <w:rsid w:val="001B779D"/>
    <w:rsid w:val="001C0B13"/>
    <w:rsid w:val="001C1632"/>
    <w:rsid w:val="001C1668"/>
    <w:rsid w:val="001C3366"/>
    <w:rsid w:val="001C3580"/>
    <w:rsid w:val="001C3EC2"/>
    <w:rsid w:val="001C40C7"/>
    <w:rsid w:val="001C47CC"/>
    <w:rsid w:val="001C4BCF"/>
    <w:rsid w:val="001C4DE9"/>
    <w:rsid w:val="001C5383"/>
    <w:rsid w:val="001C5638"/>
    <w:rsid w:val="001C570B"/>
    <w:rsid w:val="001C5B59"/>
    <w:rsid w:val="001C5CBC"/>
    <w:rsid w:val="001C5F9A"/>
    <w:rsid w:val="001C6E41"/>
    <w:rsid w:val="001C6FB6"/>
    <w:rsid w:val="001C73DB"/>
    <w:rsid w:val="001C7D1A"/>
    <w:rsid w:val="001D0095"/>
    <w:rsid w:val="001D11D7"/>
    <w:rsid w:val="001D20AA"/>
    <w:rsid w:val="001D20E7"/>
    <w:rsid w:val="001D2221"/>
    <w:rsid w:val="001D25B6"/>
    <w:rsid w:val="001D39D9"/>
    <w:rsid w:val="001D3CBF"/>
    <w:rsid w:val="001D46E6"/>
    <w:rsid w:val="001D7D83"/>
    <w:rsid w:val="001E09B6"/>
    <w:rsid w:val="001E0D58"/>
    <w:rsid w:val="001E12E6"/>
    <w:rsid w:val="001E186C"/>
    <w:rsid w:val="001E1B97"/>
    <w:rsid w:val="001E2B4C"/>
    <w:rsid w:val="001E2F01"/>
    <w:rsid w:val="001E3488"/>
    <w:rsid w:val="001E4898"/>
    <w:rsid w:val="001E5462"/>
    <w:rsid w:val="001E5E4F"/>
    <w:rsid w:val="001E61A9"/>
    <w:rsid w:val="001E7140"/>
    <w:rsid w:val="001E7AA4"/>
    <w:rsid w:val="001E7CFD"/>
    <w:rsid w:val="001E7D54"/>
    <w:rsid w:val="001F0538"/>
    <w:rsid w:val="001F086A"/>
    <w:rsid w:val="001F14F0"/>
    <w:rsid w:val="001F152C"/>
    <w:rsid w:val="001F1AF2"/>
    <w:rsid w:val="001F21A8"/>
    <w:rsid w:val="001F2FA4"/>
    <w:rsid w:val="001F364B"/>
    <w:rsid w:val="001F3860"/>
    <w:rsid w:val="001F41BD"/>
    <w:rsid w:val="001F41F1"/>
    <w:rsid w:val="001F5D39"/>
    <w:rsid w:val="001F5F43"/>
    <w:rsid w:val="001F609C"/>
    <w:rsid w:val="001F68BE"/>
    <w:rsid w:val="001F70B0"/>
    <w:rsid w:val="001F73F5"/>
    <w:rsid w:val="001F781F"/>
    <w:rsid w:val="001F7EC0"/>
    <w:rsid w:val="0020032E"/>
    <w:rsid w:val="002004BA"/>
    <w:rsid w:val="00200CCB"/>
    <w:rsid w:val="00200F80"/>
    <w:rsid w:val="00202554"/>
    <w:rsid w:val="00202DD7"/>
    <w:rsid w:val="00203F0A"/>
    <w:rsid w:val="00205143"/>
    <w:rsid w:val="002058B4"/>
    <w:rsid w:val="00206241"/>
    <w:rsid w:val="00206A1E"/>
    <w:rsid w:val="00207148"/>
    <w:rsid w:val="0020729D"/>
    <w:rsid w:val="0020733E"/>
    <w:rsid w:val="00207AC2"/>
    <w:rsid w:val="00207B8A"/>
    <w:rsid w:val="00207D33"/>
    <w:rsid w:val="00207E12"/>
    <w:rsid w:val="00210BF4"/>
    <w:rsid w:val="0021152E"/>
    <w:rsid w:val="00211EBA"/>
    <w:rsid w:val="00212A71"/>
    <w:rsid w:val="00213956"/>
    <w:rsid w:val="00213C6F"/>
    <w:rsid w:val="002140DB"/>
    <w:rsid w:val="002147E6"/>
    <w:rsid w:val="00215221"/>
    <w:rsid w:val="00215485"/>
    <w:rsid w:val="002165A1"/>
    <w:rsid w:val="00216708"/>
    <w:rsid w:val="00216A3E"/>
    <w:rsid w:val="00216D7F"/>
    <w:rsid w:val="00216F3E"/>
    <w:rsid w:val="002171C4"/>
    <w:rsid w:val="00217E0B"/>
    <w:rsid w:val="00220077"/>
    <w:rsid w:val="00220720"/>
    <w:rsid w:val="002214DA"/>
    <w:rsid w:val="00221501"/>
    <w:rsid w:val="0022252D"/>
    <w:rsid w:val="002225C2"/>
    <w:rsid w:val="002226AF"/>
    <w:rsid w:val="00223357"/>
    <w:rsid w:val="00223F17"/>
    <w:rsid w:val="0022446A"/>
    <w:rsid w:val="00225295"/>
    <w:rsid w:val="00225C7C"/>
    <w:rsid w:val="002266CA"/>
    <w:rsid w:val="002269A8"/>
    <w:rsid w:val="0022740A"/>
    <w:rsid w:val="00230403"/>
    <w:rsid w:val="00230AED"/>
    <w:rsid w:val="00230C72"/>
    <w:rsid w:val="002321D1"/>
    <w:rsid w:val="002332C5"/>
    <w:rsid w:val="00233B44"/>
    <w:rsid w:val="00233E86"/>
    <w:rsid w:val="00234231"/>
    <w:rsid w:val="0023456C"/>
    <w:rsid w:val="00234712"/>
    <w:rsid w:val="002348EF"/>
    <w:rsid w:val="0023490A"/>
    <w:rsid w:val="00234CFC"/>
    <w:rsid w:val="00234E45"/>
    <w:rsid w:val="002357F3"/>
    <w:rsid w:val="002359B5"/>
    <w:rsid w:val="00237B86"/>
    <w:rsid w:val="00237D3B"/>
    <w:rsid w:val="00237E00"/>
    <w:rsid w:val="00237EA6"/>
    <w:rsid w:val="00240DE1"/>
    <w:rsid w:val="00240F09"/>
    <w:rsid w:val="00241125"/>
    <w:rsid w:val="00241FF1"/>
    <w:rsid w:val="00242602"/>
    <w:rsid w:val="00242605"/>
    <w:rsid w:val="002428EF"/>
    <w:rsid w:val="002430AD"/>
    <w:rsid w:val="00243297"/>
    <w:rsid w:val="00243BD8"/>
    <w:rsid w:val="00243DE4"/>
    <w:rsid w:val="0024492F"/>
    <w:rsid w:val="00244BD9"/>
    <w:rsid w:val="00245985"/>
    <w:rsid w:val="00245A76"/>
    <w:rsid w:val="002467B2"/>
    <w:rsid w:val="002472AD"/>
    <w:rsid w:val="002472FF"/>
    <w:rsid w:val="0024770A"/>
    <w:rsid w:val="00247813"/>
    <w:rsid w:val="00247E9B"/>
    <w:rsid w:val="0025073B"/>
    <w:rsid w:val="00250801"/>
    <w:rsid w:val="00251417"/>
    <w:rsid w:val="002517B9"/>
    <w:rsid w:val="002529C9"/>
    <w:rsid w:val="00252A2C"/>
    <w:rsid w:val="00254037"/>
    <w:rsid w:val="0025427C"/>
    <w:rsid w:val="00254424"/>
    <w:rsid w:val="002545D9"/>
    <w:rsid w:val="002549F6"/>
    <w:rsid w:val="00256582"/>
    <w:rsid w:val="002566C6"/>
    <w:rsid w:val="00260856"/>
    <w:rsid w:val="00260983"/>
    <w:rsid w:val="00261093"/>
    <w:rsid w:val="002615F3"/>
    <w:rsid w:val="00261615"/>
    <w:rsid w:val="00261AFC"/>
    <w:rsid w:val="0026206D"/>
    <w:rsid w:val="00262B36"/>
    <w:rsid w:val="00263DC0"/>
    <w:rsid w:val="0026416F"/>
    <w:rsid w:val="00264499"/>
    <w:rsid w:val="002648AB"/>
    <w:rsid w:val="00264D2F"/>
    <w:rsid w:val="0026555A"/>
    <w:rsid w:val="002657BD"/>
    <w:rsid w:val="00266240"/>
    <w:rsid w:val="00266F61"/>
    <w:rsid w:val="002672A5"/>
    <w:rsid w:val="00267B85"/>
    <w:rsid w:val="00270C23"/>
    <w:rsid w:val="0027130B"/>
    <w:rsid w:val="0027141B"/>
    <w:rsid w:val="00271CFF"/>
    <w:rsid w:val="0027216F"/>
    <w:rsid w:val="00272A2B"/>
    <w:rsid w:val="00273559"/>
    <w:rsid w:val="00274611"/>
    <w:rsid w:val="00275B7F"/>
    <w:rsid w:val="00276EE5"/>
    <w:rsid w:val="002776FD"/>
    <w:rsid w:val="00280D6B"/>
    <w:rsid w:val="002811FA"/>
    <w:rsid w:val="002823B4"/>
    <w:rsid w:val="002824A2"/>
    <w:rsid w:val="00282812"/>
    <w:rsid w:val="00282AAA"/>
    <w:rsid w:val="002831B9"/>
    <w:rsid w:val="002834DD"/>
    <w:rsid w:val="00283929"/>
    <w:rsid w:val="00284445"/>
    <w:rsid w:val="002845FE"/>
    <w:rsid w:val="002847E7"/>
    <w:rsid w:val="00284B1B"/>
    <w:rsid w:val="00284FA5"/>
    <w:rsid w:val="002852E8"/>
    <w:rsid w:val="00285750"/>
    <w:rsid w:val="00285E41"/>
    <w:rsid w:val="00285E93"/>
    <w:rsid w:val="00286026"/>
    <w:rsid w:val="00286259"/>
    <w:rsid w:val="0028656D"/>
    <w:rsid w:val="00286D13"/>
    <w:rsid w:val="00286EC6"/>
    <w:rsid w:val="002875F9"/>
    <w:rsid w:val="00287F5C"/>
    <w:rsid w:val="0029035A"/>
    <w:rsid w:val="0029159A"/>
    <w:rsid w:val="00291752"/>
    <w:rsid w:val="002919FB"/>
    <w:rsid w:val="00291FE9"/>
    <w:rsid w:val="002921B3"/>
    <w:rsid w:val="0029245F"/>
    <w:rsid w:val="00293D45"/>
    <w:rsid w:val="00293E92"/>
    <w:rsid w:val="00295293"/>
    <w:rsid w:val="002956B8"/>
    <w:rsid w:val="0029692E"/>
    <w:rsid w:val="002A0ECB"/>
    <w:rsid w:val="002A1EA7"/>
    <w:rsid w:val="002A241F"/>
    <w:rsid w:val="002A3CD1"/>
    <w:rsid w:val="002A400B"/>
    <w:rsid w:val="002A4C55"/>
    <w:rsid w:val="002A6EC5"/>
    <w:rsid w:val="002A70C6"/>
    <w:rsid w:val="002A741C"/>
    <w:rsid w:val="002A746A"/>
    <w:rsid w:val="002B056F"/>
    <w:rsid w:val="002B1647"/>
    <w:rsid w:val="002B1A05"/>
    <w:rsid w:val="002B1B05"/>
    <w:rsid w:val="002B272D"/>
    <w:rsid w:val="002B284E"/>
    <w:rsid w:val="002B287F"/>
    <w:rsid w:val="002B2A04"/>
    <w:rsid w:val="002B3201"/>
    <w:rsid w:val="002B3460"/>
    <w:rsid w:val="002B38BA"/>
    <w:rsid w:val="002B3A7B"/>
    <w:rsid w:val="002B5143"/>
    <w:rsid w:val="002B5CAC"/>
    <w:rsid w:val="002B6D4C"/>
    <w:rsid w:val="002B780F"/>
    <w:rsid w:val="002B7A8E"/>
    <w:rsid w:val="002B7DC1"/>
    <w:rsid w:val="002C0B5E"/>
    <w:rsid w:val="002C1478"/>
    <w:rsid w:val="002C16AD"/>
    <w:rsid w:val="002C1FDE"/>
    <w:rsid w:val="002C234D"/>
    <w:rsid w:val="002C2B89"/>
    <w:rsid w:val="002C2E0B"/>
    <w:rsid w:val="002C4FEC"/>
    <w:rsid w:val="002C57BB"/>
    <w:rsid w:val="002C5DB1"/>
    <w:rsid w:val="002C65E3"/>
    <w:rsid w:val="002C6E4C"/>
    <w:rsid w:val="002C791A"/>
    <w:rsid w:val="002C7C0D"/>
    <w:rsid w:val="002D0370"/>
    <w:rsid w:val="002D2E07"/>
    <w:rsid w:val="002D370C"/>
    <w:rsid w:val="002D3921"/>
    <w:rsid w:val="002D3FF2"/>
    <w:rsid w:val="002D4DA3"/>
    <w:rsid w:val="002D4F42"/>
    <w:rsid w:val="002D5349"/>
    <w:rsid w:val="002D559B"/>
    <w:rsid w:val="002D6409"/>
    <w:rsid w:val="002D642E"/>
    <w:rsid w:val="002D6565"/>
    <w:rsid w:val="002D6D35"/>
    <w:rsid w:val="002D6D42"/>
    <w:rsid w:val="002D7249"/>
    <w:rsid w:val="002D729E"/>
    <w:rsid w:val="002D7508"/>
    <w:rsid w:val="002D7684"/>
    <w:rsid w:val="002D78F9"/>
    <w:rsid w:val="002E00F6"/>
    <w:rsid w:val="002E12AE"/>
    <w:rsid w:val="002E153A"/>
    <w:rsid w:val="002E23E8"/>
    <w:rsid w:val="002E28B7"/>
    <w:rsid w:val="002E3086"/>
    <w:rsid w:val="002E3EB8"/>
    <w:rsid w:val="002E4255"/>
    <w:rsid w:val="002E5A05"/>
    <w:rsid w:val="002E5A39"/>
    <w:rsid w:val="002E66CE"/>
    <w:rsid w:val="002E6CA3"/>
    <w:rsid w:val="002E6D24"/>
    <w:rsid w:val="002E7107"/>
    <w:rsid w:val="002E72EF"/>
    <w:rsid w:val="002E78A9"/>
    <w:rsid w:val="002F1DF3"/>
    <w:rsid w:val="002F2064"/>
    <w:rsid w:val="002F269C"/>
    <w:rsid w:val="002F2A05"/>
    <w:rsid w:val="002F2A44"/>
    <w:rsid w:val="002F3943"/>
    <w:rsid w:val="002F4049"/>
    <w:rsid w:val="002F47A0"/>
    <w:rsid w:val="002F4B20"/>
    <w:rsid w:val="002F4ECF"/>
    <w:rsid w:val="002F617C"/>
    <w:rsid w:val="002F6A46"/>
    <w:rsid w:val="002F6A5D"/>
    <w:rsid w:val="002F7D5F"/>
    <w:rsid w:val="00300151"/>
    <w:rsid w:val="00300AE2"/>
    <w:rsid w:val="003016B4"/>
    <w:rsid w:val="003023C0"/>
    <w:rsid w:val="00302DA3"/>
    <w:rsid w:val="0030373D"/>
    <w:rsid w:val="00303AD6"/>
    <w:rsid w:val="00303DBB"/>
    <w:rsid w:val="00305C6F"/>
    <w:rsid w:val="0030755A"/>
    <w:rsid w:val="00310973"/>
    <w:rsid w:val="003126B9"/>
    <w:rsid w:val="0031367F"/>
    <w:rsid w:val="003143B6"/>
    <w:rsid w:val="00314827"/>
    <w:rsid w:val="00315239"/>
    <w:rsid w:val="00315ABD"/>
    <w:rsid w:val="003167C4"/>
    <w:rsid w:val="003173B3"/>
    <w:rsid w:val="0031767E"/>
    <w:rsid w:val="003208A2"/>
    <w:rsid w:val="00320BE2"/>
    <w:rsid w:val="00321843"/>
    <w:rsid w:val="003218CB"/>
    <w:rsid w:val="00321AA4"/>
    <w:rsid w:val="00321AF4"/>
    <w:rsid w:val="00321D22"/>
    <w:rsid w:val="00322028"/>
    <w:rsid w:val="0032216B"/>
    <w:rsid w:val="0032224D"/>
    <w:rsid w:val="003227A4"/>
    <w:rsid w:val="00322913"/>
    <w:rsid w:val="0032310C"/>
    <w:rsid w:val="003231E8"/>
    <w:rsid w:val="00323286"/>
    <w:rsid w:val="00323351"/>
    <w:rsid w:val="003244B0"/>
    <w:rsid w:val="0032577B"/>
    <w:rsid w:val="003267FA"/>
    <w:rsid w:val="00326A5A"/>
    <w:rsid w:val="00326FA1"/>
    <w:rsid w:val="00327408"/>
    <w:rsid w:val="003276E7"/>
    <w:rsid w:val="0032799F"/>
    <w:rsid w:val="003300F1"/>
    <w:rsid w:val="00330347"/>
    <w:rsid w:val="00330633"/>
    <w:rsid w:val="00330803"/>
    <w:rsid w:val="00330AFC"/>
    <w:rsid w:val="003324DE"/>
    <w:rsid w:val="003331C5"/>
    <w:rsid w:val="00333517"/>
    <w:rsid w:val="0033397C"/>
    <w:rsid w:val="00333C64"/>
    <w:rsid w:val="003343B8"/>
    <w:rsid w:val="00334936"/>
    <w:rsid w:val="003351E4"/>
    <w:rsid w:val="00335604"/>
    <w:rsid w:val="003356FE"/>
    <w:rsid w:val="00335985"/>
    <w:rsid w:val="003368A2"/>
    <w:rsid w:val="003369BC"/>
    <w:rsid w:val="00336D31"/>
    <w:rsid w:val="0033733A"/>
    <w:rsid w:val="00337492"/>
    <w:rsid w:val="0033799B"/>
    <w:rsid w:val="00337D52"/>
    <w:rsid w:val="003404CE"/>
    <w:rsid w:val="00340ED7"/>
    <w:rsid w:val="00341022"/>
    <w:rsid w:val="00341442"/>
    <w:rsid w:val="00341634"/>
    <w:rsid w:val="003418D5"/>
    <w:rsid w:val="00341B41"/>
    <w:rsid w:val="00341BAD"/>
    <w:rsid w:val="00342B60"/>
    <w:rsid w:val="00344F09"/>
    <w:rsid w:val="00346100"/>
    <w:rsid w:val="00346493"/>
    <w:rsid w:val="00346A75"/>
    <w:rsid w:val="003474FD"/>
    <w:rsid w:val="0034757C"/>
    <w:rsid w:val="0034789C"/>
    <w:rsid w:val="00351B7D"/>
    <w:rsid w:val="003521D6"/>
    <w:rsid w:val="0035260F"/>
    <w:rsid w:val="00352F7E"/>
    <w:rsid w:val="00353384"/>
    <w:rsid w:val="00353D55"/>
    <w:rsid w:val="00353D70"/>
    <w:rsid w:val="003542B8"/>
    <w:rsid w:val="0035462D"/>
    <w:rsid w:val="0035674E"/>
    <w:rsid w:val="00357968"/>
    <w:rsid w:val="00361EC7"/>
    <w:rsid w:val="0036216D"/>
    <w:rsid w:val="003630E5"/>
    <w:rsid w:val="00363D8E"/>
    <w:rsid w:val="003649E4"/>
    <w:rsid w:val="00364DEC"/>
    <w:rsid w:val="00365697"/>
    <w:rsid w:val="00365A43"/>
    <w:rsid w:val="003667D6"/>
    <w:rsid w:val="00367394"/>
    <w:rsid w:val="00367E60"/>
    <w:rsid w:val="00367EC6"/>
    <w:rsid w:val="003702CB"/>
    <w:rsid w:val="0037058B"/>
    <w:rsid w:val="00370CCE"/>
    <w:rsid w:val="00371527"/>
    <w:rsid w:val="0037186C"/>
    <w:rsid w:val="00372044"/>
    <w:rsid w:val="00372187"/>
    <w:rsid w:val="00373A92"/>
    <w:rsid w:val="00374D98"/>
    <w:rsid w:val="0037703A"/>
    <w:rsid w:val="00377A54"/>
    <w:rsid w:val="00377E34"/>
    <w:rsid w:val="003812A9"/>
    <w:rsid w:val="00381477"/>
    <w:rsid w:val="003822C9"/>
    <w:rsid w:val="003823BF"/>
    <w:rsid w:val="00383055"/>
    <w:rsid w:val="0038360A"/>
    <w:rsid w:val="00384181"/>
    <w:rsid w:val="0038454E"/>
    <w:rsid w:val="00385043"/>
    <w:rsid w:val="00385510"/>
    <w:rsid w:val="003859E1"/>
    <w:rsid w:val="00385CD4"/>
    <w:rsid w:val="00387AA0"/>
    <w:rsid w:val="00390861"/>
    <w:rsid w:val="00390D7D"/>
    <w:rsid w:val="0039189E"/>
    <w:rsid w:val="00392376"/>
    <w:rsid w:val="003923E6"/>
    <w:rsid w:val="00392D0C"/>
    <w:rsid w:val="0039522E"/>
    <w:rsid w:val="0039523C"/>
    <w:rsid w:val="0039538A"/>
    <w:rsid w:val="00396D63"/>
    <w:rsid w:val="003A08AE"/>
    <w:rsid w:val="003A2A8E"/>
    <w:rsid w:val="003A2B89"/>
    <w:rsid w:val="003A40ED"/>
    <w:rsid w:val="003A42C8"/>
    <w:rsid w:val="003A44D7"/>
    <w:rsid w:val="003A6273"/>
    <w:rsid w:val="003A68F3"/>
    <w:rsid w:val="003A6B18"/>
    <w:rsid w:val="003A6FD9"/>
    <w:rsid w:val="003A73B4"/>
    <w:rsid w:val="003A74C3"/>
    <w:rsid w:val="003A7AFB"/>
    <w:rsid w:val="003A7E25"/>
    <w:rsid w:val="003B022E"/>
    <w:rsid w:val="003B06B6"/>
    <w:rsid w:val="003B09BE"/>
    <w:rsid w:val="003B1D4A"/>
    <w:rsid w:val="003B35D0"/>
    <w:rsid w:val="003B364B"/>
    <w:rsid w:val="003B3B9E"/>
    <w:rsid w:val="003B4275"/>
    <w:rsid w:val="003B42BE"/>
    <w:rsid w:val="003B49D2"/>
    <w:rsid w:val="003B501F"/>
    <w:rsid w:val="003B611C"/>
    <w:rsid w:val="003B6257"/>
    <w:rsid w:val="003B6300"/>
    <w:rsid w:val="003B6E61"/>
    <w:rsid w:val="003B758A"/>
    <w:rsid w:val="003B7E67"/>
    <w:rsid w:val="003B7FF1"/>
    <w:rsid w:val="003C0E26"/>
    <w:rsid w:val="003C1FD8"/>
    <w:rsid w:val="003C219D"/>
    <w:rsid w:val="003C3872"/>
    <w:rsid w:val="003C41ED"/>
    <w:rsid w:val="003C4281"/>
    <w:rsid w:val="003C4701"/>
    <w:rsid w:val="003C4B99"/>
    <w:rsid w:val="003C55A5"/>
    <w:rsid w:val="003C5D70"/>
    <w:rsid w:val="003C61AA"/>
    <w:rsid w:val="003C6877"/>
    <w:rsid w:val="003C749B"/>
    <w:rsid w:val="003D0142"/>
    <w:rsid w:val="003D0F29"/>
    <w:rsid w:val="003D166A"/>
    <w:rsid w:val="003D1D27"/>
    <w:rsid w:val="003D312E"/>
    <w:rsid w:val="003D404A"/>
    <w:rsid w:val="003D494A"/>
    <w:rsid w:val="003D4B64"/>
    <w:rsid w:val="003D4CCD"/>
    <w:rsid w:val="003D65DC"/>
    <w:rsid w:val="003D6759"/>
    <w:rsid w:val="003D764A"/>
    <w:rsid w:val="003E0C07"/>
    <w:rsid w:val="003E0D73"/>
    <w:rsid w:val="003E1209"/>
    <w:rsid w:val="003E15E8"/>
    <w:rsid w:val="003E1A14"/>
    <w:rsid w:val="003E1C05"/>
    <w:rsid w:val="003E2206"/>
    <w:rsid w:val="003E285D"/>
    <w:rsid w:val="003E2BB4"/>
    <w:rsid w:val="003E2BD4"/>
    <w:rsid w:val="003E2D12"/>
    <w:rsid w:val="003E377C"/>
    <w:rsid w:val="003E3A01"/>
    <w:rsid w:val="003E3EFE"/>
    <w:rsid w:val="003E3F47"/>
    <w:rsid w:val="003E532C"/>
    <w:rsid w:val="003E5D4C"/>
    <w:rsid w:val="003E5D97"/>
    <w:rsid w:val="003E63E2"/>
    <w:rsid w:val="003E6D55"/>
    <w:rsid w:val="003E7327"/>
    <w:rsid w:val="003E744C"/>
    <w:rsid w:val="003F0CDC"/>
    <w:rsid w:val="003F1108"/>
    <w:rsid w:val="003F15F9"/>
    <w:rsid w:val="003F1AD3"/>
    <w:rsid w:val="003F2EBD"/>
    <w:rsid w:val="003F2FD9"/>
    <w:rsid w:val="003F32D9"/>
    <w:rsid w:val="003F3AAE"/>
    <w:rsid w:val="003F3DD0"/>
    <w:rsid w:val="003F4CF6"/>
    <w:rsid w:val="003F5244"/>
    <w:rsid w:val="003F5474"/>
    <w:rsid w:val="003F58A4"/>
    <w:rsid w:val="003F663F"/>
    <w:rsid w:val="003F72D2"/>
    <w:rsid w:val="00400DDB"/>
    <w:rsid w:val="00400F11"/>
    <w:rsid w:val="00401762"/>
    <w:rsid w:val="00401BA2"/>
    <w:rsid w:val="00402044"/>
    <w:rsid w:val="00403189"/>
    <w:rsid w:val="00403942"/>
    <w:rsid w:val="00404FF0"/>
    <w:rsid w:val="00405088"/>
    <w:rsid w:val="00405BAA"/>
    <w:rsid w:val="00405D0D"/>
    <w:rsid w:val="004061BD"/>
    <w:rsid w:val="00410E4A"/>
    <w:rsid w:val="0041174C"/>
    <w:rsid w:val="00411DAE"/>
    <w:rsid w:val="00412576"/>
    <w:rsid w:val="004138D5"/>
    <w:rsid w:val="0041540F"/>
    <w:rsid w:val="00415E1D"/>
    <w:rsid w:val="00415ECF"/>
    <w:rsid w:val="00415FE0"/>
    <w:rsid w:val="00416AFE"/>
    <w:rsid w:val="0041725F"/>
    <w:rsid w:val="004172F5"/>
    <w:rsid w:val="004176D4"/>
    <w:rsid w:val="004177D5"/>
    <w:rsid w:val="004204F6"/>
    <w:rsid w:val="00422479"/>
    <w:rsid w:val="00423157"/>
    <w:rsid w:val="00423381"/>
    <w:rsid w:val="00423783"/>
    <w:rsid w:val="00423C3D"/>
    <w:rsid w:val="00423C47"/>
    <w:rsid w:val="00424CEB"/>
    <w:rsid w:val="00425471"/>
    <w:rsid w:val="00425ED4"/>
    <w:rsid w:val="00426896"/>
    <w:rsid w:val="00426A42"/>
    <w:rsid w:val="00426E2E"/>
    <w:rsid w:val="0042727D"/>
    <w:rsid w:val="004303FF"/>
    <w:rsid w:val="00430A35"/>
    <w:rsid w:val="00431055"/>
    <w:rsid w:val="00431415"/>
    <w:rsid w:val="0043157C"/>
    <w:rsid w:val="00431749"/>
    <w:rsid w:val="00432377"/>
    <w:rsid w:val="004324EE"/>
    <w:rsid w:val="00432AA5"/>
    <w:rsid w:val="00433BD5"/>
    <w:rsid w:val="00433D91"/>
    <w:rsid w:val="00435981"/>
    <w:rsid w:val="00435AA9"/>
    <w:rsid w:val="00436CFC"/>
    <w:rsid w:val="00440269"/>
    <w:rsid w:val="00440689"/>
    <w:rsid w:val="004411B5"/>
    <w:rsid w:val="00441346"/>
    <w:rsid w:val="0044253D"/>
    <w:rsid w:val="00442F40"/>
    <w:rsid w:val="0044345D"/>
    <w:rsid w:val="00443EF4"/>
    <w:rsid w:val="00444452"/>
    <w:rsid w:val="004444E4"/>
    <w:rsid w:val="00445941"/>
    <w:rsid w:val="00445FF4"/>
    <w:rsid w:val="004467E5"/>
    <w:rsid w:val="00446994"/>
    <w:rsid w:val="00446AE1"/>
    <w:rsid w:val="00446E63"/>
    <w:rsid w:val="00447386"/>
    <w:rsid w:val="00447E99"/>
    <w:rsid w:val="00450E50"/>
    <w:rsid w:val="00451641"/>
    <w:rsid w:val="0045172C"/>
    <w:rsid w:val="004521D4"/>
    <w:rsid w:val="0045237A"/>
    <w:rsid w:val="00452413"/>
    <w:rsid w:val="0045249A"/>
    <w:rsid w:val="0045347F"/>
    <w:rsid w:val="00455349"/>
    <w:rsid w:val="00455411"/>
    <w:rsid w:val="004554DF"/>
    <w:rsid w:val="004554F8"/>
    <w:rsid w:val="00455AC4"/>
    <w:rsid w:val="00456268"/>
    <w:rsid w:val="004567ED"/>
    <w:rsid w:val="00456B0F"/>
    <w:rsid w:val="00457150"/>
    <w:rsid w:val="00460BF7"/>
    <w:rsid w:val="00460CEA"/>
    <w:rsid w:val="00460EF5"/>
    <w:rsid w:val="004614A2"/>
    <w:rsid w:val="0046155E"/>
    <w:rsid w:val="00461907"/>
    <w:rsid w:val="00461BA8"/>
    <w:rsid w:val="0046226B"/>
    <w:rsid w:val="00462487"/>
    <w:rsid w:val="00462F40"/>
    <w:rsid w:val="00463736"/>
    <w:rsid w:val="00464282"/>
    <w:rsid w:val="0046486E"/>
    <w:rsid w:val="00464D6C"/>
    <w:rsid w:val="00465294"/>
    <w:rsid w:val="00465B9C"/>
    <w:rsid w:val="004663C8"/>
    <w:rsid w:val="00466B1D"/>
    <w:rsid w:val="004675FE"/>
    <w:rsid w:val="004711E5"/>
    <w:rsid w:val="00471DE2"/>
    <w:rsid w:val="00472542"/>
    <w:rsid w:val="00472C3C"/>
    <w:rsid w:val="004738BE"/>
    <w:rsid w:val="00473ABF"/>
    <w:rsid w:val="00474192"/>
    <w:rsid w:val="004744D5"/>
    <w:rsid w:val="004759A2"/>
    <w:rsid w:val="0047687C"/>
    <w:rsid w:val="004776F8"/>
    <w:rsid w:val="00480EF0"/>
    <w:rsid w:val="00481C61"/>
    <w:rsid w:val="00483081"/>
    <w:rsid w:val="0048446F"/>
    <w:rsid w:val="004846D5"/>
    <w:rsid w:val="00485EB7"/>
    <w:rsid w:val="004862A0"/>
    <w:rsid w:val="00486778"/>
    <w:rsid w:val="00486C10"/>
    <w:rsid w:val="0048743F"/>
    <w:rsid w:val="004877CB"/>
    <w:rsid w:val="00487F10"/>
    <w:rsid w:val="00490408"/>
    <w:rsid w:val="004904BD"/>
    <w:rsid w:val="004908E1"/>
    <w:rsid w:val="00490F03"/>
    <w:rsid w:val="00491178"/>
    <w:rsid w:val="0049125B"/>
    <w:rsid w:val="004915D3"/>
    <w:rsid w:val="0049163B"/>
    <w:rsid w:val="00491817"/>
    <w:rsid w:val="00491AC0"/>
    <w:rsid w:val="00492E90"/>
    <w:rsid w:val="00493645"/>
    <w:rsid w:val="00495504"/>
    <w:rsid w:val="00495720"/>
    <w:rsid w:val="00495872"/>
    <w:rsid w:val="00495C55"/>
    <w:rsid w:val="004969CB"/>
    <w:rsid w:val="004979D3"/>
    <w:rsid w:val="004A01F5"/>
    <w:rsid w:val="004A02B9"/>
    <w:rsid w:val="004A0845"/>
    <w:rsid w:val="004A0A72"/>
    <w:rsid w:val="004A0E62"/>
    <w:rsid w:val="004A11B3"/>
    <w:rsid w:val="004A1317"/>
    <w:rsid w:val="004A16E2"/>
    <w:rsid w:val="004A1849"/>
    <w:rsid w:val="004A1C3A"/>
    <w:rsid w:val="004A2F9F"/>
    <w:rsid w:val="004A32D8"/>
    <w:rsid w:val="004A3C08"/>
    <w:rsid w:val="004A4517"/>
    <w:rsid w:val="004A4C03"/>
    <w:rsid w:val="004A58ED"/>
    <w:rsid w:val="004A5A59"/>
    <w:rsid w:val="004A5D3A"/>
    <w:rsid w:val="004A79D4"/>
    <w:rsid w:val="004A7BA4"/>
    <w:rsid w:val="004B0505"/>
    <w:rsid w:val="004B160F"/>
    <w:rsid w:val="004B2AFB"/>
    <w:rsid w:val="004B2E08"/>
    <w:rsid w:val="004B2F89"/>
    <w:rsid w:val="004B3228"/>
    <w:rsid w:val="004B3CE2"/>
    <w:rsid w:val="004B4058"/>
    <w:rsid w:val="004B4063"/>
    <w:rsid w:val="004B46D6"/>
    <w:rsid w:val="004B4808"/>
    <w:rsid w:val="004B4924"/>
    <w:rsid w:val="004B4B5C"/>
    <w:rsid w:val="004B532D"/>
    <w:rsid w:val="004B5B3B"/>
    <w:rsid w:val="004B5B62"/>
    <w:rsid w:val="004B5B8E"/>
    <w:rsid w:val="004B71C9"/>
    <w:rsid w:val="004B74B1"/>
    <w:rsid w:val="004B75C9"/>
    <w:rsid w:val="004B797A"/>
    <w:rsid w:val="004C058D"/>
    <w:rsid w:val="004C06B0"/>
    <w:rsid w:val="004C074F"/>
    <w:rsid w:val="004C0E97"/>
    <w:rsid w:val="004C1775"/>
    <w:rsid w:val="004C2D1F"/>
    <w:rsid w:val="004C2DCB"/>
    <w:rsid w:val="004C4B4A"/>
    <w:rsid w:val="004C4EA0"/>
    <w:rsid w:val="004C5580"/>
    <w:rsid w:val="004C5AA8"/>
    <w:rsid w:val="004C5CAF"/>
    <w:rsid w:val="004C61EF"/>
    <w:rsid w:val="004C67C4"/>
    <w:rsid w:val="004C6E82"/>
    <w:rsid w:val="004C7218"/>
    <w:rsid w:val="004D053F"/>
    <w:rsid w:val="004D0559"/>
    <w:rsid w:val="004D075D"/>
    <w:rsid w:val="004D0CE9"/>
    <w:rsid w:val="004D172F"/>
    <w:rsid w:val="004D17EC"/>
    <w:rsid w:val="004D3596"/>
    <w:rsid w:val="004D38F9"/>
    <w:rsid w:val="004D4519"/>
    <w:rsid w:val="004D4CAB"/>
    <w:rsid w:val="004D5E95"/>
    <w:rsid w:val="004D6686"/>
    <w:rsid w:val="004D6A39"/>
    <w:rsid w:val="004D70EC"/>
    <w:rsid w:val="004E27E6"/>
    <w:rsid w:val="004E3347"/>
    <w:rsid w:val="004E34BA"/>
    <w:rsid w:val="004E3607"/>
    <w:rsid w:val="004E3D33"/>
    <w:rsid w:val="004E3D36"/>
    <w:rsid w:val="004E40AC"/>
    <w:rsid w:val="004E4DB3"/>
    <w:rsid w:val="004E6769"/>
    <w:rsid w:val="004E7E26"/>
    <w:rsid w:val="004F01E5"/>
    <w:rsid w:val="004F094D"/>
    <w:rsid w:val="004F0DC9"/>
    <w:rsid w:val="004F1103"/>
    <w:rsid w:val="004F111A"/>
    <w:rsid w:val="004F1C35"/>
    <w:rsid w:val="004F1CCD"/>
    <w:rsid w:val="004F1F66"/>
    <w:rsid w:val="004F1FB7"/>
    <w:rsid w:val="004F217D"/>
    <w:rsid w:val="004F36F5"/>
    <w:rsid w:val="004F3912"/>
    <w:rsid w:val="004F4095"/>
    <w:rsid w:val="004F41F2"/>
    <w:rsid w:val="004F4570"/>
    <w:rsid w:val="004F472A"/>
    <w:rsid w:val="004F4DF6"/>
    <w:rsid w:val="004F5680"/>
    <w:rsid w:val="004F6738"/>
    <w:rsid w:val="004F7175"/>
    <w:rsid w:val="004F7737"/>
    <w:rsid w:val="004F783C"/>
    <w:rsid w:val="004F7973"/>
    <w:rsid w:val="004F7ABF"/>
    <w:rsid w:val="004F7CA3"/>
    <w:rsid w:val="004F7CF3"/>
    <w:rsid w:val="004F7D75"/>
    <w:rsid w:val="005004D2"/>
    <w:rsid w:val="00500858"/>
    <w:rsid w:val="00500D52"/>
    <w:rsid w:val="005010EE"/>
    <w:rsid w:val="005013C1"/>
    <w:rsid w:val="0050215D"/>
    <w:rsid w:val="005027AF"/>
    <w:rsid w:val="00503116"/>
    <w:rsid w:val="00503292"/>
    <w:rsid w:val="0050375D"/>
    <w:rsid w:val="005041D7"/>
    <w:rsid w:val="00504261"/>
    <w:rsid w:val="00504C27"/>
    <w:rsid w:val="00504CD3"/>
    <w:rsid w:val="00505DF4"/>
    <w:rsid w:val="00506C6A"/>
    <w:rsid w:val="00506CB1"/>
    <w:rsid w:val="005102AD"/>
    <w:rsid w:val="00510CFA"/>
    <w:rsid w:val="00510D39"/>
    <w:rsid w:val="00511DA6"/>
    <w:rsid w:val="00511DBE"/>
    <w:rsid w:val="0051266A"/>
    <w:rsid w:val="00512A77"/>
    <w:rsid w:val="00512E78"/>
    <w:rsid w:val="005136C9"/>
    <w:rsid w:val="00513A08"/>
    <w:rsid w:val="005145A8"/>
    <w:rsid w:val="0051597B"/>
    <w:rsid w:val="00516246"/>
    <w:rsid w:val="0051624E"/>
    <w:rsid w:val="00517132"/>
    <w:rsid w:val="00517312"/>
    <w:rsid w:val="00517408"/>
    <w:rsid w:val="00517BF3"/>
    <w:rsid w:val="005201C1"/>
    <w:rsid w:val="005203B3"/>
    <w:rsid w:val="00520462"/>
    <w:rsid w:val="0052160B"/>
    <w:rsid w:val="00522840"/>
    <w:rsid w:val="00522C34"/>
    <w:rsid w:val="00523826"/>
    <w:rsid w:val="00523C98"/>
    <w:rsid w:val="0052481F"/>
    <w:rsid w:val="0052567E"/>
    <w:rsid w:val="00526793"/>
    <w:rsid w:val="00526F0B"/>
    <w:rsid w:val="00526F6B"/>
    <w:rsid w:val="005270DC"/>
    <w:rsid w:val="0053148D"/>
    <w:rsid w:val="00531B3A"/>
    <w:rsid w:val="00531B5A"/>
    <w:rsid w:val="0053236F"/>
    <w:rsid w:val="00532381"/>
    <w:rsid w:val="005327C5"/>
    <w:rsid w:val="00532F4B"/>
    <w:rsid w:val="00532F9D"/>
    <w:rsid w:val="00533EC1"/>
    <w:rsid w:val="00534F41"/>
    <w:rsid w:val="0053529C"/>
    <w:rsid w:val="0053544A"/>
    <w:rsid w:val="00535704"/>
    <w:rsid w:val="00535711"/>
    <w:rsid w:val="00535CC2"/>
    <w:rsid w:val="00536334"/>
    <w:rsid w:val="0054163D"/>
    <w:rsid w:val="00542675"/>
    <w:rsid w:val="005426D6"/>
    <w:rsid w:val="00543746"/>
    <w:rsid w:val="00544D0E"/>
    <w:rsid w:val="00544F98"/>
    <w:rsid w:val="00545C50"/>
    <w:rsid w:val="00545D64"/>
    <w:rsid w:val="005473B6"/>
    <w:rsid w:val="00547478"/>
    <w:rsid w:val="00547F9C"/>
    <w:rsid w:val="00550551"/>
    <w:rsid w:val="005509A7"/>
    <w:rsid w:val="00550A01"/>
    <w:rsid w:val="005516D7"/>
    <w:rsid w:val="00551E71"/>
    <w:rsid w:val="00552538"/>
    <w:rsid w:val="00552A86"/>
    <w:rsid w:val="00552AE8"/>
    <w:rsid w:val="00553615"/>
    <w:rsid w:val="00553D29"/>
    <w:rsid w:val="00554CDA"/>
    <w:rsid w:val="00555C5C"/>
    <w:rsid w:val="00556409"/>
    <w:rsid w:val="00557571"/>
    <w:rsid w:val="005601B6"/>
    <w:rsid w:val="00560CE8"/>
    <w:rsid w:val="00560F7C"/>
    <w:rsid w:val="005625E3"/>
    <w:rsid w:val="00562DC9"/>
    <w:rsid w:val="00562F99"/>
    <w:rsid w:val="005644F3"/>
    <w:rsid w:val="0056631A"/>
    <w:rsid w:val="0056633E"/>
    <w:rsid w:val="005664C2"/>
    <w:rsid w:val="00566889"/>
    <w:rsid w:val="005671D2"/>
    <w:rsid w:val="005702E8"/>
    <w:rsid w:val="005703C5"/>
    <w:rsid w:val="0057089E"/>
    <w:rsid w:val="00570B87"/>
    <w:rsid w:val="00570C39"/>
    <w:rsid w:val="00571577"/>
    <w:rsid w:val="005718EA"/>
    <w:rsid w:val="00571B59"/>
    <w:rsid w:val="00572D43"/>
    <w:rsid w:val="00572F1C"/>
    <w:rsid w:val="00573360"/>
    <w:rsid w:val="00574136"/>
    <w:rsid w:val="0057445C"/>
    <w:rsid w:val="005755B8"/>
    <w:rsid w:val="00577BF9"/>
    <w:rsid w:val="00577F21"/>
    <w:rsid w:val="00580693"/>
    <w:rsid w:val="005811F4"/>
    <w:rsid w:val="00581622"/>
    <w:rsid w:val="005819BF"/>
    <w:rsid w:val="00581F1A"/>
    <w:rsid w:val="0058201E"/>
    <w:rsid w:val="00582CE0"/>
    <w:rsid w:val="00582F33"/>
    <w:rsid w:val="00582F34"/>
    <w:rsid w:val="005841EE"/>
    <w:rsid w:val="00586111"/>
    <w:rsid w:val="005865A8"/>
    <w:rsid w:val="005868A5"/>
    <w:rsid w:val="00586DE7"/>
    <w:rsid w:val="0058755F"/>
    <w:rsid w:val="00587C64"/>
    <w:rsid w:val="00590D3A"/>
    <w:rsid w:val="005912A9"/>
    <w:rsid w:val="00591741"/>
    <w:rsid w:val="00591B71"/>
    <w:rsid w:val="00591C58"/>
    <w:rsid w:val="00592B08"/>
    <w:rsid w:val="00593A76"/>
    <w:rsid w:val="00594A83"/>
    <w:rsid w:val="00594CB8"/>
    <w:rsid w:val="00595183"/>
    <w:rsid w:val="005953DB"/>
    <w:rsid w:val="005966B5"/>
    <w:rsid w:val="00596C07"/>
    <w:rsid w:val="00597DAE"/>
    <w:rsid w:val="005A0612"/>
    <w:rsid w:val="005A0752"/>
    <w:rsid w:val="005A0CB0"/>
    <w:rsid w:val="005A1176"/>
    <w:rsid w:val="005A423A"/>
    <w:rsid w:val="005A444B"/>
    <w:rsid w:val="005A4678"/>
    <w:rsid w:val="005A4A2C"/>
    <w:rsid w:val="005A7626"/>
    <w:rsid w:val="005A7C78"/>
    <w:rsid w:val="005B0179"/>
    <w:rsid w:val="005B041A"/>
    <w:rsid w:val="005B049D"/>
    <w:rsid w:val="005B0D14"/>
    <w:rsid w:val="005B0E3F"/>
    <w:rsid w:val="005B10AD"/>
    <w:rsid w:val="005B1B18"/>
    <w:rsid w:val="005B2272"/>
    <w:rsid w:val="005B2708"/>
    <w:rsid w:val="005B2F92"/>
    <w:rsid w:val="005B2FBB"/>
    <w:rsid w:val="005B63B1"/>
    <w:rsid w:val="005B697B"/>
    <w:rsid w:val="005B6C49"/>
    <w:rsid w:val="005B7646"/>
    <w:rsid w:val="005B7750"/>
    <w:rsid w:val="005B79E6"/>
    <w:rsid w:val="005B7C2B"/>
    <w:rsid w:val="005B7CA1"/>
    <w:rsid w:val="005C0107"/>
    <w:rsid w:val="005C0250"/>
    <w:rsid w:val="005C0574"/>
    <w:rsid w:val="005C0717"/>
    <w:rsid w:val="005C1259"/>
    <w:rsid w:val="005C1FD2"/>
    <w:rsid w:val="005C2C68"/>
    <w:rsid w:val="005C395B"/>
    <w:rsid w:val="005C3E02"/>
    <w:rsid w:val="005C402E"/>
    <w:rsid w:val="005C411E"/>
    <w:rsid w:val="005C46E4"/>
    <w:rsid w:val="005C5196"/>
    <w:rsid w:val="005C617F"/>
    <w:rsid w:val="005C682F"/>
    <w:rsid w:val="005C6C13"/>
    <w:rsid w:val="005D0239"/>
    <w:rsid w:val="005D0652"/>
    <w:rsid w:val="005D0C2E"/>
    <w:rsid w:val="005D2431"/>
    <w:rsid w:val="005D265E"/>
    <w:rsid w:val="005D3022"/>
    <w:rsid w:val="005D410A"/>
    <w:rsid w:val="005D4466"/>
    <w:rsid w:val="005D4805"/>
    <w:rsid w:val="005D5703"/>
    <w:rsid w:val="005D59F0"/>
    <w:rsid w:val="005D5E10"/>
    <w:rsid w:val="005D6165"/>
    <w:rsid w:val="005D7026"/>
    <w:rsid w:val="005D7045"/>
    <w:rsid w:val="005E0448"/>
    <w:rsid w:val="005E25A5"/>
    <w:rsid w:val="005E295D"/>
    <w:rsid w:val="005E2AFE"/>
    <w:rsid w:val="005E3301"/>
    <w:rsid w:val="005E3384"/>
    <w:rsid w:val="005E33ED"/>
    <w:rsid w:val="005E428A"/>
    <w:rsid w:val="005E4475"/>
    <w:rsid w:val="005E47DE"/>
    <w:rsid w:val="005E4ADE"/>
    <w:rsid w:val="005E4B3A"/>
    <w:rsid w:val="005E4CDB"/>
    <w:rsid w:val="005E55DD"/>
    <w:rsid w:val="005E5C7F"/>
    <w:rsid w:val="005E6509"/>
    <w:rsid w:val="005E792E"/>
    <w:rsid w:val="005E7CD6"/>
    <w:rsid w:val="005F0735"/>
    <w:rsid w:val="005F0851"/>
    <w:rsid w:val="005F10CA"/>
    <w:rsid w:val="005F2256"/>
    <w:rsid w:val="005F2412"/>
    <w:rsid w:val="005F3121"/>
    <w:rsid w:val="005F3B26"/>
    <w:rsid w:val="005F739D"/>
    <w:rsid w:val="005F749E"/>
    <w:rsid w:val="0060014C"/>
    <w:rsid w:val="00600CC0"/>
    <w:rsid w:val="006011A0"/>
    <w:rsid w:val="00602A21"/>
    <w:rsid w:val="00603B26"/>
    <w:rsid w:val="00603DB2"/>
    <w:rsid w:val="006042C2"/>
    <w:rsid w:val="00604A00"/>
    <w:rsid w:val="00605066"/>
    <w:rsid w:val="006050CD"/>
    <w:rsid w:val="00605EFD"/>
    <w:rsid w:val="006061BB"/>
    <w:rsid w:val="00606420"/>
    <w:rsid w:val="00606450"/>
    <w:rsid w:val="0060657D"/>
    <w:rsid w:val="00606B76"/>
    <w:rsid w:val="006079DC"/>
    <w:rsid w:val="00610287"/>
    <w:rsid w:val="00610EFC"/>
    <w:rsid w:val="006119DD"/>
    <w:rsid w:val="006121D6"/>
    <w:rsid w:val="00612A70"/>
    <w:rsid w:val="00612A74"/>
    <w:rsid w:val="0061336A"/>
    <w:rsid w:val="006138E4"/>
    <w:rsid w:val="00613AF6"/>
    <w:rsid w:val="00614CA2"/>
    <w:rsid w:val="00615505"/>
    <w:rsid w:val="0061582F"/>
    <w:rsid w:val="006158EC"/>
    <w:rsid w:val="0061616D"/>
    <w:rsid w:val="006165F9"/>
    <w:rsid w:val="00616F8C"/>
    <w:rsid w:val="00617B2B"/>
    <w:rsid w:val="00617C16"/>
    <w:rsid w:val="00621F61"/>
    <w:rsid w:val="00622041"/>
    <w:rsid w:val="0062274E"/>
    <w:rsid w:val="00622D53"/>
    <w:rsid w:val="00624795"/>
    <w:rsid w:val="00624CDB"/>
    <w:rsid w:val="006256F8"/>
    <w:rsid w:val="00626D78"/>
    <w:rsid w:val="00627DA3"/>
    <w:rsid w:val="00630244"/>
    <w:rsid w:val="006302A0"/>
    <w:rsid w:val="0063124A"/>
    <w:rsid w:val="0063150B"/>
    <w:rsid w:val="00631AD4"/>
    <w:rsid w:val="00632117"/>
    <w:rsid w:val="00632157"/>
    <w:rsid w:val="00633400"/>
    <w:rsid w:val="00634586"/>
    <w:rsid w:val="006345E2"/>
    <w:rsid w:val="0063489E"/>
    <w:rsid w:val="00635CED"/>
    <w:rsid w:val="00635E69"/>
    <w:rsid w:val="00636C51"/>
    <w:rsid w:val="00637203"/>
    <w:rsid w:val="00637DFE"/>
    <w:rsid w:val="0064117D"/>
    <w:rsid w:val="00641CEA"/>
    <w:rsid w:val="00641F45"/>
    <w:rsid w:val="0064259E"/>
    <w:rsid w:val="006427C5"/>
    <w:rsid w:val="00643BB6"/>
    <w:rsid w:val="00643DF2"/>
    <w:rsid w:val="00644B86"/>
    <w:rsid w:val="0064507B"/>
    <w:rsid w:val="0064517F"/>
    <w:rsid w:val="00645457"/>
    <w:rsid w:val="00645522"/>
    <w:rsid w:val="00645A1C"/>
    <w:rsid w:val="00645C5B"/>
    <w:rsid w:val="0064711E"/>
    <w:rsid w:val="00650797"/>
    <w:rsid w:val="006511E7"/>
    <w:rsid w:val="0065123C"/>
    <w:rsid w:val="0065174C"/>
    <w:rsid w:val="00651946"/>
    <w:rsid w:val="00652AA5"/>
    <w:rsid w:val="00652F16"/>
    <w:rsid w:val="00653473"/>
    <w:rsid w:val="0065417E"/>
    <w:rsid w:val="006547D2"/>
    <w:rsid w:val="00654E03"/>
    <w:rsid w:val="006564AD"/>
    <w:rsid w:val="0065670D"/>
    <w:rsid w:val="00656CB1"/>
    <w:rsid w:val="0065780C"/>
    <w:rsid w:val="00657AA1"/>
    <w:rsid w:val="00657ED1"/>
    <w:rsid w:val="0066025C"/>
    <w:rsid w:val="00660848"/>
    <w:rsid w:val="00660BBC"/>
    <w:rsid w:val="00660D5B"/>
    <w:rsid w:val="0066128F"/>
    <w:rsid w:val="006621A1"/>
    <w:rsid w:val="006624DD"/>
    <w:rsid w:val="00663017"/>
    <w:rsid w:val="00663A86"/>
    <w:rsid w:val="0066459B"/>
    <w:rsid w:val="00664C7E"/>
    <w:rsid w:val="0066563C"/>
    <w:rsid w:val="00665E9A"/>
    <w:rsid w:val="006669B0"/>
    <w:rsid w:val="0066707E"/>
    <w:rsid w:val="006670ED"/>
    <w:rsid w:val="0066778C"/>
    <w:rsid w:val="00667EB4"/>
    <w:rsid w:val="0067003B"/>
    <w:rsid w:val="00670A1D"/>
    <w:rsid w:val="00671443"/>
    <w:rsid w:val="00671D4D"/>
    <w:rsid w:val="00672E94"/>
    <w:rsid w:val="00672FF1"/>
    <w:rsid w:val="00673A9A"/>
    <w:rsid w:val="00673C89"/>
    <w:rsid w:val="006741C1"/>
    <w:rsid w:val="006744C3"/>
    <w:rsid w:val="00675101"/>
    <w:rsid w:val="00675163"/>
    <w:rsid w:val="006768F7"/>
    <w:rsid w:val="0067716A"/>
    <w:rsid w:val="00677A1C"/>
    <w:rsid w:val="00677C2F"/>
    <w:rsid w:val="00677E67"/>
    <w:rsid w:val="006801B7"/>
    <w:rsid w:val="0068083D"/>
    <w:rsid w:val="006812AA"/>
    <w:rsid w:val="00681C76"/>
    <w:rsid w:val="00681F13"/>
    <w:rsid w:val="0068241B"/>
    <w:rsid w:val="0068265F"/>
    <w:rsid w:val="0068284E"/>
    <w:rsid w:val="00683387"/>
    <w:rsid w:val="006834F8"/>
    <w:rsid w:val="006837CF"/>
    <w:rsid w:val="00683CB7"/>
    <w:rsid w:val="006842E7"/>
    <w:rsid w:val="00684CB0"/>
    <w:rsid w:val="0068532C"/>
    <w:rsid w:val="00685B31"/>
    <w:rsid w:val="006860F0"/>
    <w:rsid w:val="006862AE"/>
    <w:rsid w:val="0068687E"/>
    <w:rsid w:val="00686BF9"/>
    <w:rsid w:val="00687226"/>
    <w:rsid w:val="0069044E"/>
    <w:rsid w:val="00690AD9"/>
    <w:rsid w:val="00690F7E"/>
    <w:rsid w:val="00691BEB"/>
    <w:rsid w:val="006922CA"/>
    <w:rsid w:val="00692327"/>
    <w:rsid w:val="00692657"/>
    <w:rsid w:val="00692BB1"/>
    <w:rsid w:val="0069362C"/>
    <w:rsid w:val="0069363F"/>
    <w:rsid w:val="0069390C"/>
    <w:rsid w:val="0069418E"/>
    <w:rsid w:val="006941B3"/>
    <w:rsid w:val="00694322"/>
    <w:rsid w:val="00694991"/>
    <w:rsid w:val="006951A0"/>
    <w:rsid w:val="0069560F"/>
    <w:rsid w:val="00695814"/>
    <w:rsid w:val="0069589E"/>
    <w:rsid w:val="006958CB"/>
    <w:rsid w:val="006970FA"/>
    <w:rsid w:val="00697293"/>
    <w:rsid w:val="00697445"/>
    <w:rsid w:val="006A09C2"/>
    <w:rsid w:val="006A167B"/>
    <w:rsid w:val="006A1CF5"/>
    <w:rsid w:val="006A1EBF"/>
    <w:rsid w:val="006A2B03"/>
    <w:rsid w:val="006A39A4"/>
    <w:rsid w:val="006A3CD0"/>
    <w:rsid w:val="006A4031"/>
    <w:rsid w:val="006A41AD"/>
    <w:rsid w:val="006A41C3"/>
    <w:rsid w:val="006A4C8C"/>
    <w:rsid w:val="006A562B"/>
    <w:rsid w:val="006A595B"/>
    <w:rsid w:val="006A59B9"/>
    <w:rsid w:val="006A6E9D"/>
    <w:rsid w:val="006A771A"/>
    <w:rsid w:val="006A7D35"/>
    <w:rsid w:val="006B0954"/>
    <w:rsid w:val="006B10FE"/>
    <w:rsid w:val="006B15A7"/>
    <w:rsid w:val="006B1925"/>
    <w:rsid w:val="006B25B3"/>
    <w:rsid w:val="006B2CBA"/>
    <w:rsid w:val="006B3221"/>
    <w:rsid w:val="006B3574"/>
    <w:rsid w:val="006B38FF"/>
    <w:rsid w:val="006B3C96"/>
    <w:rsid w:val="006B4AC6"/>
    <w:rsid w:val="006B50F9"/>
    <w:rsid w:val="006B5CAD"/>
    <w:rsid w:val="006B6802"/>
    <w:rsid w:val="006C0EF6"/>
    <w:rsid w:val="006C12BE"/>
    <w:rsid w:val="006C1657"/>
    <w:rsid w:val="006C171D"/>
    <w:rsid w:val="006C2669"/>
    <w:rsid w:val="006C29E2"/>
    <w:rsid w:val="006C2CD0"/>
    <w:rsid w:val="006C3837"/>
    <w:rsid w:val="006C4DAE"/>
    <w:rsid w:val="006C5D0B"/>
    <w:rsid w:val="006C5DEC"/>
    <w:rsid w:val="006C5F91"/>
    <w:rsid w:val="006C68F8"/>
    <w:rsid w:val="006C7B3D"/>
    <w:rsid w:val="006C7DDA"/>
    <w:rsid w:val="006C7FED"/>
    <w:rsid w:val="006D024A"/>
    <w:rsid w:val="006D0755"/>
    <w:rsid w:val="006D0990"/>
    <w:rsid w:val="006D0CC6"/>
    <w:rsid w:val="006D0D96"/>
    <w:rsid w:val="006D20B5"/>
    <w:rsid w:val="006D3786"/>
    <w:rsid w:val="006D4AF6"/>
    <w:rsid w:val="006D5EA9"/>
    <w:rsid w:val="006D6656"/>
    <w:rsid w:val="006D6AE3"/>
    <w:rsid w:val="006D7390"/>
    <w:rsid w:val="006D79E8"/>
    <w:rsid w:val="006D7C3D"/>
    <w:rsid w:val="006E0679"/>
    <w:rsid w:val="006E0FF1"/>
    <w:rsid w:val="006E119A"/>
    <w:rsid w:val="006E1460"/>
    <w:rsid w:val="006E23C0"/>
    <w:rsid w:val="006E295D"/>
    <w:rsid w:val="006E2B27"/>
    <w:rsid w:val="006E3189"/>
    <w:rsid w:val="006E33D2"/>
    <w:rsid w:val="006E3AB7"/>
    <w:rsid w:val="006E3F3D"/>
    <w:rsid w:val="006E64C7"/>
    <w:rsid w:val="006E6597"/>
    <w:rsid w:val="006E6D64"/>
    <w:rsid w:val="006E748E"/>
    <w:rsid w:val="006E7595"/>
    <w:rsid w:val="006E7ABE"/>
    <w:rsid w:val="006E7C2E"/>
    <w:rsid w:val="006F098F"/>
    <w:rsid w:val="006F0AA8"/>
    <w:rsid w:val="006F0DD9"/>
    <w:rsid w:val="006F12A1"/>
    <w:rsid w:val="006F14BA"/>
    <w:rsid w:val="006F20A2"/>
    <w:rsid w:val="006F243A"/>
    <w:rsid w:val="006F2536"/>
    <w:rsid w:val="006F25AF"/>
    <w:rsid w:val="006F295C"/>
    <w:rsid w:val="006F3501"/>
    <w:rsid w:val="006F355E"/>
    <w:rsid w:val="006F35B0"/>
    <w:rsid w:val="006F35DD"/>
    <w:rsid w:val="006F399B"/>
    <w:rsid w:val="006F3F2D"/>
    <w:rsid w:val="006F4A88"/>
    <w:rsid w:val="006F4D2A"/>
    <w:rsid w:val="006F4FFA"/>
    <w:rsid w:val="006F5AE2"/>
    <w:rsid w:val="006F5AFD"/>
    <w:rsid w:val="006F5FF1"/>
    <w:rsid w:val="006F6CB6"/>
    <w:rsid w:val="006F79FC"/>
    <w:rsid w:val="006F7EA5"/>
    <w:rsid w:val="0070004F"/>
    <w:rsid w:val="00700826"/>
    <w:rsid w:val="00702458"/>
    <w:rsid w:val="00702DB5"/>
    <w:rsid w:val="00703E05"/>
    <w:rsid w:val="00703EB9"/>
    <w:rsid w:val="0070400E"/>
    <w:rsid w:val="00704310"/>
    <w:rsid w:val="00704476"/>
    <w:rsid w:val="007050D9"/>
    <w:rsid w:val="00705613"/>
    <w:rsid w:val="007058FB"/>
    <w:rsid w:val="00705EAB"/>
    <w:rsid w:val="00706514"/>
    <w:rsid w:val="00706A29"/>
    <w:rsid w:val="0070726C"/>
    <w:rsid w:val="007079E6"/>
    <w:rsid w:val="00707F5C"/>
    <w:rsid w:val="007101DE"/>
    <w:rsid w:val="00710385"/>
    <w:rsid w:val="00711A3A"/>
    <w:rsid w:val="007124D9"/>
    <w:rsid w:val="007125D9"/>
    <w:rsid w:val="00712D74"/>
    <w:rsid w:val="00712E49"/>
    <w:rsid w:val="00713214"/>
    <w:rsid w:val="00713FF3"/>
    <w:rsid w:val="00713FF8"/>
    <w:rsid w:val="00714439"/>
    <w:rsid w:val="00715305"/>
    <w:rsid w:val="00715609"/>
    <w:rsid w:val="00716E8B"/>
    <w:rsid w:val="007170FE"/>
    <w:rsid w:val="0071737B"/>
    <w:rsid w:val="00720713"/>
    <w:rsid w:val="00721AC6"/>
    <w:rsid w:val="00721EF1"/>
    <w:rsid w:val="007224CB"/>
    <w:rsid w:val="00723293"/>
    <w:rsid w:val="0072404A"/>
    <w:rsid w:val="00724400"/>
    <w:rsid w:val="007248D0"/>
    <w:rsid w:val="007255F1"/>
    <w:rsid w:val="00725A7E"/>
    <w:rsid w:val="00727169"/>
    <w:rsid w:val="00727399"/>
    <w:rsid w:val="00727843"/>
    <w:rsid w:val="0073036F"/>
    <w:rsid w:val="00730F4D"/>
    <w:rsid w:val="00731042"/>
    <w:rsid w:val="00731172"/>
    <w:rsid w:val="00731AF4"/>
    <w:rsid w:val="00732BA2"/>
    <w:rsid w:val="00733470"/>
    <w:rsid w:val="0073425D"/>
    <w:rsid w:val="007352AB"/>
    <w:rsid w:val="00735796"/>
    <w:rsid w:val="00736204"/>
    <w:rsid w:val="007379D3"/>
    <w:rsid w:val="007400AD"/>
    <w:rsid w:val="0074030C"/>
    <w:rsid w:val="007406E0"/>
    <w:rsid w:val="00741088"/>
    <w:rsid w:val="0074108F"/>
    <w:rsid w:val="00741183"/>
    <w:rsid w:val="00741693"/>
    <w:rsid w:val="0074187B"/>
    <w:rsid w:val="00741A28"/>
    <w:rsid w:val="00742EC1"/>
    <w:rsid w:val="00743174"/>
    <w:rsid w:val="00743BF2"/>
    <w:rsid w:val="00743D92"/>
    <w:rsid w:val="00744A21"/>
    <w:rsid w:val="007459D7"/>
    <w:rsid w:val="0074601B"/>
    <w:rsid w:val="007462B2"/>
    <w:rsid w:val="0074650E"/>
    <w:rsid w:val="00746768"/>
    <w:rsid w:val="007469DA"/>
    <w:rsid w:val="0074703F"/>
    <w:rsid w:val="00747616"/>
    <w:rsid w:val="007476C2"/>
    <w:rsid w:val="0075123D"/>
    <w:rsid w:val="007515F7"/>
    <w:rsid w:val="00751925"/>
    <w:rsid w:val="00751AE9"/>
    <w:rsid w:val="00751F34"/>
    <w:rsid w:val="0075275D"/>
    <w:rsid w:val="007532FA"/>
    <w:rsid w:val="00753874"/>
    <w:rsid w:val="00753BAE"/>
    <w:rsid w:val="007553F8"/>
    <w:rsid w:val="00756845"/>
    <w:rsid w:val="00756A4E"/>
    <w:rsid w:val="00757504"/>
    <w:rsid w:val="00757F87"/>
    <w:rsid w:val="00760989"/>
    <w:rsid w:val="00760B65"/>
    <w:rsid w:val="00760B80"/>
    <w:rsid w:val="007616D1"/>
    <w:rsid w:val="007619AF"/>
    <w:rsid w:val="00761F1F"/>
    <w:rsid w:val="007624EE"/>
    <w:rsid w:val="007626D3"/>
    <w:rsid w:val="00762F9B"/>
    <w:rsid w:val="0076322C"/>
    <w:rsid w:val="00763465"/>
    <w:rsid w:val="007648A8"/>
    <w:rsid w:val="007649DD"/>
    <w:rsid w:val="00764ADC"/>
    <w:rsid w:val="007664BD"/>
    <w:rsid w:val="00766CD8"/>
    <w:rsid w:val="00766EF1"/>
    <w:rsid w:val="00767A94"/>
    <w:rsid w:val="00770148"/>
    <w:rsid w:val="0077030B"/>
    <w:rsid w:val="0077091D"/>
    <w:rsid w:val="00770F97"/>
    <w:rsid w:val="00771DB6"/>
    <w:rsid w:val="0077235C"/>
    <w:rsid w:val="007727D6"/>
    <w:rsid w:val="0077368E"/>
    <w:rsid w:val="00774904"/>
    <w:rsid w:val="0077536F"/>
    <w:rsid w:val="007760ED"/>
    <w:rsid w:val="007762CA"/>
    <w:rsid w:val="0077671D"/>
    <w:rsid w:val="00776DF2"/>
    <w:rsid w:val="00777D20"/>
    <w:rsid w:val="007801B7"/>
    <w:rsid w:val="00780305"/>
    <w:rsid w:val="007809C1"/>
    <w:rsid w:val="007810CF"/>
    <w:rsid w:val="00781F49"/>
    <w:rsid w:val="007823AE"/>
    <w:rsid w:val="007832FC"/>
    <w:rsid w:val="00783612"/>
    <w:rsid w:val="00784375"/>
    <w:rsid w:val="007844F2"/>
    <w:rsid w:val="00784A52"/>
    <w:rsid w:val="007852CA"/>
    <w:rsid w:val="00785B47"/>
    <w:rsid w:val="007866FC"/>
    <w:rsid w:val="00786A18"/>
    <w:rsid w:val="00787A0F"/>
    <w:rsid w:val="0079169F"/>
    <w:rsid w:val="00791BE4"/>
    <w:rsid w:val="007921E1"/>
    <w:rsid w:val="007922A9"/>
    <w:rsid w:val="00792489"/>
    <w:rsid w:val="007955D6"/>
    <w:rsid w:val="007964EF"/>
    <w:rsid w:val="007968DC"/>
    <w:rsid w:val="00796B9B"/>
    <w:rsid w:val="00797BAD"/>
    <w:rsid w:val="00797D7F"/>
    <w:rsid w:val="00797F4E"/>
    <w:rsid w:val="007A0B36"/>
    <w:rsid w:val="007A1046"/>
    <w:rsid w:val="007A1446"/>
    <w:rsid w:val="007A1DC6"/>
    <w:rsid w:val="007A1E01"/>
    <w:rsid w:val="007A2FC9"/>
    <w:rsid w:val="007A31AA"/>
    <w:rsid w:val="007A3334"/>
    <w:rsid w:val="007A493D"/>
    <w:rsid w:val="007A4C9A"/>
    <w:rsid w:val="007A4C9C"/>
    <w:rsid w:val="007A635E"/>
    <w:rsid w:val="007A638A"/>
    <w:rsid w:val="007A722E"/>
    <w:rsid w:val="007A751F"/>
    <w:rsid w:val="007A7C81"/>
    <w:rsid w:val="007B0E46"/>
    <w:rsid w:val="007B116C"/>
    <w:rsid w:val="007B1293"/>
    <w:rsid w:val="007B163B"/>
    <w:rsid w:val="007B174F"/>
    <w:rsid w:val="007B1CA2"/>
    <w:rsid w:val="007B27BB"/>
    <w:rsid w:val="007B404E"/>
    <w:rsid w:val="007B4E79"/>
    <w:rsid w:val="007B5586"/>
    <w:rsid w:val="007B5DB6"/>
    <w:rsid w:val="007B65D0"/>
    <w:rsid w:val="007B6EC5"/>
    <w:rsid w:val="007B7577"/>
    <w:rsid w:val="007B7D30"/>
    <w:rsid w:val="007C1A7F"/>
    <w:rsid w:val="007C240F"/>
    <w:rsid w:val="007C252E"/>
    <w:rsid w:val="007C2F28"/>
    <w:rsid w:val="007C3C37"/>
    <w:rsid w:val="007C3F23"/>
    <w:rsid w:val="007C4552"/>
    <w:rsid w:val="007C5701"/>
    <w:rsid w:val="007C5D8D"/>
    <w:rsid w:val="007C5E51"/>
    <w:rsid w:val="007C6118"/>
    <w:rsid w:val="007C699E"/>
    <w:rsid w:val="007C7208"/>
    <w:rsid w:val="007C7CE6"/>
    <w:rsid w:val="007D0B90"/>
    <w:rsid w:val="007D0EB8"/>
    <w:rsid w:val="007D16B5"/>
    <w:rsid w:val="007D1CA9"/>
    <w:rsid w:val="007D2524"/>
    <w:rsid w:val="007D28AF"/>
    <w:rsid w:val="007D2AA6"/>
    <w:rsid w:val="007D31C4"/>
    <w:rsid w:val="007D382A"/>
    <w:rsid w:val="007D461D"/>
    <w:rsid w:val="007D4AF0"/>
    <w:rsid w:val="007D4CC6"/>
    <w:rsid w:val="007D512B"/>
    <w:rsid w:val="007D5682"/>
    <w:rsid w:val="007D6356"/>
    <w:rsid w:val="007D65CF"/>
    <w:rsid w:val="007E03EE"/>
    <w:rsid w:val="007E0A09"/>
    <w:rsid w:val="007E0F0B"/>
    <w:rsid w:val="007E0F9C"/>
    <w:rsid w:val="007E2524"/>
    <w:rsid w:val="007E26DD"/>
    <w:rsid w:val="007E2774"/>
    <w:rsid w:val="007E399C"/>
    <w:rsid w:val="007E42C1"/>
    <w:rsid w:val="007E4EB7"/>
    <w:rsid w:val="007E6094"/>
    <w:rsid w:val="007E6494"/>
    <w:rsid w:val="007E6690"/>
    <w:rsid w:val="007E67D8"/>
    <w:rsid w:val="007E6BA4"/>
    <w:rsid w:val="007E7252"/>
    <w:rsid w:val="007E766A"/>
    <w:rsid w:val="007F0616"/>
    <w:rsid w:val="007F1A35"/>
    <w:rsid w:val="007F1F2D"/>
    <w:rsid w:val="007F250B"/>
    <w:rsid w:val="007F27B6"/>
    <w:rsid w:val="007F30FE"/>
    <w:rsid w:val="007F4242"/>
    <w:rsid w:val="007F46F2"/>
    <w:rsid w:val="007F4999"/>
    <w:rsid w:val="007F5064"/>
    <w:rsid w:val="007F5784"/>
    <w:rsid w:val="007F58A9"/>
    <w:rsid w:val="007F5CA9"/>
    <w:rsid w:val="007F63F7"/>
    <w:rsid w:val="007F6C50"/>
    <w:rsid w:val="007F760F"/>
    <w:rsid w:val="00800178"/>
    <w:rsid w:val="00800F24"/>
    <w:rsid w:val="00801CBB"/>
    <w:rsid w:val="00802950"/>
    <w:rsid w:val="008030DF"/>
    <w:rsid w:val="00803BF9"/>
    <w:rsid w:val="00804662"/>
    <w:rsid w:val="0080469A"/>
    <w:rsid w:val="00804944"/>
    <w:rsid w:val="00804EF9"/>
    <w:rsid w:val="00804FB0"/>
    <w:rsid w:val="008050C8"/>
    <w:rsid w:val="00810455"/>
    <w:rsid w:val="00810456"/>
    <w:rsid w:val="0081050A"/>
    <w:rsid w:val="008106D9"/>
    <w:rsid w:val="008111DE"/>
    <w:rsid w:val="0081127F"/>
    <w:rsid w:val="008115AF"/>
    <w:rsid w:val="008116CC"/>
    <w:rsid w:val="00811710"/>
    <w:rsid w:val="008117F3"/>
    <w:rsid w:val="00811A4A"/>
    <w:rsid w:val="00811B42"/>
    <w:rsid w:val="008147B0"/>
    <w:rsid w:val="008147F2"/>
    <w:rsid w:val="0081608D"/>
    <w:rsid w:val="0081617D"/>
    <w:rsid w:val="0081633F"/>
    <w:rsid w:val="008165B1"/>
    <w:rsid w:val="008167EF"/>
    <w:rsid w:val="00816A15"/>
    <w:rsid w:val="00817038"/>
    <w:rsid w:val="00817799"/>
    <w:rsid w:val="00817CB8"/>
    <w:rsid w:val="00817FBB"/>
    <w:rsid w:val="00820055"/>
    <w:rsid w:val="008202E5"/>
    <w:rsid w:val="008203BD"/>
    <w:rsid w:val="00820957"/>
    <w:rsid w:val="00820B2A"/>
    <w:rsid w:val="00821033"/>
    <w:rsid w:val="00821B01"/>
    <w:rsid w:val="008221FE"/>
    <w:rsid w:val="0082272D"/>
    <w:rsid w:val="00825964"/>
    <w:rsid w:val="00825C96"/>
    <w:rsid w:val="008260F9"/>
    <w:rsid w:val="00826148"/>
    <w:rsid w:val="008265F5"/>
    <w:rsid w:val="00826CE1"/>
    <w:rsid w:val="00826EE7"/>
    <w:rsid w:val="00827F61"/>
    <w:rsid w:val="0083216E"/>
    <w:rsid w:val="0083243D"/>
    <w:rsid w:val="0083293E"/>
    <w:rsid w:val="00832A02"/>
    <w:rsid w:val="00833155"/>
    <w:rsid w:val="00833490"/>
    <w:rsid w:val="0083398F"/>
    <w:rsid w:val="008340AA"/>
    <w:rsid w:val="008340B3"/>
    <w:rsid w:val="008354C5"/>
    <w:rsid w:val="00835B66"/>
    <w:rsid w:val="00835E1A"/>
    <w:rsid w:val="0083626F"/>
    <w:rsid w:val="00836754"/>
    <w:rsid w:val="008373DD"/>
    <w:rsid w:val="008405A7"/>
    <w:rsid w:val="0084062C"/>
    <w:rsid w:val="00840926"/>
    <w:rsid w:val="008409A0"/>
    <w:rsid w:val="00840B25"/>
    <w:rsid w:val="00841DAB"/>
    <w:rsid w:val="00842B27"/>
    <w:rsid w:val="00842F18"/>
    <w:rsid w:val="0084328B"/>
    <w:rsid w:val="00843D4B"/>
    <w:rsid w:val="00844A31"/>
    <w:rsid w:val="00844EDF"/>
    <w:rsid w:val="0084544C"/>
    <w:rsid w:val="00846091"/>
    <w:rsid w:val="00846705"/>
    <w:rsid w:val="00846F6D"/>
    <w:rsid w:val="00847555"/>
    <w:rsid w:val="00847C94"/>
    <w:rsid w:val="00847D9F"/>
    <w:rsid w:val="00850069"/>
    <w:rsid w:val="008508ED"/>
    <w:rsid w:val="00851294"/>
    <w:rsid w:val="00851496"/>
    <w:rsid w:val="008518E1"/>
    <w:rsid w:val="00851E07"/>
    <w:rsid w:val="008520C3"/>
    <w:rsid w:val="0085293F"/>
    <w:rsid w:val="00852B2D"/>
    <w:rsid w:val="0085332B"/>
    <w:rsid w:val="008536D8"/>
    <w:rsid w:val="00853C39"/>
    <w:rsid w:val="008549DD"/>
    <w:rsid w:val="00855162"/>
    <w:rsid w:val="00856B8B"/>
    <w:rsid w:val="00857664"/>
    <w:rsid w:val="00857E66"/>
    <w:rsid w:val="00857FC1"/>
    <w:rsid w:val="00861331"/>
    <w:rsid w:val="008615E0"/>
    <w:rsid w:val="00861C17"/>
    <w:rsid w:val="00861E16"/>
    <w:rsid w:val="00862816"/>
    <w:rsid w:val="0086281A"/>
    <w:rsid w:val="008633E4"/>
    <w:rsid w:val="008640F3"/>
    <w:rsid w:val="008643B7"/>
    <w:rsid w:val="00866494"/>
    <w:rsid w:val="00866C1D"/>
    <w:rsid w:val="0086742E"/>
    <w:rsid w:val="00867472"/>
    <w:rsid w:val="00867AE6"/>
    <w:rsid w:val="00867B06"/>
    <w:rsid w:val="00871DC6"/>
    <w:rsid w:val="0087343F"/>
    <w:rsid w:val="008745BF"/>
    <w:rsid w:val="00875492"/>
    <w:rsid w:val="00875A5F"/>
    <w:rsid w:val="00876D1F"/>
    <w:rsid w:val="00877DCF"/>
    <w:rsid w:val="00880A0D"/>
    <w:rsid w:val="00882496"/>
    <w:rsid w:val="00882B98"/>
    <w:rsid w:val="00882E68"/>
    <w:rsid w:val="0088351D"/>
    <w:rsid w:val="0088366B"/>
    <w:rsid w:val="00883A81"/>
    <w:rsid w:val="008851AA"/>
    <w:rsid w:val="00885297"/>
    <w:rsid w:val="00885EAB"/>
    <w:rsid w:val="00886473"/>
    <w:rsid w:val="00886A49"/>
    <w:rsid w:val="00886C70"/>
    <w:rsid w:val="008875A0"/>
    <w:rsid w:val="008877DD"/>
    <w:rsid w:val="00887FFA"/>
    <w:rsid w:val="00890CAB"/>
    <w:rsid w:val="00892204"/>
    <w:rsid w:val="0089355D"/>
    <w:rsid w:val="00893A3A"/>
    <w:rsid w:val="00895154"/>
    <w:rsid w:val="00895C84"/>
    <w:rsid w:val="00895E70"/>
    <w:rsid w:val="00896543"/>
    <w:rsid w:val="00896DC9"/>
    <w:rsid w:val="00896DFD"/>
    <w:rsid w:val="0089794A"/>
    <w:rsid w:val="00897C93"/>
    <w:rsid w:val="008A0139"/>
    <w:rsid w:val="008A0AF5"/>
    <w:rsid w:val="008A0BF7"/>
    <w:rsid w:val="008A2441"/>
    <w:rsid w:val="008A2F15"/>
    <w:rsid w:val="008A3579"/>
    <w:rsid w:val="008A37CB"/>
    <w:rsid w:val="008A3C83"/>
    <w:rsid w:val="008A3ED9"/>
    <w:rsid w:val="008A4403"/>
    <w:rsid w:val="008A6BAD"/>
    <w:rsid w:val="008A71AD"/>
    <w:rsid w:val="008A736D"/>
    <w:rsid w:val="008A79FB"/>
    <w:rsid w:val="008B0649"/>
    <w:rsid w:val="008B0ABF"/>
    <w:rsid w:val="008B173D"/>
    <w:rsid w:val="008B2904"/>
    <w:rsid w:val="008B2EA5"/>
    <w:rsid w:val="008B3F29"/>
    <w:rsid w:val="008B4535"/>
    <w:rsid w:val="008B4ABD"/>
    <w:rsid w:val="008B4E5A"/>
    <w:rsid w:val="008B576F"/>
    <w:rsid w:val="008B5B61"/>
    <w:rsid w:val="008B636F"/>
    <w:rsid w:val="008B6628"/>
    <w:rsid w:val="008B6F69"/>
    <w:rsid w:val="008B70E6"/>
    <w:rsid w:val="008B7E65"/>
    <w:rsid w:val="008C01D7"/>
    <w:rsid w:val="008C2388"/>
    <w:rsid w:val="008C30A9"/>
    <w:rsid w:val="008C319A"/>
    <w:rsid w:val="008C3634"/>
    <w:rsid w:val="008C4257"/>
    <w:rsid w:val="008C4914"/>
    <w:rsid w:val="008C504D"/>
    <w:rsid w:val="008C6426"/>
    <w:rsid w:val="008C6AB2"/>
    <w:rsid w:val="008C74BC"/>
    <w:rsid w:val="008D1EAA"/>
    <w:rsid w:val="008D292F"/>
    <w:rsid w:val="008D2C6F"/>
    <w:rsid w:val="008D38E8"/>
    <w:rsid w:val="008D4655"/>
    <w:rsid w:val="008D4734"/>
    <w:rsid w:val="008D4AC6"/>
    <w:rsid w:val="008D5746"/>
    <w:rsid w:val="008D5CFB"/>
    <w:rsid w:val="008D5E39"/>
    <w:rsid w:val="008D6652"/>
    <w:rsid w:val="008D7234"/>
    <w:rsid w:val="008D726A"/>
    <w:rsid w:val="008D7A5A"/>
    <w:rsid w:val="008E082A"/>
    <w:rsid w:val="008E08AC"/>
    <w:rsid w:val="008E1773"/>
    <w:rsid w:val="008E1D70"/>
    <w:rsid w:val="008E3DF3"/>
    <w:rsid w:val="008E3E98"/>
    <w:rsid w:val="008E4A67"/>
    <w:rsid w:val="008E4CB2"/>
    <w:rsid w:val="008E5EF2"/>
    <w:rsid w:val="008E61C8"/>
    <w:rsid w:val="008E6B0F"/>
    <w:rsid w:val="008E7275"/>
    <w:rsid w:val="008F08FF"/>
    <w:rsid w:val="008F1578"/>
    <w:rsid w:val="008F29C2"/>
    <w:rsid w:val="008F2AC2"/>
    <w:rsid w:val="008F349B"/>
    <w:rsid w:val="008F4500"/>
    <w:rsid w:val="008F4A06"/>
    <w:rsid w:val="008F4DC0"/>
    <w:rsid w:val="008F5495"/>
    <w:rsid w:val="008F585A"/>
    <w:rsid w:val="008F5CC9"/>
    <w:rsid w:val="0090016C"/>
    <w:rsid w:val="00900671"/>
    <w:rsid w:val="00901114"/>
    <w:rsid w:val="009012AF"/>
    <w:rsid w:val="009015BA"/>
    <w:rsid w:val="00904086"/>
    <w:rsid w:val="009041D0"/>
    <w:rsid w:val="00904209"/>
    <w:rsid w:val="0090422A"/>
    <w:rsid w:val="0090429B"/>
    <w:rsid w:val="00905449"/>
    <w:rsid w:val="00906FDA"/>
    <w:rsid w:val="00907446"/>
    <w:rsid w:val="00907858"/>
    <w:rsid w:val="00910A24"/>
    <w:rsid w:val="00911388"/>
    <w:rsid w:val="00911F32"/>
    <w:rsid w:val="009120DF"/>
    <w:rsid w:val="00912536"/>
    <w:rsid w:val="00912561"/>
    <w:rsid w:val="009128E7"/>
    <w:rsid w:val="00912A2C"/>
    <w:rsid w:val="0091311D"/>
    <w:rsid w:val="00913B36"/>
    <w:rsid w:val="009143D5"/>
    <w:rsid w:val="009144B8"/>
    <w:rsid w:val="0091512D"/>
    <w:rsid w:val="009151D5"/>
    <w:rsid w:val="00915723"/>
    <w:rsid w:val="009157BF"/>
    <w:rsid w:val="00915A58"/>
    <w:rsid w:val="00915A61"/>
    <w:rsid w:val="00915C2B"/>
    <w:rsid w:val="0091651A"/>
    <w:rsid w:val="0091679A"/>
    <w:rsid w:val="00916B31"/>
    <w:rsid w:val="0091782F"/>
    <w:rsid w:val="00917BAE"/>
    <w:rsid w:val="00917F90"/>
    <w:rsid w:val="009202D2"/>
    <w:rsid w:val="009204BF"/>
    <w:rsid w:val="00920DEF"/>
    <w:rsid w:val="00920FA0"/>
    <w:rsid w:val="00921A9B"/>
    <w:rsid w:val="009227B7"/>
    <w:rsid w:val="0092345D"/>
    <w:rsid w:val="0092352F"/>
    <w:rsid w:val="00923EFF"/>
    <w:rsid w:val="009243FD"/>
    <w:rsid w:val="00924B2C"/>
    <w:rsid w:val="009259D2"/>
    <w:rsid w:val="00925BD7"/>
    <w:rsid w:val="009265F1"/>
    <w:rsid w:val="009277F0"/>
    <w:rsid w:val="009278CF"/>
    <w:rsid w:val="00927F41"/>
    <w:rsid w:val="00930555"/>
    <w:rsid w:val="00930EDB"/>
    <w:rsid w:val="00930F88"/>
    <w:rsid w:val="00930F98"/>
    <w:rsid w:val="00931490"/>
    <w:rsid w:val="00931614"/>
    <w:rsid w:val="00931F25"/>
    <w:rsid w:val="00932341"/>
    <w:rsid w:val="00932C6B"/>
    <w:rsid w:val="009331DB"/>
    <w:rsid w:val="00933B0A"/>
    <w:rsid w:val="0093444E"/>
    <w:rsid w:val="0093548D"/>
    <w:rsid w:val="0093663D"/>
    <w:rsid w:val="00936C66"/>
    <w:rsid w:val="00936D30"/>
    <w:rsid w:val="00936DF9"/>
    <w:rsid w:val="00937E5E"/>
    <w:rsid w:val="009406AE"/>
    <w:rsid w:val="00940897"/>
    <w:rsid w:val="00941EA3"/>
    <w:rsid w:val="009429D7"/>
    <w:rsid w:val="00943DB3"/>
    <w:rsid w:val="009443DF"/>
    <w:rsid w:val="009445AA"/>
    <w:rsid w:val="00944FD3"/>
    <w:rsid w:val="00946216"/>
    <w:rsid w:val="00946689"/>
    <w:rsid w:val="009475D4"/>
    <w:rsid w:val="00950065"/>
    <w:rsid w:val="009506A7"/>
    <w:rsid w:val="00950D75"/>
    <w:rsid w:val="00951C6A"/>
    <w:rsid w:val="009523A2"/>
    <w:rsid w:val="00952A72"/>
    <w:rsid w:val="00953534"/>
    <w:rsid w:val="00953D77"/>
    <w:rsid w:val="00954973"/>
    <w:rsid w:val="0095553A"/>
    <w:rsid w:val="00956439"/>
    <w:rsid w:val="00956C9E"/>
    <w:rsid w:val="00957356"/>
    <w:rsid w:val="009573E6"/>
    <w:rsid w:val="0095787D"/>
    <w:rsid w:val="00957AAA"/>
    <w:rsid w:val="00957E16"/>
    <w:rsid w:val="00957EE6"/>
    <w:rsid w:val="00957F6C"/>
    <w:rsid w:val="00960B8B"/>
    <w:rsid w:val="00960FEC"/>
    <w:rsid w:val="009615E9"/>
    <w:rsid w:val="009619BA"/>
    <w:rsid w:val="00961B75"/>
    <w:rsid w:val="009620CA"/>
    <w:rsid w:val="00963216"/>
    <w:rsid w:val="00963FB1"/>
    <w:rsid w:val="0096426B"/>
    <w:rsid w:val="0096461E"/>
    <w:rsid w:val="00964AFE"/>
    <w:rsid w:val="00965892"/>
    <w:rsid w:val="00966216"/>
    <w:rsid w:val="00966E98"/>
    <w:rsid w:val="00970118"/>
    <w:rsid w:val="00970495"/>
    <w:rsid w:val="00970E88"/>
    <w:rsid w:val="0097147F"/>
    <w:rsid w:val="009725D9"/>
    <w:rsid w:val="00972B3A"/>
    <w:rsid w:val="009738EE"/>
    <w:rsid w:val="00973B85"/>
    <w:rsid w:val="00973C8E"/>
    <w:rsid w:val="00973D7E"/>
    <w:rsid w:val="00973D9D"/>
    <w:rsid w:val="00974CFA"/>
    <w:rsid w:val="009757EE"/>
    <w:rsid w:val="00977522"/>
    <w:rsid w:val="0098131E"/>
    <w:rsid w:val="00981A9D"/>
    <w:rsid w:val="00981DCE"/>
    <w:rsid w:val="00982D6E"/>
    <w:rsid w:val="00982E87"/>
    <w:rsid w:val="009842A8"/>
    <w:rsid w:val="00984EC9"/>
    <w:rsid w:val="00985366"/>
    <w:rsid w:val="00985741"/>
    <w:rsid w:val="0098612F"/>
    <w:rsid w:val="009872CF"/>
    <w:rsid w:val="00987CB8"/>
    <w:rsid w:val="0099076D"/>
    <w:rsid w:val="00991589"/>
    <w:rsid w:val="00991765"/>
    <w:rsid w:val="00991F2F"/>
    <w:rsid w:val="00993256"/>
    <w:rsid w:val="009938E8"/>
    <w:rsid w:val="00993A2C"/>
    <w:rsid w:val="00994D58"/>
    <w:rsid w:val="0099675F"/>
    <w:rsid w:val="00996D75"/>
    <w:rsid w:val="0099799E"/>
    <w:rsid w:val="009A00F3"/>
    <w:rsid w:val="009A05D4"/>
    <w:rsid w:val="009A1493"/>
    <w:rsid w:val="009A1ABC"/>
    <w:rsid w:val="009A1DD8"/>
    <w:rsid w:val="009A1E03"/>
    <w:rsid w:val="009A2647"/>
    <w:rsid w:val="009A3C5C"/>
    <w:rsid w:val="009A4A5A"/>
    <w:rsid w:val="009A4B40"/>
    <w:rsid w:val="009A4CC6"/>
    <w:rsid w:val="009A6D5F"/>
    <w:rsid w:val="009A7180"/>
    <w:rsid w:val="009A72F9"/>
    <w:rsid w:val="009A7A74"/>
    <w:rsid w:val="009B0AE0"/>
    <w:rsid w:val="009B0FD8"/>
    <w:rsid w:val="009B1230"/>
    <w:rsid w:val="009B1F51"/>
    <w:rsid w:val="009B2727"/>
    <w:rsid w:val="009B2B4D"/>
    <w:rsid w:val="009B4818"/>
    <w:rsid w:val="009B4FAB"/>
    <w:rsid w:val="009B59F8"/>
    <w:rsid w:val="009B5D29"/>
    <w:rsid w:val="009B6B2B"/>
    <w:rsid w:val="009B7E84"/>
    <w:rsid w:val="009C0969"/>
    <w:rsid w:val="009C0B83"/>
    <w:rsid w:val="009C0C8F"/>
    <w:rsid w:val="009C101D"/>
    <w:rsid w:val="009C133C"/>
    <w:rsid w:val="009C1382"/>
    <w:rsid w:val="009C165C"/>
    <w:rsid w:val="009C1793"/>
    <w:rsid w:val="009C17CA"/>
    <w:rsid w:val="009C1E57"/>
    <w:rsid w:val="009C1F4F"/>
    <w:rsid w:val="009C2341"/>
    <w:rsid w:val="009C28F7"/>
    <w:rsid w:val="009C2B60"/>
    <w:rsid w:val="009C2CB8"/>
    <w:rsid w:val="009C41B5"/>
    <w:rsid w:val="009C451C"/>
    <w:rsid w:val="009C5B47"/>
    <w:rsid w:val="009C6729"/>
    <w:rsid w:val="009C6D83"/>
    <w:rsid w:val="009C771A"/>
    <w:rsid w:val="009C7A96"/>
    <w:rsid w:val="009C7D77"/>
    <w:rsid w:val="009C7DD2"/>
    <w:rsid w:val="009D0476"/>
    <w:rsid w:val="009D0A6B"/>
    <w:rsid w:val="009D0D2F"/>
    <w:rsid w:val="009D0D61"/>
    <w:rsid w:val="009D0D8D"/>
    <w:rsid w:val="009D0FAF"/>
    <w:rsid w:val="009D1153"/>
    <w:rsid w:val="009D17D6"/>
    <w:rsid w:val="009D1F9E"/>
    <w:rsid w:val="009D2589"/>
    <w:rsid w:val="009D288A"/>
    <w:rsid w:val="009D3935"/>
    <w:rsid w:val="009D409F"/>
    <w:rsid w:val="009D4805"/>
    <w:rsid w:val="009D4D2E"/>
    <w:rsid w:val="009D583A"/>
    <w:rsid w:val="009D5987"/>
    <w:rsid w:val="009D5D9A"/>
    <w:rsid w:val="009D6067"/>
    <w:rsid w:val="009D6A8B"/>
    <w:rsid w:val="009D6D7B"/>
    <w:rsid w:val="009D7031"/>
    <w:rsid w:val="009D7D42"/>
    <w:rsid w:val="009D7DB9"/>
    <w:rsid w:val="009D7EF3"/>
    <w:rsid w:val="009E03CD"/>
    <w:rsid w:val="009E05B4"/>
    <w:rsid w:val="009E092B"/>
    <w:rsid w:val="009E0B04"/>
    <w:rsid w:val="009E10D6"/>
    <w:rsid w:val="009E13FB"/>
    <w:rsid w:val="009E18A6"/>
    <w:rsid w:val="009E2BBF"/>
    <w:rsid w:val="009E3A32"/>
    <w:rsid w:val="009E3E1C"/>
    <w:rsid w:val="009E46A6"/>
    <w:rsid w:val="009E4760"/>
    <w:rsid w:val="009E55C7"/>
    <w:rsid w:val="009E65C2"/>
    <w:rsid w:val="009E73BE"/>
    <w:rsid w:val="009E7FA2"/>
    <w:rsid w:val="009F05C8"/>
    <w:rsid w:val="009F0DB8"/>
    <w:rsid w:val="009F0EF7"/>
    <w:rsid w:val="009F1343"/>
    <w:rsid w:val="009F2357"/>
    <w:rsid w:val="009F2A65"/>
    <w:rsid w:val="009F2DFD"/>
    <w:rsid w:val="009F35BB"/>
    <w:rsid w:val="009F3CB5"/>
    <w:rsid w:val="009F3FD8"/>
    <w:rsid w:val="009F40EF"/>
    <w:rsid w:val="009F4D04"/>
    <w:rsid w:val="009F5124"/>
    <w:rsid w:val="009F5DDB"/>
    <w:rsid w:val="009F5E18"/>
    <w:rsid w:val="009F603D"/>
    <w:rsid w:val="009F615C"/>
    <w:rsid w:val="009F6989"/>
    <w:rsid w:val="009F69BC"/>
    <w:rsid w:val="009F7983"/>
    <w:rsid w:val="009F79B3"/>
    <w:rsid w:val="00A00FD3"/>
    <w:rsid w:val="00A01319"/>
    <w:rsid w:val="00A02438"/>
    <w:rsid w:val="00A0361B"/>
    <w:rsid w:val="00A03870"/>
    <w:rsid w:val="00A04330"/>
    <w:rsid w:val="00A04851"/>
    <w:rsid w:val="00A04930"/>
    <w:rsid w:val="00A04E27"/>
    <w:rsid w:val="00A05070"/>
    <w:rsid w:val="00A07336"/>
    <w:rsid w:val="00A079AD"/>
    <w:rsid w:val="00A10984"/>
    <w:rsid w:val="00A11680"/>
    <w:rsid w:val="00A11D06"/>
    <w:rsid w:val="00A1229B"/>
    <w:rsid w:val="00A12883"/>
    <w:rsid w:val="00A12AFE"/>
    <w:rsid w:val="00A12B42"/>
    <w:rsid w:val="00A139D4"/>
    <w:rsid w:val="00A13D8D"/>
    <w:rsid w:val="00A1420E"/>
    <w:rsid w:val="00A14312"/>
    <w:rsid w:val="00A14936"/>
    <w:rsid w:val="00A14D5A"/>
    <w:rsid w:val="00A158D6"/>
    <w:rsid w:val="00A1591E"/>
    <w:rsid w:val="00A15EA1"/>
    <w:rsid w:val="00A15F5E"/>
    <w:rsid w:val="00A16838"/>
    <w:rsid w:val="00A177F7"/>
    <w:rsid w:val="00A178E6"/>
    <w:rsid w:val="00A1797B"/>
    <w:rsid w:val="00A17D2F"/>
    <w:rsid w:val="00A20E80"/>
    <w:rsid w:val="00A21986"/>
    <w:rsid w:val="00A21F0E"/>
    <w:rsid w:val="00A224D5"/>
    <w:rsid w:val="00A23773"/>
    <w:rsid w:val="00A24858"/>
    <w:rsid w:val="00A24CEC"/>
    <w:rsid w:val="00A24DE1"/>
    <w:rsid w:val="00A2558D"/>
    <w:rsid w:val="00A261AE"/>
    <w:rsid w:val="00A26547"/>
    <w:rsid w:val="00A26677"/>
    <w:rsid w:val="00A27651"/>
    <w:rsid w:val="00A278BB"/>
    <w:rsid w:val="00A30650"/>
    <w:rsid w:val="00A310E7"/>
    <w:rsid w:val="00A31A0F"/>
    <w:rsid w:val="00A31FF9"/>
    <w:rsid w:val="00A3291C"/>
    <w:rsid w:val="00A329EB"/>
    <w:rsid w:val="00A32D71"/>
    <w:rsid w:val="00A347B3"/>
    <w:rsid w:val="00A34C08"/>
    <w:rsid w:val="00A34DD0"/>
    <w:rsid w:val="00A351DD"/>
    <w:rsid w:val="00A35631"/>
    <w:rsid w:val="00A35F42"/>
    <w:rsid w:val="00A376D7"/>
    <w:rsid w:val="00A37A04"/>
    <w:rsid w:val="00A37DDB"/>
    <w:rsid w:val="00A4073A"/>
    <w:rsid w:val="00A40CB2"/>
    <w:rsid w:val="00A40FF8"/>
    <w:rsid w:val="00A428AC"/>
    <w:rsid w:val="00A428E7"/>
    <w:rsid w:val="00A443BD"/>
    <w:rsid w:val="00A44C49"/>
    <w:rsid w:val="00A4610E"/>
    <w:rsid w:val="00A46410"/>
    <w:rsid w:val="00A46480"/>
    <w:rsid w:val="00A4730A"/>
    <w:rsid w:val="00A47976"/>
    <w:rsid w:val="00A47D71"/>
    <w:rsid w:val="00A500C1"/>
    <w:rsid w:val="00A51320"/>
    <w:rsid w:val="00A51C21"/>
    <w:rsid w:val="00A51DA2"/>
    <w:rsid w:val="00A52D21"/>
    <w:rsid w:val="00A52FDE"/>
    <w:rsid w:val="00A568A4"/>
    <w:rsid w:val="00A56EDB"/>
    <w:rsid w:val="00A57E79"/>
    <w:rsid w:val="00A600D9"/>
    <w:rsid w:val="00A62013"/>
    <w:rsid w:val="00A63910"/>
    <w:rsid w:val="00A64413"/>
    <w:rsid w:val="00A646E3"/>
    <w:rsid w:val="00A64C16"/>
    <w:rsid w:val="00A64FED"/>
    <w:rsid w:val="00A652E9"/>
    <w:rsid w:val="00A65939"/>
    <w:rsid w:val="00A65F8D"/>
    <w:rsid w:val="00A66184"/>
    <w:rsid w:val="00A66A38"/>
    <w:rsid w:val="00A66F2F"/>
    <w:rsid w:val="00A6798F"/>
    <w:rsid w:val="00A67B2B"/>
    <w:rsid w:val="00A70833"/>
    <w:rsid w:val="00A70C06"/>
    <w:rsid w:val="00A710B7"/>
    <w:rsid w:val="00A7119C"/>
    <w:rsid w:val="00A71732"/>
    <w:rsid w:val="00A71A23"/>
    <w:rsid w:val="00A72C99"/>
    <w:rsid w:val="00A72D74"/>
    <w:rsid w:val="00A738D4"/>
    <w:rsid w:val="00A742F0"/>
    <w:rsid w:val="00A743CA"/>
    <w:rsid w:val="00A74AD0"/>
    <w:rsid w:val="00A75793"/>
    <w:rsid w:val="00A75879"/>
    <w:rsid w:val="00A75C4D"/>
    <w:rsid w:val="00A75EE5"/>
    <w:rsid w:val="00A77F1E"/>
    <w:rsid w:val="00A803C5"/>
    <w:rsid w:val="00A805E3"/>
    <w:rsid w:val="00A805F0"/>
    <w:rsid w:val="00A80636"/>
    <w:rsid w:val="00A80A61"/>
    <w:rsid w:val="00A80D4F"/>
    <w:rsid w:val="00A80E86"/>
    <w:rsid w:val="00A80F54"/>
    <w:rsid w:val="00A811AB"/>
    <w:rsid w:val="00A81AA3"/>
    <w:rsid w:val="00A81B33"/>
    <w:rsid w:val="00A81FD2"/>
    <w:rsid w:val="00A82017"/>
    <w:rsid w:val="00A827C4"/>
    <w:rsid w:val="00A82A33"/>
    <w:rsid w:val="00A82E4B"/>
    <w:rsid w:val="00A82E8D"/>
    <w:rsid w:val="00A82EBA"/>
    <w:rsid w:val="00A838A5"/>
    <w:rsid w:val="00A849D4"/>
    <w:rsid w:val="00A84EAE"/>
    <w:rsid w:val="00A86041"/>
    <w:rsid w:val="00A869DC"/>
    <w:rsid w:val="00A86AB1"/>
    <w:rsid w:val="00A87ADF"/>
    <w:rsid w:val="00A91565"/>
    <w:rsid w:val="00A91C9F"/>
    <w:rsid w:val="00A92170"/>
    <w:rsid w:val="00A92234"/>
    <w:rsid w:val="00A9306A"/>
    <w:rsid w:val="00A936BB"/>
    <w:rsid w:val="00A93957"/>
    <w:rsid w:val="00A93DEF"/>
    <w:rsid w:val="00A93F48"/>
    <w:rsid w:val="00A93FAF"/>
    <w:rsid w:val="00A9401C"/>
    <w:rsid w:val="00A94AB4"/>
    <w:rsid w:val="00A94BCD"/>
    <w:rsid w:val="00A94E6B"/>
    <w:rsid w:val="00A95935"/>
    <w:rsid w:val="00A959E1"/>
    <w:rsid w:val="00A95D75"/>
    <w:rsid w:val="00A9619E"/>
    <w:rsid w:val="00A9636A"/>
    <w:rsid w:val="00A96CEC"/>
    <w:rsid w:val="00A96EFF"/>
    <w:rsid w:val="00AA00B0"/>
    <w:rsid w:val="00AA0551"/>
    <w:rsid w:val="00AA27BA"/>
    <w:rsid w:val="00AA2A4C"/>
    <w:rsid w:val="00AA2D9A"/>
    <w:rsid w:val="00AA3179"/>
    <w:rsid w:val="00AA4F45"/>
    <w:rsid w:val="00AA5B23"/>
    <w:rsid w:val="00AA66F4"/>
    <w:rsid w:val="00AB0FC9"/>
    <w:rsid w:val="00AB2FF1"/>
    <w:rsid w:val="00AB43A6"/>
    <w:rsid w:val="00AB5E85"/>
    <w:rsid w:val="00AB6A79"/>
    <w:rsid w:val="00AC0CB8"/>
    <w:rsid w:val="00AC1474"/>
    <w:rsid w:val="00AC14E7"/>
    <w:rsid w:val="00AC3936"/>
    <w:rsid w:val="00AC39CA"/>
    <w:rsid w:val="00AC3CDC"/>
    <w:rsid w:val="00AC4923"/>
    <w:rsid w:val="00AC4A12"/>
    <w:rsid w:val="00AC4ACB"/>
    <w:rsid w:val="00AC5D64"/>
    <w:rsid w:val="00AC71B0"/>
    <w:rsid w:val="00AC736E"/>
    <w:rsid w:val="00AC7386"/>
    <w:rsid w:val="00AD060E"/>
    <w:rsid w:val="00AD0AB8"/>
    <w:rsid w:val="00AD0B69"/>
    <w:rsid w:val="00AD142D"/>
    <w:rsid w:val="00AD1A5C"/>
    <w:rsid w:val="00AD1ABD"/>
    <w:rsid w:val="00AD1BDD"/>
    <w:rsid w:val="00AD1C4A"/>
    <w:rsid w:val="00AD1CA6"/>
    <w:rsid w:val="00AD2D2A"/>
    <w:rsid w:val="00AD3C74"/>
    <w:rsid w:val="00AD3EC8"/>
    <w:rsid w:val="00AD429C"/>
    <w:rsid w:val="00AD42AE"/>
    <w:rsid w:val="00AD5D21"/>
    <w:rsid w:val="00AD5FDB"/>
    <w:rsid w:val="00AD5FE9"/>
    <w:rsid w:val="00AD6EDE"/>
    <w:rsid w:val="00AD7BE6"/>
    <w:rsid w:val="00AE0BA6"/>
    <w:rsid w:val="00AE129B"/>
    <w:rsid w:val="00AE206D"/>
    <w:rsid w:val="00AE20DE"/>
    <w:rsid w:val="00AE2575"/>
    <w:rsid w:val="00AE2850"/>
    <w:rsid w:val="00AE3638"/>
    <w:rsid w:val="00AE58AD"/>
    <w:rsid w:val="00AE5A7F"/>
    <w:rsid w:val="00AE5E1D"/>
    <w:rsid w:val="00AE7289"/>
    <w:rsid w:val="00AE78AA"/>
    <w:rsid w:val="00AE7E7C"/>
    <w:rsid w:val="00AE7ED6"/>
    <w:rsid w:val="00AF0C92"/>
    <w:rsid w:val="00AF0D7B"/>
    <w:rsid w:val="00AF0FC5"/>
    <w:rsid w:val="00AF1C22"/>
    <w:rsid w:val="00AF2268"/>
    <w:rsid w:val="00AF28CE"/>
    <w:rsid w:val="00AF31BC"/>
    <w:rsid w:val="00AF4D8D"/>
    <w:rsid w:val="00AF5054"/>
    <w:rsid w:val="00AF5478"/>
    <w:rsid w:val="00AF5A53"/>
    <w:rsid w:val="00AF5A8B"/>
    <w:rsid w:val="00AF638B"/>
    <w:rsid w:val="00AF6F69"/>
    <w:rsid w:val="00AF6FB8"/>
    <w:rsid w:val="00B0004E"/>
    <w:rsid w:val="00B00D79"/>
    <w:rsid w:val="00B01F76"/>
    <w:rsid w:val="00B02C88"/>
    <w:rsid w:val="00B02EA1"/>
    <w:rsid w:val="00B04046"/>
    <w:rsid w:val="00B0507F"/>
    <w:rsid w:val="00B05559"/>
    <w:rsid w:val="00B055A3"/>
    <w:rsid w:val="00B06053"/>
    <w:rsid w:val="00B06834"/>
    <w:rsid w:val="00B06907"/>
    <w:rsid w:val="00B07CCF"/>
    <w:rsid w:val="00B1045C"/>
    <w:rsid w:val="00B1190A"/>
    <w:rsid w:val="00B11B28"/>
    <w:rsid w:val="00B11FFA"/>
    <w:rsid w:val="00B12092"/>
    <w:rsid w:val="00B12903"/>
    <w:rsid w:val="00B1392E"/>
    <w:rsid w:val="00B14242"/>
    <w:rsid w:val="00B14629"/>
    <w:rsid w:val="00B14983"/>
    <w:rsid w:val="00B16168"/>
    <w:rsid w:val="00B16298"/>
    <w:rsid w:val="00B16A79"/>
    <w:rsid w:val="00B170A0"/>
    <w:rsid w:val="00B1745E"/>
    <w:rsid w:val="00B17642"/>
    <w:rsid w:val="00B20E57"/>
    <w:rsid w:val="00B21314"/>
    <w:rsid w:val="00B222D1"/>
    <w:rsid w:val="00B22E6D"/>
    <w:rsid w:val="00B23AB8"/>
    <w:rsid w:val="00B2409E"/>
    <w:rsid w:val="00B24754"/>
    <w:rsid w:val="00B25F17"/>
    <w:rsid w:val="00B26AFD"/>
    <w:rsid w:val="00B3011C"/>
    <w:rsid w:val="00B30124"/>
    <w:rsid w:val="00B3065D"/>
    <w:rsid w:val="00B30666"/>
    <w:rsid w:val="00B3129C"/>
    <w:rsid w:val="00B31909"/>
    <w:rsid w:val="00B32890"/>
    <w:rsid w:val="00B33303"/>
    <w:rsid w:val="00B33AC5"/>
    <w:rsid w:val="00B34132"/>
    <w:rsid w:val="00B34C0D"/>
    <w:rsid w:val="00B35C5C"/>
    <w:rsid w:val="00B35CCC"/>
    <w:rsid w:val="00B3611F"/>
    <w:rsid w:val="00B3751C"/>
    <w:rsid w:val="00B375FE"/>
    <w:rsid w:val="00B37B75"/>
    <w:rsid w:val="00B4057D"/>
    <w:rsid w:val="00B41182"/>
    <w:rsid w:val="00B413A0"/>
    <w:rsid w:val="00B414BC"/>
    <w:rsid w:val="00B414BF"/>
    <w:rsid w:val="00B41928"/>
    <w:rsid w:val="00B41A0F"/>
    <w:rsid w:val="00B430C3"/>
    <w:rsid w:val="00B4379B"/>
    <w:rsid w:val="00B43B3A"/>
    <w:rsid w:val="00B4419F"/>
    <w:rsid w:val="00B4469E"/>
    <w:rsid w:val="00B44CCC"/>
    <w:rsid w:val="00B4594E"/>
    <w:rsid w:val="00B46F85"/>
    <w:rsid w:val="00B47406"/>
    <w:rsid w:val="00B477D8"/>
    <w:rsid w:val="00B504F1"/>
    <w:rsid w:val="00B505D7"/>
    <w:rsid w:val="00B5068C"/>
    <w:rsid w:val="00B511C1"/>
    <w:rsid w:val="00B52409"/>
    <w:rsid w:val="00B5271B"/>
    <w:rsid w:val="00B52C29"/>
    <w:rsid w:val="00B52EE0"/>
    <w:rsid w:val="00B530E1"/>
    <w:rsid w:val="00B53207"/>
    <w:rsid w:val="00B53828"/>
    <w:rsid w:val="00B53B9F"/>
    <w:rsid w:val="00B5451B"/>
    <w:rsid w:val="00B551A8"/>
    <w:rsid w:val="00B55F33"/>
    <w:rsid w:val="00B56356"/>
    <w:rsid w:val="00B56EE5"/>
    <w:rsid w:val="00B57516"/>
    <w:rsid w:val="00B57949"/>
    <w:rsid w:val="00B579AC"/>
    <w:rsid w:val="00B57B58"/>
    <w:rsid w:val="00B57CE4"/>
    <w:rsid w:val="00B601EC"/>
    <w:rsid w:val="00B60863"/>
    <w:rsid w:val="00B60F01"/>
    <w:rsid w:val="00B60F27"/>
    <w:rsid w:val="00B6167D"/>
    <w:rsid w:val="00B61913"/>
    <w:rsid w:val="00B61DC0"/>
    <w:rsid w:val="00B63645"/>
    <w:rsid w:val="00B63B19"/>
    <w:rsid w:val="00B6409C"/>
    <w:rsid w:val="00B64953"/>
    <w:rsid w:val="00B64A0B"/>
    <w:rsid w:val="00B66030"/>
    <w:rsid w:val="00B663CC"/>
    <w:rsid w:val="00B663F0"/>
    <w:rsid w:val="00B674A0"/>
    <w:rsid w:val="00B67BBB"/>
    <w:rsid w:val="00B707CB"/>
    <w:rsid w:val="00B7099B"/>
    <w:rsid w:val="00B70A02"/>
    <w:rsid w:val="00B7109F"/>
    <w:rsid w:val="00B71A73"/>
    <w:rsid w:val="00B72B0C"/>
    <w:rsid w:val="00B72FBA"/>
    <w:rsid w:val="00B73680"/>
    <w:rsid w:val="00B736A5"/>
    <w:rsid w:val="00B75B05"/>
    <w:rsid w:val="00B76547"/>
    <w:rsid w:val="00B76707"/>
    <w:rsid w:val="00B770B7"/>
    <w:rsid w:val="00B777BA"/>
    <w:rsid w:val="00B77E19"/>
    <w:rsid w:val="00B8020D"/>
    <w:rsid w:val="00B802A9"/>
    <w:rsid w:val="00B806C6"/>
    <w:rsid w:val="00B807FE"/>
    <w:rsid w:val="00B80814"/>
    <w:rsid w:val="00B80B12"/>
    <w:rsid w:val="00B80B24"/>
    <w:rsid w:val="00B811F0"/>
    <w:rsid w:val="00B82AEB"/>
    <w:rsid w:val="00B82B21"/>
    <w:rsid w:val="00B82D7C"/>
    <w:rsid w:val="00B8398C"/>
    <w:rsid w:val="00B83C3E"/>
    <w:rsid w:val="00B83EE0"/>
    <w:rsid w:val="00B845D6"/>
    <w:rsid w:val="00B847D4"/>
    <w:rsid w:val="00B8564C"/>
    <w:rsid w:val="00B85BFA"/>
    <w:rsid w:val="00B85DF2"/>
    <w:rsid w:val="00B868AF"/>
    <w:rsid w:val="00B874CD"/>
    <w:rsid w:val="00B8758B"/>
    <w:rsid w:val="00B90A40"/>
    <w:rsid w:val="00B91239"/>
    <w:rsid w:val="00B912A6"/>
    <w:rsid w:val="00B92F2A"/>
    <w:rsid w:val="00B938AE"/>
    <w:rsid w:val="00B94304"/>
    <w:rsid w:val="00B947D8"/>
    <w:rsid w:val="00B9495A"/>
    <w:rsid w:val="00B9548A"/>
    <w:rsid w:val="00B96BBE"/>
    <w:rsid w:val="00B96D7E"/>
    <w:rsid w:val="00B97782"/>
    <w:rsid w:val="00B97868"/>
    <w:rsid w:val="00B979A9"/>
    <w:rsid w:val="00B979AC"/>
    <w:rsid w:val="00B97A13"/>
    <w:rsid w:val="00BA0334"/>
    <w:rsid w:val="00BA1582"/>
    <w:rsid w:val="00BA1959"/>
    <w:rsid w:val="00BA2546"/>
    <w:rsid w:val="00BA264F"/>
    <w:rsid w:val="00BA2B20"/>
    <w:rsid w:val="00BA324A"/>
    <w:rsid w:val="00BA3E43"/>
    <w:rsid w:val="00BA4184"/>
    <w:rsid w:val="00BA5AAC"/>
    <w:rsid w:val="00BA6380"/>
    <w:rsid w:val="00BA671C"/>
    <w:rsid w:val="00BA7350"/>
    <w:rsid w:val="00BA7901"/>
    <w:rsid w:val="00BA7E22"/>
    <w:rsid w:val="00BB0F18"/>
    <w:rsid w:val="00BB173B"/>
    <w:rsid w:val="00BB1A22"/>
    <w:rsid w:val="00BB2418"/>
    <w:rsid w:val="00BB246D"/>
    <w:rsid w:val="00BB3951"/>
    <w:rsid w:val="00BB3B89"/>
    <w:rsid w:val="00BB48A3"/>
    <w:rsid w:val="00BB4C7B"/>
    <w:rsid w:val="00BB4E0F"/>
    <w:rsid w:val="00BB57B1"/>
    <w:rsid w:val="00BB58E2"/>
    <w:rsid w:val="00BB5DE0"/>
    <w:rsid w:val="00BB6411"/>
    <w:rsid w:val="00BB6B43"/>
    <w:rsid w:val="00BB7571"/>
    <w:rsid w:val="00BB771D"/>
    <w:rsid w:val="00BB793A"/>
    <w:rsid w:val="00BC079D"/>
    <w:rsid w:val="00BC173D"/>
    <w:rsid w:val="00BC24B1"/>
    <w:rsid w:val="00BC34CE"/>
    <w:rsid w:val="00BC400A"/>
    <w:rsid w:val="00BC4B5E"/>
    <w:rsid w:val="00BC5D7A"/>
    <w:rsid w:val="00BC613C"/>
    <w:rsid w:val="00BC6A7A"/>
    <w:rsid w:val="00BC76F3"/>
    <w:rsid w:val="00BD20E7"/>
    <w:rsid w:val="00BD2305"/>
    <w:rsid w:val="00BD25BB"/>
    <w:rsid w:val="00BD2CE3"/>
    <w:rsid w:val="00BD31DD"/>
    <w:rsid w:val="00BD3249"/>
    <w:rsid w:val="00BD363C"/>
    <w:rsid w:val="00BD3A37"/>
    <w:rsid w:val="00BD3EB9"/>
    <w:rsid w:val="00BD407A"/>
    <w:rsid w:val="00BD4E07"/>
    <w:rsid w:val="00BD4FF7"/>
    <w:rsid w:val="00BD654A"/>
    <w:rsid w:val="00BD6DAB"/>
    <w:rsid w:val="00BD7221"/>
    <w:rsid w:val="00BD73E3"/>
    <w:rsid w:val="00BD7D48"/>
    <w:rsid w:val="00BD7F16"/>
    <w:rsid w:val="00BE1643"/>
    <w:rsid w:val="00BE1DA5"/>
    <w:rsid w:val="00BE21EC"/>
    <w:rsid w:val="00BE24AD"/>
    <w:rsid w:val="00BE2A04"/>
    <w:rsid w:val="00BE4C0A"/>
    <w:rsid w:val="00BE5A5E"/>
    <w:rsid w:val="00BE5B5C"/>
    <w:rsid w:val="00BE6235"/>
    <w:rsid w:val="00BE62A1"/>
    <w:rsid w:val="00BE6642"/>
    <w:rsid w:val="00BF0215"/>
    <w:rsid w:val="00BF0F71"/>
    <w:rsid w:val="00BF2CFB"/>
    <w:rsid w:val="00BF4496"/>
    <w:rsid w:val="00BF592C"/>
    <w:rsid w:val="00BF6F2A"/>
    <w:rsid w:val="00BF76B2"/>
    <w:rsid w:val="00BF78AD"/>
    <w:rsid w:val="00C008E4"/>
    <w:rsid w:val="00C00950"/>
    <w:rsid w:val="00C01217"/>
    <w:rsid w:val="00C019D2"/>
    <w:rsid w:val="00C02608"/>
    <w:rsid w:val="00C03C10"/>
    <w:rsid w:val="00C04129"/>
    <w:rsid w:val="00C04628"/>
    <w:rsid w:val="00C05865"/>
    <w:rsid w:val="00C06061"/>
    <w:rsid w:val="00C06532"/>
    <w:rsid w:val="00C071AB"/>
    <w:rsid w:val="00C07F3F"/>
    <w:rsid w:val="00C109A2"/>
    <w:rsid w:val="00C10F28"/>
    <w:rsid w:val="00C11F3B"/>
    <w:rsid w:val="00C12025"/>
    <w:rsid w:val="00C128A5"/>
    <w:rsid w:val="00C1298A"/>
    <w:rsid w:val="00C131B6"/>
    <w:rsid w:val="00C13C1C"/>
    <w:rsid w:val="00C14DE2"/>
    <w:rsid w:val="00C15E1B"/>
    <w:rsid w:val="00C169D2"/>
    <w:rsid w:val="00C173BE"/>
    <w:rsid w:val="00C213B3"/>
    <w:rsid w:val="00C21C97"/>
    <w:rsid w:val="00C21CAB"/>
    <w:rsid w:val="00C22492"/>
    <w:rsid w:val="00C226C3"/>
    <w:rsid w:val="00C22EBD"/>
    <w:rsid w:val="00C22FF8"/>
    <w:rsid w:val="00C22FFA"/>
    <w:rsid w:val="00C2372D"/>
    <w:rsid w:val="00C243A7"/>
    <w:rsid w:val="00C24510"/>
    <w:rsid w:val="00C24AEE"/>
    <w:rsid w:val="00C25E7F"/>
    <w:rsid w:val="00C26112"/>
    <w:rsid w:val="00C26C8C"/>
    <w:rsid w:val="00C27BD0"/>
    <w:rsid w:val="00C27D76"/>
    <w:rsid w:val="00C31BA0"/>
    <w:rsid w:val="00C32467"/>
    <w:rsid w:val="00C33160"/>
    <w:rsid w:val="00C33382"/>
    <w:rsid w:val="00C3450B"/>
    <w:rsid w:val="00C35144"/>
    <w:rsid w:val="00C3519C"/>
    <w:rsid w:val="00C358E4"/>
    <w:rsid w:val="00C3695C"/>
    <w:rsid w:val="00C36DB7"/>
    <w:rsid w:val="00C37E14"/>
    <w:rsid w:val="00C40822"/>
    <w:rsid w:val="00C410BB"/>
    <w:rsid w:val="00C417BD"/>
    <w:rsid w:val="00C41823"/>
    <w:rsid w:val="00C42127"/>
    <w:rsid w:val="00C42C75"/>
    <w:rsid w:val="00C42DE8"/>
    <w:rsid w:val="00C438A6"/>
    <w:rsid w:val="00C44D42"/>
    <w:rsid w:val="00C456D7"/>
    <w:rsid w:val="00C45BFD"/>
    <w:rsid w:val="00C46320"/>
    <w:rsid w:val="00C46C46"/>
    <w:rsid w:val="00C46C5D"/>
    <w:rsid w:val="00C47C92"/>
    <w:rsid w:val="00C47CC7"/>
    <w:rsid w:val="00C47F8F"/>
    <w:rsid w:val="00C50C01"/>
    <w:rsid w:val="00C515D6"/>
    <w:rsid w:val="00C518C8"/>
    <w:rsid w:val="00C5267D"/>
    <w:rsid w:val="00C52B7E"/>
    <w:rsid w:val="00C52D61"/>
    <w:rsid w:val="00C53B24"/>
    <w:rsid w:val="00C545EC"/>
    <w:rsid w:val="00C551E0"/>
    <w:rsid w:val="00C55A6E"/>
    <w:rsid w:val="00C56281"/>
    <w:rsid w:val="00C56CF3"/>
    <w:rsid w:val="00C60BF9"/>
    <w:rsid w:val="00C61A00"/>
    <w:rsid w:val="00C61ACD"/>
    <w:rsid w:val="00C631FE"/>
    <w:rsid w:val="00C63DD6"/>
    <w:rsid w:val="00C64257"/>
    <w:rsid w:val="00C642AA"/>
    <w:rsid w:val="00C6441F"/>
    <w:rsid w:val="00C65649"/>
    <w:rsid w:val="00C65930"/>
    <w:rsid w:val="00C660CF"/>
    <w:rsid w:val="00C66D0F"/>
    <w:rsid w:val="00C66F3C"/>
    <w:rsid w:val="00C676C4"/>
    <w:rsid w:val="00C6775C"/>
    <w:rsid w:val="00C6776F"/>
    <w:rsid w:val="00C6778D"/>
    <w:rsid w:val="00C6792A"/>
    <w:rsid w:val="00C70AAF"/>
    <w:rsid w:val="00C71280"/>
    <w:rsid w:val="00C719EC"/>
    <w:rsid w:val="00C71CEC"/>
    <w:rsid w:val="00C73023"/>
    <w:rsid w:val="00C73742"/>
    <w:rsid w:val="00C749F7"/>
    <w:rsid w:val="00C75646"/>
    <w:rsid w:val="00C75C45"/>
    <w:rsid w:val="00C7673C"/>
    <w:rsid w:val="00C7684B"/>
    <w:rsid w:val="00C76970"/>
    <w:rsid w:val="00C76A8B"/>
    <w:rsid w:val="00C76EF8"/>
    <w:rsid w:val="00C7711F"/>
    <w:rsid w:val="00C779F8"/>
    <w:rsid w:val="00C77C8A"/>
    <w:rsid w:val="00C81E3B"/>
    <w:rsid w:val="00C8209F"/>
    <w:rsid w:val="00C827D2"/>
    <w:rsid w:val="00C82E44"/>
    <w:rsid w:val="00C82E66"/>
    <w:rsid w:val="00C83785"/>
    <w:rsid w:val="00C8416D"/>
    <w:rsid w:val="00C84EE8"/>
    <w:rsid w:val="00C84FF6"/>
    <w:rsid w:val="00C85270"/>
    <w:rsid w:val="00C8548F"/>
    <w:rsid w:val="00C858F2"/>
    <w:rsid w:val="00C867A0"/>
    <w:rsid w:val="00C86FC4"/>
    <w:rsid w:val="00C871D9"/>
    <w:rsid w:val="00C8763A"/>
    <w:rsid w:val="00C903F5"/>
    <w:rsid w:val="00C90D2A"/>
    <w:rsid w:val="00C912AB"/>
    <w:rsid w:val="00C91566"/>
    <w:rsid w:val="00C91AAD"/>
    <w:rsid w:val="00C93D0D"/>
    <w:rsid w:val="00C93D81"/>
    <w:rsid w:val="00C9439E"/>
    <w:rsid w:val="00C946DC"/>
    <w:rsid w:val="00C9471F"/>
    <w:rsid w:val="00C9489C"/>
    <w:rsid w:val="00C94B6A"/>
    <w:rsid w:val="00C95500"/>
    <w:rsid w:val="00C9774F"/>
    <w:rsid w:val="00C97C4C"/>
    <w:rsid w:val="00CA00D4"/>
    <w:rsid w:val="00CA051F"/>
    <w:rsid w:val="00CA089E"/>
    <w:rsid w:val="00CA0FD3"/>
    <w:rsid w:val="00CA12F3"/>
    <w:rsid w:val="00CA267E"/>
    <w:rsid w:val="00CA375F"/>
    <w:rsid w:val="00CA37AA"/>
    <w:rsid w:val="00CA4132"/>
    <w:rsid w:val="00CA42AB"/>
    <w:rsid w:val="00CA42BD"/>
    <w:rsid w:val="00CA4D6F"/>
    <w:rsid w:val="00CA6126"/>
    <w:rsid w:val="00CA6884"/>
    <w:rsid w:val="00CA6958"/>
    <w:rsid w:val="00CA74A9"/>
    <w:rsid w:val="00CA7A1F"/>
    <w:rsid w:val="00CB190E"/>
    <w:rsid w:val="00CB1F44"/>
    <w:rsid w:val="00CB1FB6"/>
    <w:rsid w:val="00CB20B6"/>
    <w:rsid w:val="00CB340A"/>
    <w:rsid w:val="00CB41E3"/>
    <w:rsid w:val="00CB4311"/>
    <w:rsid w:val="00CB4527"/>
    <w:rsid w:val="00CB4C1B"/>
    <w:rsid w:val="00CB5053"/>
    <w:rsid w:val="00CB52DD"/>
    <w:rsid w:val="00CB6245"/>
    <w:rsid w:val="00CB6D00"/>
    <w:rsid w:val="00CB7FFE"/>
    <w:rsid w:val="00CC097A"/>
    <w:rsid w:val="00CC099F"/>
    <w:rsid w:val="00CC12A1"/>
    <w:rsid w:val="00CC2174"/>
    <w:rsid w:val="00CC25FF"/>
    <w:rsid w:val="00CC40A3"/>
    <w:rsid w:val="00CC40F7"/>
    <w:rsid w:val="00CC4958"/>
    <w:rsid w:val="00CC4963"/>
    <w:rsid w:val="00CC59CA"/>
    <w:rsid w:val="00CC5F43"/>
    <w:rsid w:val="00CC5FB8"/>
    <w:rsid w:val="00CC62B2"/>
    <w:rsid w:val="00CC680B"/>
    <w:rsid w:val="00CC6899"/>
    <w:rsid w:val="00CC6DDB"/>
    <w:rsid w:val="00CC6E50"/>
    <w:rsid w:val="00CD04ED"/>
    <w:rsid w:val="00CD0C9D"/>
    <w:rsid w:val="00CD1043"/>
    <w:rsid w:val="00CD15F0"/>
    <w:rsid w:val="00CD181C"/>
    <w:rsid w:val="00CD2129"/>
    <w:rsid w:val="00CD212E"/>
    <w:rsid w:val="00CD3836"/>
    <w:rsid w:val="00CD3C34"/>
    <w:rsid w:val="00CD4D7B"/>
    <w:rsid w:val="00CD4FE8"/>
    <w:rsid w:val="00CD738E"/>
    <w:rsid w:val="00CD7A73"/>
    <w:rsid w:val="00CD7E7D"/>
    <w:rsid w:val="00CE1078"/>
    <w:rsid w:val="00CE1162"/>
    <w:rsid w:val="00CE1ED4"/>
    <w:rsid w:val="00CE1EEA"/>
    <w:rsid w:val="00CE2693"/>
    <w:rsid w:val="00CE3FFA"/>
    <w:rsid w:val="00CE4BB5"/>
    <w:rsid w:val="00CE5007"/>
    <w:rsid w:val="00CE59C2"/>
    <w:rsid w:val="00CE65DF"/>
    <w:rsid w:val="00CE6B45"/>
    <w:rsid w:val="00CE7336"/>
    <w:rsid w:val="00CE75F3"/>
    <w:rsid w:val="00CF0440"/>
    <w:rsid w:val="00CF082F"/>
    <w:rsid w:val="00CF110E"/>
    <w:rsid w:val="00CF1197"/>
    <w:rsid w:val="00CF18F9"/>
    <w:rsid w:val="00CF1E1F"/>
    <w:rsid w:val="00CF2233"/>
    <w:rsid w:val="00CF25D6"/>
    <w:rsid w:val="00CF309F"/>
    <w:rsid w:val="00CF4B4E"/>
    <w:rsid w:val="00CF5080"/>
    <w:rsid w:val="00CF52F3"/>
    <w:rsid w:val="00CF56B8"/>
    <w:rsid w:val="00CF6C58"/>
    <w:rsid w:val="00CF79EB"/>
    <w:rsid w:val="00CF79F7"/>
    <w:rsid w:val="00D01468"/>
    <w:rsid w:val="00D023F0"/>
    <w:rsid w:val="00D0436E"/>
    <w:rsid w:val="00D05073"/>
    <w:rsid w:val="00D05268"/>
    <w:rsid w:val="00D059F3"/>
    <w:rsid w:val="00D06E83"/>
    <w:rsid w:val="00D07158"/>
    <w:rsid w:val="00D07FB4"/>
    <w:rsid w:val="00D10824"/>
    <w:rsid w:val="00D1200E"/>
    <w:rsid w:val="00D128BD"/>
    <w:rsid w:val="00D131FA"/>
    <w:rsid w:val="00D1375B"/>
    <w:rsid w:val="00D13FED"/>
    <w:rsid w:val="00D1426D"/>
    <w:rsid w:val="00D1437C"/>
    <w:rsid w:val="00D1569F"/>
    <w:rsid w:val="00D162BD"/>
    <w:rsid w:val="00D162EB"/>
    <w:rsid w:val="00D16C05"/>
    <w:rsid w:val="00D172BC"/>
    <w:rsid w:val="00D20354"/>
    <w:rsid w:val="00D2051E"/>
    <w:rsid w:val="00D2107E"/>
    <w:rsid w:val="00D2133F"/>
    <w:rsid w:val="00D213E7"/>
    <w:rsid w:val="00D21B47"/>
    <w:rsid w:val="00D22FAC"/>
    <w:rsid w:val="00D22FD8"/>
    <w:rsid w:val="00D23B07"/>
    <w:rsid w:val="00D2453E"/>
    <w:rsid w:val="00D24878"/>
    <w:rsid w:val="00D2514D"/>
    <w:rsid w:val="00D256B7"/>
    <w:rsid w:val="00D25AEC"/>
    <w:rsid w:val="00D26CC7"/>
    <w:rsid w:val="00D275B7"/>
    <w:rsid w:val="00D2763A"/>
    <w:rsid w:val="00D30053"/>
    <w:rsid w:val="00D300C1"/>
    <w:rsid w:val="00D30CB8"/>
    <w:rsid w:val="00D30D42"/>
    <w:rsid w:val="00D30E31"/>
    <w:rsid w:val="00D310BA"/>
    <w:rsid w:val="00D31FFF"/>
    <w:rsid w:val="00D32281"/>
    <w:rsid w:val="00D326BC"/>
    <w:rsid w:val="00D3282B"/>
    <w:rsid w:val="00D33EFB"/>
    <w:rsid w:val="00D350F0"/>
    <w:rsid w:val="00D3544D"/>
    <w:rsid w:val="00D37E12"/>
    <w:rsid w:val="00D37FDF"/>
    <w:rsid w:val="00D40DDF"/>
    <w:rsid w:val="00D410CD"/>
    <w:rsid w:val="00D41595"/>
    <w:rsid w:val="00D4303E"/>
    <w:rsid w:val="00D43D53"/>
    <w:rsid w:val="00D4400E"/>
    <w:rsid w:val="00D4485F"/>
    <w:rsid w:val="00D44B23"/>
    <w:rsid w:val="00D45145"/>
    <w:rsid w:val="00D4575A"/>
    <w:rsid w:val="00D47FC8"/>
    <w:rsid w:val="00D50093"/>
    <w:rsid w:val="00D503B0"/>
    <w:rsid w:val="00D50932"/>
    <w:rsid w:val="00D513EC"/>
    <w:rsid w:val="00D528AA"/>
    <w:rsid w:val="00D52A47"/>
    <w:rsid w:val="00D53171"/>
    <w:rsid w:val="00D55364"/>
    <w:rsid w:val="00D556B5"/>
    <w:rsid w:val="00D55DF4"/>
    <w:rsid w:val="00D5661E"/>
    <w:rsid w:val="00D569B0"/>
    <w:rsid w:val="00D578E4"/>
    <w:rsid w:val="00D57B75"/>
    <w:rsid w:val="00D6008A"/>
    <w:rsid w:val="00D609B5"/>
    <w:rsid w:val="00D60D90"/>
    <w:rsid w:val="00D62596"/>
    <w:rsid w:val="00D6373A"/>
    <w:rsid w:val="00D643C6"/>
    <w:rsid w:val="00D6465C"/>
    <w:rsid w:val="00D67D1F"/>
    <w:rsid w:val="00D7088E"/>
    <w:rsid w:val="00D71864"/>
    <w:rsid w:val="00D71CB4"/>
    <w:rsid w:val="00D71CEF"/>
    <w:rsid w:val="00D72422"/>
    <w:rsid w:val="00D7243F"/>
    <w:rsid w:val="00D72515"/>
    <w:rsid w:val="00D72E9F"/>
    <w:rsid w:val="00D72F53"/>
    <w:rsid w:val="00D73560"/>
    <w:rsid w:val="00D73642"/>
    <w:rsid w:val="00D73DFD"/>
    <w:rsid w:val="00D7409D"/>
    <w:rsid w:val="00D751C2"/>
    <w:rsid w:val="00D75C73"/>
    <w:rsid w:val="00D75F9F"/>
    <w:rsid w:val="00D762F9"/>
    <w:rsid w:val="00D765A8"/>
    <w:rsid w:val="00D7679A"/>
    <w:rsid w:val="00D767C1"/>
    <w:rsid w:val="00D77649"/>
    <w:rsid w:val="00D8074F"/>
    <w:rsid w:val="00D81800"/>
    <w:rsid w:val="00D81EA2"/>
    <w:rsid w:val="00D82404"/>
    <w:rsid w:val="00D82A54"/>
    <w:rsid w:val="00D82DAA"/>
    <w:rsid w:val="00D84307"/>
    <w:rsid w:val="00D84C66"/>
    <w:rsid w:val="00D8520E"/>
    <w:rsid w:val="00D85454"/>
    <w:rsid w:val="00D85986"/>
    <w:rsid w:val="00D86084"/>
    <w:rsid w:val="00D86E9A"/>
    <w:rsid w:val="00D86F94"/>
    <w:rsid w:val="00D870FE"/>
    <w:rsid w:val="00D90290"/>
    <w:rsid w:val="00D9031A"/>
    <w:rsid w:val="00D90B64"/>
    <w:rsid w:val="00D90B73"/>
    <w:rsid w:val="00D90C3C"/>
    <w:rsid w:val="00D90D2A"/>
    <w:rsid w:val="00D9106C"/>
    <w:rsid w:val="00D911E5"/>
    <w:rsid w:val="00D91A20"/>
    <w:rsid w:val="00D91A97"/>
    <w:rsid w:val="00D91CB7"/>
    <w:rsid w:val="00D92175"/>
    <w:rsid w:val="00D9245D"/>
    <w:rsid w:val="00D9267D"/>
    <w:rsid w:val="00D953ED"/>
    <w:rsid w:val="00D954B1"/>
    <w:rsid w:val="00D95712"/>
    <w:rsid w:val="00D962C9"/>
    <w:rsid w:val="00D97959"/>
    <w:rsid w:val="00DA04D3"/>
    <w:rsid w:val="00DA0B2F"/>
    <w:rsid w:val="00DA1706"/>
    <w:rsid w:val="00DA21BD"/>
    <w:rsid w:val="00DA21EA"/>
    <w:rsid w:val="00DA2E24"/>
    <w:rsid w:val="00DA3839"/>
    <w:rsid w:val="00DA4ABD"/>
    <w:rsid w:val="00DA58BD"/>
    <w:rsid w:val="00DA66AF"/>
    <w:rsid w:val="00DA77CF"/>
    <w:rsid w:val="00DA78E2"/>
    <w:rsid w:val="00DB09CA"/>
    <w:rsid w:val="00DB0A78"/>
    <w:rsid w:val="00DB0A98"/>
    <w:rsid w:val="00DB0B0A"/>
    <w:rsid w:val="00DB0ED6"/>
    <w:rsid w:val="00DB11D6"/>
    <w:rsid w:val="00DB26DD"/>
    <w:rsid w:val="00DB2BEE"/>
    <w:rsid w:val="00DB37B6"/>
    <w:rsid w:val="00DB398F"/>
    <w:rsid w:val="00DB41ED"/>
    <w:rsid w:val="00DB45B6"/>
    <w:rsid w:val="00DB77A3"/>
    <w:rsid w:val="00DB78B2"/>
    <w:rsid w:val="00DB7AFA"/>
    <w:rsid w:val="00DC0D62"/>
    <w:rsid w:val="00DC1815"/>
    <w:rsid w:val="00DC19D6"/>
    <w:rsid w:val="00DC1A9A"/>
    <w:rsid w:val="00DC1DFF"/>
    <w:rsid w:val="00DC205C"/>
    <w:rsid w:val="00DC21F5"/>
    <w:rsid w:val="00DC23E7"/>
    <w:rsid w:val="00DC337A"/>
    <w:rsid w:val="00DC4896"/>
    <w:rsid w:val="00DC4E56"/>
    <w:rsid w:val="00DC5028"/>
    <w:rsid w:val="00DC619E"/>
    <w:rsid w:val="00DC7323"/>
    <w:rsid w:val="00DC7C3E"/>
    <w:rsid w:val="00DD02B3"/>
    <w:rsid w:val="00DD0C05"/>
    <w:rsid w:val="00DD101D"/>
    <w:rsid w:val="00DD1838"/>
    <w:rsid w:val="00DD1D45"/>
    <w:rsid w:val="00DD208F"/>
    <w:rsid w:val="00DD2679"/>
    <w:rsid w:val="00DD27E6"/>
    <w:rsid w:val="00DD2F25"/>
    <w:rsid w:val="00DD3721"/>
    <w:rsid w:val="00DD3B01"/>
    <w:rsid w:val="00DD3C04"/>
    <w:rsid w:val="00DD428F"/>
    <w:rsid w:val="00DD4A2B"/>
    <w:rsid w:val="00DD5F5A"/>
    <w:rsid w:val="00DD7237"/>
    <w:rsid w:val="00DD7BD8"/>
    <w:rsid w:val="00DD7C56"/>
    <w:rsid w:val="00DE0160"/>
    <w:rsid w:val="00DE08A4"/>
    <w:rsid w:val="00DE0D00"/>
    <w:rsid w:val="00DE1111"/>
    <w:rsid w:val="00DE24EB"/>
    <w:rsid w:val="00DE2F34"/>
    <w:rsid w:val="00DE2FBD"/>
    <w:rsid w:val="00DE3552"/>
    <w:rsid w:val="00DE36C7"/>
    <w:rsid w:val="00DE3960"/>
    <w:rsid w:val="00DE4467"/>
    <w:rsid w:val="00DE4A4B"/>
    <w:rsid w:val="00DE50E7"/>
    <w:rsid w:val="00DE5640"/>
    <w:rsid w:val="00DE6CE2"/>
    <w:rsid w:val="00DE73AF"/>
    <w:rsid w:val="00DE7556"/>
    <w:rsid w:val="00DE7F56"/>
    <w:rsid w:val="00DF08E6"/>
    <w:rsid w:val="00DF0C1E"/>
    <w:rsid w:val="00DF0CF1"/>
    <w:rsid w:val="00DF0D4B"/>
    <w:rsid w:val="00DF1210"/>
    <w:rsid w:val="00DF1ADF"/>
    <w:rsid w:val="00DF2B17"/>
    <w:rsid w:val="00DF349D"/>
    <w:rsid w:val="00DF3D47"/>
    <w:rsid w:val="00DF4AA9"/>
    <w:rsid w:val="00DF5A8F"/>
    <w:rsid w:val="00DF6066"/>
    <w:rsid w:val="00DF665D"/>
    <w:rsid w:val="00DF6921"/>
    <w:rsid w:val="00DF7ABD"/>
    <w:rsid w:val="00E00488"/>
    <w:rsid w:val="00E00788"/>
    <w:rsid w:val="00E00B13"/>
    <w:rsid w:val="00E00CF7"/>
    <w:rsid w:val="00E00DCD"/>
    <w:rsid w:val="00E01FC8"/>
    <w:rsid w:val="00E02DB2"/>
    <w:rsid w:val="00E02F29"/>
    <w:rsid w:val="00E03425"/>
    <w:rsid w:val="00E03EFD"/>
    <w:rsid w:val="00E04615"/>
    <w:rsid w:val="00E046A1"/>
    <w:rsid w:val="00E047EF"/>
    <w:rsid w:val="00E05504"/>
    <w:rsid w:val="00E05DBC"/>
    <w:rsid w:val="00E06823"/>
    <w:rsid w:val="00E075C7"/>
    <w:rsid w:val="00E10CB9"/>
    <w:rsid w:val="00E11F3A"/>
    <w:rsid w:val="00E12BDC"/>
    <w:rsid w:val="00E12E4B"/>
    <w:rsid w:val="00E12E88"/>
    <w:rsid w:val="00E130DC"/>
    <w:rsid w:val="00E132B1"/>
    <w:rsid w:val="00E13526"/>
    <w:rsid w:val="00E13C00"/>
    <w:rsid w:val="00E14273"/>
    <w:rsid w:val="00E1479A"/>
    <w:rsid w:val="00E15046"/>
    <w:rsid w:val="00E1558C"/>
    <w:rsid w:val="00E15BE4"/>
    <w:rsid w:val="00E1601C"/>
    <w:rsid w:val="00E169D0"/>
    <w:rsid w:val="00E169FC"/>
    <w:rsid w:val="00E17F7F"/>
    <w:rsid w:val="00E201BF"/>
    <w:rsid w:val="00E2021D"/>
    <w:rsid w:val="00E21916"/>
    <w:rsid w:val="00E2200D"/>
    <w:rsid w:val="00E220AE"/>
    <w:rsid w:val="00E2257E"/>
    <w:rsid w:val="00E22D28"/>
    <w:rsid w:val="00E22F70"/>
    <w:rsid w:val="00E23861"/>
    <w:rsid w:val="00E23B7A"/>
    <w:rsid w:val="00E23EBF"/>
    <w:rsid w:val="00E23FDE"/>
    <w:rsid w:val="00E24B67"/>
    <w:rsid w:val="00E24B74"/>
    <w:rsid w:val="00E2548A"/>
    <w:rsid w:val="00E2551F"/>
    <w:rsid w:val="00E256CC"/>
    <w:rsid w:val="00E25799"/>
    <w:rsid w:val="00E25BE6"/>
    <w:rsid w:val="00E26304"/>
    <w:rsid w:val="00E26E12"/>
    <w:rsid w:val="00E27D66"/>
    <w:rsid w:val="00E30E17"/>
    <w:rsid w:val="00E30F1A"/>
    <w:rsid w:val="00E31226"/>
    <w:rsid w:val="00E31C64"/>
    <w:rsid w:val="00E32285"/>
    <w:rsid w:val="00E34277"/>
    <w:rsid w:val="00E34773"/>
    <w:rsid w:val="00E34F3C"/>
    <w:rsid w:val="00E358BC"/>
    <w:rsid w:val="00E35DF7"/>
    <w:rsid w:val="00E36EC3"/>
    <w:rsid w:val="00E370C8"/>
    <w:rsid w:val="00E37352"/>
    <w:rsid w:val="00E37387"/>
    <w:rsid w:val="00E37EC2"/>
    <w:rsid w:val="00E37F72"/>
    <w:rsid w:val="00E40821"/>
    <w:rsid w:val="00E40B81"/>
    <w:rsid w:val="00E40B84"/>
    <w:rsid w:val="00E40D42"/>
    <w:rsid w:val="00E40E32"/>
    <w:rsid w:val="00E415EF"/>
    <w:rsid w:val="00E41934"/>
    <w:rsid w:val="00E42234"/>
    <w:rsid w:val="00E42771"/>
    <w:rsid w:val="00E4360A"/>
    <w:rsid w:val="00E43E9C"/>
    <w:rsid w:val="00E43F00"/>
    <w:rsid w:val="00E4447F"/>
    <w:rsid w:val="00E4453D"/>
    <w:rsid w:val="00E44672"/>
    <w:rsid w:val="00E44C95"/>
    <w:rsid w:val="00E44D44"/>
    <w:rsid w:val="00E450F8"/>
    <w:rsid w:val="00E455C5"/>
    <w:rsid w:val="00E45702"/>
    <w:rsid w:val="00E458C0"/>
    <w:rsid w:val="00E45AE2"/>
    <w:rsid w:val="00E45AFB"/>
    <w:rsid w:val="00E45F92"/>
    <w:rsid w:val="00E501AA"/>
    <w:rsid w:val="00E50CA6"/>
    <w:rsid w:val="00E51FED"/>
    <w:rsid w:val="00E523DF"/>
    <w:rsid w:val="00E52D85"/>
    <w:rsid w:val="00E531DB"/>
    <w:rsid w:val="00E53D7A"/>
    <w:rsid w:val="00E5405F"/>
    <w:rsid w:val="00E54940"/>
    <w:rsid w:val="00E550E8"/>
    <w:rsid w:val="00E55E6C"/>
    <w:rsid w:val="00E5613C"/>
    <w:rsid w:val="00E56979"/>
    <w:rsid w:val="00E56C13"/>
    <w:rsid w:val="00E56C80"/>
    <w:rsid w:val="00E60D7A"/>
    <w:rsid w:val="00E60EF1"/>
    <w:rsid w:val="00E61718"/>
    <w:rsid w:val="00E6173B"/>
    <w:rsid w:val="00E635C2"/>
    <w:rsid w:val="00E638F2"/>
    <w:rsid w:val="00E63E81"/>
    <w:rsid w:val="00E6408E"/>
    <w:rsid w:val="00E65204"/>
    <w:rsid w:val="00E659B8"/>
    <w:rsid w:val="00E66801"/>
    <w:rsid w:val="00E67155"/>
    <w:rsid w:val="00E672C2"/>
    <w:rsid w:val="00E708FF"/>
    <w:rsid w:val="00E70CD0"/>
    <w:rsid w:val="00E71136"/>
    <w:rsid w:val="00E71A9A"/>
    <w:rsid w:val="00E7220A"/>
    <w:rsid w:val="00E72E70"/>
    <w:rsid w:val="00E7320D"/>
    <w:rsid w:val="00E74BB1"/>
    <w:rsid w:val="00E74D9E"/>
    <w:rsid w:val="00E75479"/>
    <w:rsid w:val="00E75650"/>
    <w:rsid w:val="00E75B86"/>
    <w:rsid w:val="00E75DD7"/>
    <w:rsid w:val="00E762E9"/>
    <w:rsid w:val="00E763D5"/>
    <w:rsid w:val="00E769E9"/>
    <w:rsid w:val="00E77C3D"/>
    <w:rsid w:val="00E802A0"/>
    <w:rsid w:val="00E80EED"/>
    <w:rsid w:val="00E81DD1"/>
    <w:rsid w:val="00E81F3C"/>
    <w:rsid w:val="00E82BB9"/>
    <w:rsid w:val="00E82CE9"/>
    <w:rsid w:val="00E84132"/>
    <w:rsid w:val="00E8429F"/>
    <w:rsid w:val="00E843B5"/>
    <w:rsid w:val="00E846BC"/>
    <w:rsid w:val="00E84DB7"/>
    <w:rsid w:val="00E85F33"/>
    <w:rsid w:val="00E86110"/>
    <w:rsid w:val="00E863A6"/>
    <w:rsid w:val="00E86624"/>
    <w:rsid w:val="00E867D5"/>
    <w:rsid w:val="00E867E6"/>
    <w:rsid w:val="00E87032"/>
    <w:rsid w:val="00E903A5"/>
    <w:rsid w:val="00E9096D"/>
    <w:rsid w:val="00E90ED8"/>
    <w:rsid w:val="00E92CC6"/>
    <w:rsid w:val="00E92CDE"/>
    <w:rsid w:val="00E92DF8"/>
    <w:rsid w:val="00E92F3B"/>
    <w:rsid w:val="00E932FB"/>
    <w:rsid w:val="00E9366F"/>
    <w:rsid w:val="00E94EFE"/>
    <w:rsid w:val="00E95AEC"/>
    <w:rsid w:val="00E967F9"/>
    <w:rsid w:val="00E96B81"/>
    <w:rsid w:val="00E96C91"/>
    <w:rsid w:val="00E97050"/>
    <w:rsid w:val="00E97369"/>
    <w:rsid w:val="00E976F5"/>
    <w:rsid w:val="00E97C36"/>
    <w:rsid w:val="00EA0748"/>
    <w:rsid w:val="00EA20BD"/>
    <w:rsid w:val="00EA2193"/>
    <w:rsid w:val="00EA260A"/>
    <w:rsid w:val="00EA2A10"/>
    <w:rsid w:val="00EA36DB"/>
    <w:rsid w:val="00EA39B6"/>
    <w:rsid w:val="00EA46D6"/>
    <w:rsid w:val="00EA6600"/>
    <w:rsid w:val="00EA6D46"/>
    <w:rsid w:val="00EA774F"/>
    <w:rsid w:val="00EB0206"/>
    <w:rsid w:val="00EB123F"/>
    <w:rsid w:val="00EB2853"/>
    <w:rsid w:val="00EB3857"/>
    <w:rsid w:val="00EB3C84"/>
    <w:rsid w:val="00EB3F06"/>
    <w:rsid w:val="00EB40C9"/>
    <w:rsid w:val="00EB430E"/>
    <w:rsid w:val="00EB4354"/>
    <w:rsid w:val="00EB44DA"/>
    <w:rsid w:val="00EB4A0A"/>
    <w:rsid w:val="00EB4AB5"/>
    <w:rsid w:val="00EB4C4D"/>
    <w:rsid w:val="00EB5043"/>
    <w:rsid w:val="00EB572D"/>
    <w:rsid w:val="00EB7D83"/>
    <w:rsid w:val="00EC1FA5"/>
    <w:rsid w:val="00EC1FCC"/>
    <w:rsid w:val="00EC231D"/>
    <w:rsid w:val="00EC3D92"/>
    <w:rsid w:val="00EC3E13"/>
    <w:rsid w:val="00EC4847"/>
    <w:rsid w:val="00EC4B3B"/>
    <w:rsid w:val="00EC5085"/>
    <w:rsid w:val="00EC59C5"/>
    <w:rsid w:val="00EC5F48"/>
    <w:rsid w:val="00EC67E7"/>
    <w:rsid w:val="00EC6E69"/>
    <w:rsid w:val="00EC71C9"/>
    <w:rsid w:val="00EC7F1D"/>
    <w:rsid w:val="00ED169A"/>
    <w:rsid w:val="00ED196F"/>
    <w:rsid w:val="00ED1CED"/>
    <w:rsid w:val="00ED1E9E"/>
    <w:rsid w:val="00ED32AB"/>
    <w:rsid w:val="00ED3AFC"/>
    <w:rsid w:val="00ED3E1D"/>
    <w:rsid w:val="00ED4104"/>
    <w:rsid w:val="00ED440E"/>
    <w:rsid w:val="00ED5A96"/>
    <w:rsid w:val="00ED601B"/>
    <w:rsid w:val="00ED79BD"/>
    <w:rsid w:val="00ED7ECC"/>
    <w:rsid w:val="00EE23A3"/>
    <w:rsid w:val="00EE2937"/>
    <w:rsid w:val="00EE3280"/>
    <w:rsid w:val="00EE358E"/>
    <w:rsid w:val="00EE3E0F"/>
    <w:rsid w:val="00EE574A"/>
    <w:rsid w:val="00EE6027"/>
    <w:rsid w:val="00EE78FE"/>
    <w:rsid w:val="00EE790A"/>
    <w:rsid w:val="00EE7C39"/>
    <w:rsid w:val="00EF0379"/>
    <w:rsid w:val="00EF0748"/>
    <w:rsid w:val="00EF0A82"/>
    <w:rsid w:val="00EF1EBA"/>
    <w:rsid w:val="00EF3496"/>
    <w:rsid w:val="00EF42D2"/>
    <w:rsid w:val="00EF44FF"/>
    <w:rsid w:val="00EF528C"/>
    <w:rsid w:val="00EF58A2"/>
    <w:rsid w:val="00EF642D"/>
    <w:rsid w:val="00EF6E5C"/>
    <w:rsid w:val="00EF7A03"/>
    <w:rsid w:val="00EF7A9F"/>
    <w:rsid w:val="00EF7DE3"/>
    <w:rsid w:val="00F002D7"/>
    <w:rsid w:val="00F003EA"/>
    <w:rsid w:val="00F00A3F"/>
    <w:rsid w:val="00F01AFB"/>
    <w:rsid w:val="00F02B5E"/>
    <w:rsid w:val="00F032E4"/>
    <w:rsid w:val="00F04C9B"/>
    <w:rsid w:val="00F06793"/>
    <w:rsid w:val="00F06CD1"/>
    <w:rsid w:val="00F06F6D"/>
    <w:rsid w:val="00F07793"/>
    <w:rsid w:val="00F07994"/>
    <w:rsid w:val="00F07EAB"/>
    <w:rsid w:val="00F10AB0"/>
    <w:rsid w:val="00F11C60"/>
    <w:rsid w:val="00F11E9C"/>
    <w:rsid w:val="00F134CA"/>
    <w:rsid w:val="00F13791"/>
    <w:rsid w:val="00F1400E"/>
    <w:rsid w:val="00F15910"/>
    <w:rsid w:val="00F15A03"/>
    <w:rsid w:val="00F15A85"/>
    <w:rsid w:val="00F160F2"/>
    <w:rsid w:val="00F161C5"/>
    <w:rsid w:val="00F161D2"/>
    <w:rsid w:val="00F1752C"/>
    <w:rsid w:val="00F20279"/>
    <w:rsid w:val="00F21C9D"/>
    <w:rsid w:val="00F21D09"/>
    <w:rsid w:val="00F22F18"/>
    <w:rsid w:val="00F22F2D"/>
    <w:rsid w:val="00F23294"/>
    <w:rsid w:val="00F23F6D"/>
    <w:rsid w:val="00F24576"/>
    <w:rsid w:val="00F25D75"/>
    <w:rsid w:val="00F279BB"/>
    <w:rsid w:val="00F30D9A"/>
    <w:rsid w:val="00F31060"/>
    <w:rsid w:val="00F317A9"/>
    <w:rsid w:val="00F32249"/>
    <w:rsid w:val="00F32BEC"/>
    <w:rsid w:val="00F333D5"/>
    <w:rsid w:val="00F3393F"/>
    <w:rsid w:val="00F34053"/>
    <w:rsid w:val="00F3428B"/>
    <w:rsid w:val="00F34DC6"/>
    <w:rsid w:val="00F35411"/>
    <w:rsid w:val="00F361CD"/>
    <w:rsid w:val="00F36759"/>
    <w:rsid w:val="00F37522"/>
    <w:rsid w:val="00F379E4"/>
    <w:rsid w:val="00F37C09"/>
    <w:rsid w:val="00F37D8D"/>
    <w:rsid w:val="00F37D95"/>
    <w:rsid w:val="00F40F72"/>
    <w:rsid w:val="00F415B1"/>
    <w:rsid w:val="00F41816"/>
    <w:rsid w:val="00F41B83"/>
    <w:rsid w:val="00F41F66"/>
    <w:rsid w:val="00F425BC"/>
    <w:rsid w:val="00F42D75"/>
    <w:rsid w:val="00F42F36"/>
    <w:rsid w:val="00F432ED"/>
    <w:rsid w:val="00F4338F"/>
    <w:rsid w:val="00F44AE7"/>
    <w:rsid w:val="00F4576C"/>
    <w:rsid w:val="00F459D6"/>
    <w:rsid w:val="00F4648E"/>
    <w:rsid w:val="00F47F6D"/>
    <w:rsid w:val="00F509D5"/>
    <w:rsid w:val="00F509DD"/>
    <w:rsid w:val="00F50B2C"/>
    <w:rsid w:val="00F51435"/>
    <w:rsid w:val="00F51A0A"/>
    <w:rsid w:val="00F51C81"/>
    <w:rsid w:val="00F52E36"/>
    <w:rsid w:val="00F53443"/>
    <w:rsid w:val="00F534EA"/>
    <w:rsid w:val="00F53CC2"/>
    <w:rsid w:val="00F54E6E"/>
    <w:rsid w:val="00F5503D"/>
    <w:rsid w:val="00F55491"/>
    <w:rsid w:val="00F556DC"/>
    <w:rsid w:val="00F56B7A"/>
    <w:rsid w:val="00F575BF"/>
    <w:rsid w:val="00F57B90"/>
    <w:rsid w:val="00F57CF4"/>
    <w:rsid w:val="00F60BA1"/>
    <w:rsid w:val="00F61500"/>
    <w:rsid w:val="00F617D2"/>
    <w:rsid w:val="00F61A25"/>
    <w:rsid w:val="00F61A3E"/>
    <w:rsid w:val="00F61B1B"/>
    <w:rsid w:val="00F61EEB"/>
    <w:rsid w:val="00F62017"/>
    <w:rsid w:val="00F62B10"/>
    <w:rsid w:val="00F62BAE"/>
    <w:rsid w:val="00F630A9"/>
    <w:rsid w:val="00F634DC"/>
    <w:rsid w:val="00F63907"/>
    <w:rsid w:val="00F639A9"/>
    <w:rsid w:val="00F63BFE"/>
    <w:rsid w:val="00F63EBF"/>
    <w:rsid w:val="00F643A9"/>
    <w:rsid w:val="00F645D6"/>
    <w:rsid w:val="00F64983"/>
    <w:rsid w:val="00F64EA6"/>
    <w:rsid w:val="00F64ECF"/>
    <w:rsid w:val="00F6635D"/>
    <w:rsid w:val="00F66378"/>
    <w:rsid w:val="00F674F8"/>
    <w:rsid w:val="00F67E96"/>
    <w:rsid w:val="00F70350"/>
    <w:rsid w:val="00F716DF"/>
    <w:rsid w:val="00F71E14"/>
    <w:rsid w:val="00F7281E"/>
    <w:rsid w:val="00F72C56"/>
    <w:rsid w:val="00F73D86"/>
    <w:rsid w:val="00F74532"/>
    <w:rsid w:val="00F76169"/>
    <w:rsid w:val="00F7697C"/>
    <w:rsid w:val="00F80214"/>
    <w:rsid w:val="00F81011"/>
    <w:rsid w:val="00F81589"/>
    <w:rsid w:val="00F81D64"/>
    <w:rsid w:val="00F820D8"/>
    <w:rsid w:val="00F844E7"/>
    <w:rsid w:val="00F84BB3"/>
    <w:rsid w:val="00F855C3"/>
    <w:rsid w:val="00F8583C"/>
    <w:rsid w:val="00F859F4"/>
    <w:rsid w:val="00F8623E"/>
    <w:rsid w:val="00F8729B"/>
    <w:rsid w:val="00F87949"/>
    <w:rsid w:val="00F87BDC"/>
    <w:rsid w:val="00F87CDB"/>
    <w:rsid w:val="00F90638"/>
    <w:rsid w:val="00F9106C"/>
    <w:rsid w:val="00F91245"/>
    <w:rsid w:val="00F91775"/>
    <w:rsid w:val="00F928CC"/>
    <w:rsid w:val="00F92A3A"/>
    <w:rsid w:val="00F92DB7"/>
    <w:rsid w:val="00F939F9"/>
    <w:rsid w:val="00F93D7B"/>
    <w:rsid w:val="00F93E06"/>
    <w:rsid w:val="00F93ECA"/>
    <w:rsid w:val="00F94FE2"/>
    <w:rsid w:val="00F9572B"/>
    <w:rsid w:val="00F95798"/>
    <w:rsid w:val="00F95917"/>
    <w:rsid w:val="00F959B2"/>
    <w:rsid w:val="00F95B0D"/>
    <w:rsid w:val="00F963AE"/>
    <w:rsid w:val="00F970B4"/>
    <w:rsid w:val="00FA0291"/>
    <w:rsid w:val="00FA0CDD"/>
    <w:rsid w:val="00FA0E83"/>
    <w:rsid w:val="00FA139F"/>
    <w:rsid w:val="00FA2007"/>
    <w:rsid w:val="00FA224C"/>
    <w:rsid w:val="00FA2AD9"/>
    <w:rsid w:val="00FA2AE8"/>
    <w:rsid w:val="00FA2CDF"/>
    <w:rsid w:val="00FA2F14"/>
    <w:rsid w:val="00FA44ED"/>
    <w:rsid w:val="00FA453E"/>
    <w:rsid w:val="00FA6A13"/>
    <w:rsid w:val="00FA74D7"/>
    <w:rsid w:val="00FB0321"/>
    <w:rsid w:val="00FB04E7"/>
    <w:rsid w:val="00FB072F"/>
    <w:rsid w:val="00FB19E2"/>
    <w:rsid w:val="00FB26BA"/>
    <w:rsid w:val="00FB26FC"/>
    <w:rsid w:val="00FB2CCE"/>
    <w:rsid w:val="00FB31D1"/>
    <w:rsid w:val="00FB3698"/>
    <w:rsid w:val="00FB40BB"/>
    <w:rsid w:val="00FB41A7"/>
    <w:rsid w:val="00FB58CC"/>
    <w:rsid w:val="00FB6397"/>
    <w:rsid w:val="00FB677A"/>
    <w:rsid w:val="00FB7AF4"/>
    <w:rsid w:val="00FC096D"/>
    <w:rsid w:val="00FC13D2"/>
    <w:rsid w:val="00FC2363"/>
    <w:rsid w:val="00FC2F31"/>
    <w:rsid w:val="00FC3543"/>
    <w:rsid w:val="00FC3A0D"/>
    <w:rsid w:val="00FC3F8A"/>
    <w:rsid w:val="00FC4557"/>
    <w:rsid w:val="00FC49FD"/>
    <w:rsid w:val="00FC4A47"/>
    <w:rsid w:val="00FC4AA8"/>
    <w:rsid w:val="00FC5776"/>
    <w:rsid w:val="00FC57D1"/>
    <w:rsid w:val="00FC58BE"/>
    <w:rsid w:val="00FC5C83"/>
    <w:rsid w:val="00FC5EAE"/>
    <w:rsid w:val="00FC6034"/>
    <w:rsid w:val="00FC633B"/>
    <w:rsid w:val="00FC63AE"/>
    <w:rsid w:val="00FC796E"/>
    <w:rsid w:val="00FC79B5"/>
    <w:rsid w:val="00FD0852"/>
    <w:rsid w:val="00FD0C52"/>
    <w:rsid w:val="00FD0EAC"/>
    <w:rsid w:val="00FD0F99"/>
    <w:rsid w:val="00FD1752"/>
    <w:rsid w:val="00FD1ABA"/>
    <w:rsid w:val="00FD1C65"/>
    <w:rsid w:val="00FD1E9A"/>
    <w:rsid w:val="00FD2A3B"/>
    <w:rsid w:val="00FD3688"/>
    <w:rsid w:val="00FD4A2C"/>
    <w:rsid w:val="00FD4F8F"/>
    <w:rsid w:val="00FD5CA7"/>
    <w:rsid w:val="00FD5CBC"/>
    <w:rsid w:val="00FD6155"/>
    <w:rsid w:val="00FD678E"/>
    <w:rsid w:val="00FD6D3D"/>
    <w:rsid w:val="00FD751D"/>
    <w:rsid w:val="00FD753B"/>
    <w:rsid w:val="00FD77D8"/>
    <w:rsid w:val="00FD791B"/>
    <w:rsid w:val="00FD7A9B"/>
    <w:rsid w:val="00FE0700"/>
    <w:rsid w:val="00FE076F"/>
    <w:rsid w:val="00FE1946"/>
    <w:rsid w:val="00FE1C6C"/>
    <w:rsid w:val="00FE246E"/>
    <w:rsid w:val="00FE2FA1"/>
    <w:rsid w:val="00FE312C"/>
    <w:rsid w:val="00FE3CCB"/>
    <w:rsid w:val="00FE4722"/>
    <w:rsid w:val="00FE4A21"/>
    <w:rsid w:val="00FE51D3"/>
    <w:rsid w:val="00FE55F1"/>
    <w:rsid w:val="00FE6468"/>
    <w:rsid w:val="00FE649C"/>
    <w:rsid w:val="00FE6907"/>
    <w:rsid w:val="00FE711C"/>
    <w:rsid w:val="00FE726B"/>
    <w:rsid w:val="00FE7348"/>
    <w:rsid w:val="00FE73E1"/>
    <w:rsid w:val="00FE745F"/>
    <w:rsid w:val="00FF36C4"/>
    <w:rsid w:val="00FF391A"/>
    <w:rsid w:val="00FF3A98"/>
    <w:rsid w:val="00FF3F6C"/>
    <w:rsid w:val="00FF404D"/>
    <w:rsid w:val="00FF4225"/>
    <w:rsid w:val="00FF522F"/>
    <w:rsid w:val="00FF5BFB"/>
    <w:rsid w:val="00FF64B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70449"/>
  <w15:docId w15:val="{68391279-7F55-43F1-8CF7-AF5BB71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6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5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703F"/>
    <w:rPr>
      <w:b/>
      <w:bCs/>
    </w:rPr>
  </w:style>
  <w:style w:type="paragraph" w:styleId="NormalWeb">
    <w:name w:val="Normal (Web)"/>
    <w:basedOn w:val="Normal"/>
    <w:uiPriority w:val="99"/>
    <w:unhideWhenUsed/>
    <w:rsid w:val="004D359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26"/>
  </w:style>
  <w:style w:type="paragraph" w:styleId="Footer">
    <w:name w:val="footer"/>
    <w:basedOn w:val="Normal"/>
    <w:link w:val="Foot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26"/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59B"/>
    <w:rPr>
      <w:color w:val="0000FF"/>
      <w:u w:val="single"/>
    </w:rPr>
  </w:style>
  <w:style w:type="character" w:customStyle="1" w:styleId="fontstyle01">
    <w:name w:val="fontstyle01"/>
    <w:basedOn w:val="DefaultParagraphFont"/>
    <w:rsid w:val="00080BE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8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ontstyle21">
    <w:name w:val="fontstyle21"/>
    <w:basedOn w:val="DefaultParagraphFont"/>
    <w:rsid w:val="000D5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D5BE5"/>
    <w:pPr>
      <w:spacing w:after="0" w:line="240" w:lineRule="auto"/>
    </w:pPr>
  </w:style>
  <w:style w:type="character" w:customStyle="1" w:styleId="fontstyle31">
    <w:name w:val="fontstyle31"/>
    <w:basedOn w:val="DefaultParagraphFont"/>
    <w:rsid w:val="0019082F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1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B7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31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3C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8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9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7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9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055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00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2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703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7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2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FF2-DCD6-460B-972E-0492217A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6</Pages>
  <Words>6045</Words>
  <Characters>34457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21</cp:revision>
  <dcterms:created xsi:type="dcterms:W3CDTF">2025-01-22T09:39:00Z</dcterms:created>
  <dcterms:modified xsi:type="dcterms:W3CDTF">2025-06-09T16:32:00Z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2024-05-07T10:36:10Z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8dc2a69b-86e7-4442-a720-f18933cfa6b0</vt:lpwstr>
  </property>
  <property fmtid="{D5CDD505-2E9C-101B-9397-08002B2CF9AE}" pid="8" name="MSIP_Label_f2dfecbd-fc97-4e8a-a9cd-19ed496c406e_ContentBits">
    <vt:lpwstr>0</vt:lpwstr>
  </property>
  <property fmtid="{D5CDD505-2E9C-101B-9397-08002B2CF9AE}" pid="9" name="Mendeley Recent Style Id 0_1">
    <vt:lpwstr>http://www.zotero.org/styles/american-political-science-review</vt:lpwstr>
  </property>
  <property fmtid="{D5CDD505-2E9C-101B-9397-08002B2CF9AE}" pid="10" name="Mendeley Recent Style Name 0_1">
    <vt:lpwstr>American Political Science Review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http://www.zotero.org/styles/chicago-fullnote-bibliography</vt:lpwstr>
  </property>
  <property fmtid="{D5CDD505-2E9C-101B-9397-08002B2CF9AE}" pid="14" name="Mendeley Recent Style Name 2_1">
    <vt:lpwstr>Chicago Manual of Style 17th edition (full note)</vt:lpwstr>
  </property>
  <property fmtid="{D5CDD505-2E9C-101B-9397-08002B2CF9AE}" pid="15" name="Mendeley Recent Style Id 3_1">
    <vt:lpwstr>http://www.zotero.org/styles/harvard-cite-them-right-11th-edition</vt:lpwstr>
  </property>
  <property fmtid="{D5CDD505-2E9C-101B-9397-08002B2CF9AE}" pid="16" name="Mendeley Recent Style Name 3_1">
    <vt:lpwstr>Cite Them Right 11th edition - Harvard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12th edition - Harvard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Id 6_1">
    <vt:lpwstr>http://www.zotero.org/styles/oxford-university-press-scimed-author-date</vt:lpwstr>
  </property>
  <property fmtid="{D5CDD505-2E9C-101B-9397-08002B2CF9AE}" pid="22" name="Mendeley Recent Style Name 6_1">
    <vt:lpwstr>Oxford University Press SciMed (author-date)</vt:lpwstr>
  </property>
  <property fmtid="{D5CDD505-2E9C-101B-9397-08002B2CF9AE}" pid="23" name="Mendeley Recent Style Id 7_1">
    <vt:lpwstr>http://www.zotero.org/styles/sage-vancouver</vt:lpwstr>
  </property>
  <property fmtid="{D5CDD505-2E9C-101B-9397-08002B2CF9AE}" pid="24" name="Mendeley Recent Style Name 7_1">
    <vt:lpwstr>SAGE - Vancouver</vt:lpwstr>
  </property>
  <property fmtid="{D5CDD505-2E9C-101B-9397-08002B2CF9AE}" pid="25" name="Mendeley Recent Style Id 8_1">
    <vt:lpwstr>http://www.zotero.org/styles/springer-basic-author-date</vt:lpwstr>
  </property>
  <property fmtid="{D5CDD505-2E9C-101B-9397-08002B2CF9AE}" pid="26" name="Mendeley Recent Style Name 8_1">
    <vt:lpwstr>Springer - Basic (author-date)</vt:lpwstr>
  </property>
  <property fmtid="{D5CDD505-2E9C-101B-9397-08002B2CF9AE}" pid="27" name="Mendeley Recent Style Id 9_1">
    <vt:lpwstr>http://www.zotero.org/styles/vancouver-brackets</vt:lpwstr>
  </property>
  <property fmtid="{D5CDD505-2E9C-101B-9397-08002B2CF9AE}" pid="28" name="Mendeley Recent Style Name 9_1">
    <vt:lpwstr>Vancouver (brackets)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7defb591-048e-3b2d-9d9c-9264fb0bf684</vt:lpwstr>
  </property>
  <property fmtid="{D5CDD505-2E9C-101B-9397-08002B2CF9AE}" pid="31" name="Mendeley Citation Style_1">
    <vt:lpwstr>http://www.zotero.org/styles/vancouver-brackets</vt:lpwstr>
  </property>
  <property fmtid="{D5CDD505-2E9C-101B-9397-08002B2CF9AE}" pid="32" name="GrammarlyDocumentId">
    <vt:lpwstr>509892b90b31bfa3260865873b6627b0f50e9d9b85e9ad011a6ff639bc06f009</vt:lpwstr>
  </property>
</Properties>
</file>