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ascii="Arial" w:hAnsi="Arial" w:cs="Arial"/>
          <w:sz w:val="22"/>
          <w:szCs w:val="22"/>
        </w:rPr>
      </w:pPr>
      <w:r>
        <w:rPr>
          <w:rFonts w:ascii="Arial" w:hAnsi="Arial" w:cs="Arial"/>
          <w:sz w:val="22"/>
          <w:szCs w:val="22"/>
        </w:rPr>
        <w:t>SPIRIT Checklist: clinical trial protocol and related documents*</w:t>
      </w:r>
    </w:p>
    <w:tbl>
      <w:tblPr>
        <w:tblStyle w:val="4"/>
        <w:tblW w:w="8783" w:type="dxa"/>
        <w:tblInd w:w="0" w:type="dxa"/>
        <w:tblLayout w:type="fixed"/>
        <w:tblCellMar>
          <w:top w:w="0" w:type="dxa"/>
          <w:left w:w="56" w:type="dxa"/>
          <w:bottom w:w="0" w:type="dxa"/>
          <w:right w:w="56" w:type="dxa"/>
        </w:tblCellMar>
      </w:tblPr>
      <w:tblGrid>
        <w:gridCol w:w="1758"/>
        <w:gridCol w:w="610"/>
        <w:gridCol w:w="6415"/>
      </w:tblGrid>
      <w:tr>
        <w:tblPrEx>
          <w:tblCellMar>
            <w:top w:w="0" w:type="dxa"/>
            <w:left w:w="56" w:type="dxa"/>
            <w:bottom w:w="0" w:type="dxa"/>
            <w:right w:w="56" w:type="dxa"/>
          </w:tblCellMar>
        </w:tblPrEx>
        <w:trPr>
          <w:cantSplit/>
          <w:trHeight w:val="259" w:hRule="atLeast"/>
        </w:trPr>
        <w:tc>
          <w:tcPr>
            <w:tcW w:w="1758" w:type="dxa"/>
            <w:tcBorders>
              <w:top w:val="single" w:color="auto" w:sz="4" w:space="0"/>
              <w:bottom w:val="single" w:color="auto" w:sz="4" w:space="0"/>
            </w:tcBorders>
            <w:shd w:val="clear" w:color="auto" w:fill="auto"/>
            <w:tcMar>
              <w:top w:w="85" w:type="dxa"/>
              <w:bottom w:w="85" w:type="dxa"/>
            </w:tcMar>
          </w:tcPr>
          <w:p>
            <w:pPr>
              <w:pStyle w:val="7"/>
              <w:rPr>
                <w:rFonts w:ascii="Arial" w:hAnsi="Arial" w:cs="Arial"/>
                <w:sz w:val="22"/>
                <w:szCs w:val="22"/>
              </w:rPr>
            </w:pPr>
            <w:r>
              <w:rPr>
                <w:rFonts w:ascii="Arial" w:hAnsi="Arial" w:cs="Arial"/>
                <w:sz w:val="22"/>
                <w:szCs w:val="22"/>
              </w:rPr>
              <w:t>Section/item</w:t>
            </w:r>
          </w:p>
        </w:tc>
        <w:tc>
          <w:tcPr>
            <w:tcW w:w="610" w:type="dxa"/>
            <w:tcBorders>
              <w:top w:val="single" w:color="auto" w:sz="4" w:space="0"/>
              <w:bottom w:val="single" w:color="auto" w:sz="4" w:space="0"/>
            </w:tcBorders>
            <w:shd w:val="clear" w:color="auto" w:fill="auto"/>
          </w:tcPr>
          <w:p>
            <w:pPr>
              <w:pStyle w:val="7"/>
              <w:rPr>
                <w:rFonts w:ascii="Arial" w:hAnsi="Arial" w:cs="Arial"/>
                <w:color w:val="000000"/>
                <w:sz w:val="22"/>
                <w:szCs w:val="22"/>
              </w:rPr>
            </w:pPr>
            <w:r>
              <w:rPr>
                <w:rFonts w:ascii="Arial" w:hAnsi="Arial" w:cs="Arial"/>
                <w:sz w:val="22"/>
                <w:szCs w:val="22"/>
              </w:rPr>
              <w:t>Item</w:t>
            </w:r>
            <w:r>
              <w:rPr>
                <w:rFonts w:ascii="Arial" w:hAnsi="Arial" w:cs="Arial"/>
                <w:color w:val="000000"/>
                <w:sz w:val="22"/>
                <w:szCs w:val="22"/>
              </w:rPr>
              <w:t>No</w:t>
            </w:r>
          </w:p>
        </w:tc>
        <w:tc>
          <w:tcPr>
            <w:tcW w:w="6415" w:type="dxa"/>
            <w:tcBorders>
              <w:top w:val="single" w:color="auto" w:sz="4" w:space="0"/>
              <w:bottom w:val="single" w:color="auto" w:sz="4" w:space="0"/>
            </w:tcBorders>
            <w:shd w:val="clear" w:color="auto" w:fill="auto"/>
          </w:tcPr>
          <w:p>
            <w:pPr>
              <w:pStyle w:val="7"/>
              <w:rPr>
                <w:rFonts w:ascii="Arial" w:hAnsi="Arial" w:cs="Arial"/>
                <w:color w:val="000000"/>
                <w:sz w:val="22"/>
                <w:szCs w:val="22"/>
              </w:rPr>
            </w:pPr>
            <w:r>
              <w:rPr>
                <w:rFonts w:ascii="Arial" w:hAnsi="Arial" w:cs="Arial"/>
                <w:color w:val="000000"/>
                <w:sz w:val="22"/>
                <w:szCs w:val="22"/>
              </w:rPr>
              <w:t>Description</w:t>
            </w:r>
          </w:p>
        </w:tc>
      </w:tr>
      <w:tr>
        <w:tblPrEx>
          <w:tblCellMar>
            <w:top w:w="0" w:type="dxa"/>
            <w:left w:w="56" w:type="dxa"/>
            <w:bottom w:w="0" w:type="dxa"/>
            <w:right w:w="56" w:type="dxa"/>
          </w:tblCellMar>
        </w:tblPrEx>
        <w:trPr>
          <w:cantSplit/>
          <w:trHeight w:val="259" w:hRule="atLeast"/>
        </w:trPr>
        <w:tc>
          <w:tcPr>
            <w:tcW w:w="8783" w:type="dxa"/>
            <w:gridSpan w:val="3"/>
            <w:tcBorders>
              <w:top w:val="single" w:color="auto" w:sz="4" w:space="0"/>
            </w:tcBorders>
            <w:shd w:val="clear" w:color="auto" w:fill="auto"/>
            <w:tcMar>
              <w:top w:w="85" w:type="dxa"/>
              <w:bottom w:w="85" w:type="dxa"/>
            </w:tcMar>
          </w:tcPr>
          <w:p>
            <w:pPr>
              <w:rPr>
                <w:rFonts w:ascii="Arial" w:hAnsi="Arial" w:cs="Arial"/>
                <w:sz w:val="22"/>
                <w:szCs w:val="22"/>
              </w:rPr>
            </w:pPr>
            <w:r>
              <w:rPr>
                <w:rFonts w:ascii="Arial" w:hAnsi="Arial" w:cs="Arial"/>
                <w:b/>
                <w:sz w:val="22"/>
                <w:szCs w:val="22"/>
              </w:rPr>
              <w:t>Administrative information</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Title</w:t>
            </w:r>
          </w:p>
        </w:tc>
        <w:tc>
          <w:tcPr>
            <w:tcW w:w="610" w:type="dxa"/>
            <w:shd w:val="clear" w:color="auto" w:fill="auto"/>
          </w:tcPr>
          <w:p>
            <w:pPr>
              <w:rPr>
                <w:rFonts w:ascii="Arial" w:hAnsi="Arial" w:cs="Arial"/>
                <w:sz w:val="22"/>
                <w:szCs w:val="22"/>
              </w:rPr>
            </w:pPr>
            <w:r>
              <w:rPr>
                <w:rFonts w:ascii="Arial" w:hAnsi="Arial" w:cs="Arial"/>
                <w:sz w:val="22"/>
                <w:szCs w:val="22"/>
              </w:rPr>
              <w:t>1</w:t>
            </w:r>
          </w:p>
        </w:tc>
        <w:tc>
          <w:tcPr>
            <w:tcW w:w="6415" w:type="dxa"/>
            <w:shd w:val="clear" w:color="auto" w:fill="auto"/>
          </w:tcPr>
          <w:p>
            <w:pPr>
              <w:rPr>
                <w:rFonts w:ascii="Arial" w:hAnsi="Arial" w:eastAsia="宋体" w:cs="Arial"/>
                <w:color w:val="000000" w:themeColor="text1"/>
                <w:sz w:val="22"/>
                <w:szCs w:val="22"/>
                <w:lang w:val="en-US" w:eastAsia="zh-CN"/>
                <w14:textFill>
                  <w14:solidFill>
                    <w14:schemeClr w14:val="tx1"/>
                  </w14:solidFill>
                </w14:textFill>
              </w:rPr>
            </w:pPr>
            <w:r>
              <w:rPr>
                <w:rFonts w:hint="eastAsia" w:ascii="Arial" w:hAnsi="Arial" w:eastAsia="宋体" w:cs="Arial"/>
                <w:color w:val="000000" w:themeColor="text1"/>
                <w:sz w:val="22"/>
                <w:szCs w:val="22"/>
                <w:lang w:val="en-US" w:eastAsia="zh-CN"/>
                <w14:textFill>
                  <w14:solidFill>
                    <w14:schemeClr w14:val="tx1"/>
                  </w14:solidFill>
                </w14:textFill>
              </w:rPr>
              <w:t>Page 1, Title</w:t>
            </w:r>
          </w:p>
          <w:p>
            <w:pPr>
              <w:rPr>
                <w:rFonts w:ascii="Arial" w:hAnsi="Arial" w:cs="Arial"/>
                <w:sz w:val="22"/>
                <w:szCs w:val="22"/>
              </w:rPr>
            </w:pPr>
            <w:r>
              <w:rPr>
                <w:rFonts w:ascii="Arial" w:hAnsi="Arial" w:cs="Arial"/>
                <w:b w:val="0"/>
                <w:bCs w:val="0"/>
                <w:color w:val="000000" w:themeColor="text1"/>
                <w:sz w:val="24"/>
                <w:szCs w:val="24"/>
                <w14:textFill>
                  <w14:solidFill>
                    <w14:schemeClr w14:val="tx1"/>
                  </w14:solidFill>
                </w14:textFill>
              </w:rPr>
              <w:t xml:space="preserve">Comparison of Outcomes and Side Effects for Neoadjuvant Chemotherapy with </w:t>
            </w:r>
            <w:r>
              <w:rPr>
                <w:rFonts w:ascii="Arial" w:hAnsi="Arial" w:eastAsia="宋体" w:cs="Arial"/>
                <w:b w:val="0"/>
                <w:bCs w:val="0"/>
                <w:color w:val="000000" w:themeColor="text1"/>
                <w:sz w:val="24"/>
                <w:szCs w:val="24"/>
                <w14:textFill>
                  <w14:solidFill>
                    <w14:schemeClr w14:val="tx1"/>
                  </w14:solidFill>
                </w14:textFill>
              </w:rPr>
              <w:t>Weekly</w:t>
            </w:r>
            <w:r>
              <w:rPr>
                <w:rFonts w:ascii="Arial" w:hAnsi="Arial" w:cs="Arial"/>
                <w:b w:val="0"/>
                <w:bCs w:val="0"/>
                <w:color w:val="000000" w:themeColor="text1"/>
                <w:sz w:val="24"/>
                <w:szCs w:val="24"/>
                <w14:textFill>
                  <w14:solidFill>
                    <w14:schemeClr w14:val="tx1"/>
                  </w14:solidFill>
                </w14:textFill>
              </w:rPr>
              <w:t xml:space="preserve"> Cisplatin and Paclitaxel Followed by Chemoradiation</w:t>
            </w:r>
            <w:r>
              <w:rPr>
                <w:rFonts w:ascii="Arial" w:hAnsi="Arial" w:cs="Arial"/>
                <w:b w:val="0"/>
                <w:bCs w:val="0"/>
                <w:color w:val="000000" w:themeColor="text1"/>
                <w:kern w:val="0"/>
                <w:sz w:val="24"/>
                <w:szCs w:val="24"/>
                <w14:textFill>
                  <w14:solidFill>
                    <w14:schemeClr w14:val="tx1"/>
                  </w14:solidFill>
                </w14:textFill>
              </w:rPr>
              <w:t xml:space="preserve"> </w:t>
            </w:r>
            <w:r>
              <w:rPr>
                <w:rFonts w:ascii="Arial" w:hAnsi="Arial" w:cs="Arial"/>
                <w:b w:val="0"/>
                <w:bCs w:val="0"/>
                <w:color w:val="000000" w:themeColor="text1"/>
                <w:sz w:val="24"/>
                <w:szCs w:val="24"/>
                <w14:textFill>
                  <w14:solidFill>
                    <w14:schemeClr w14:val="tx1"/>
                  </w14:solidFill>
                </w14:textFill>
              </w:rPr>
              <w:t>versus Chemoradiation Alone in Stage IIB-IVA Cervical Cancer</w:t>
            </w:r>
            <w:r>
              <w:rPr>
                <w:rFonts w:hint="default" w:ascii="Verdana" w:hAnsi="Verdana" w:eastAsia="Verdana" w:cs="Verdana"/>
                <w:b w:val="0"/>
                <w:bCs w:val="0"/>
                <w:i w:val="0"/>
                <w:caps w:val="0"/>
                <w:color w:val="000000" w:themeColor="text1"/>
                <w:spacing w:val="0"/>
                <w:sz w:val="24"/>
                <w:szCs w:val="24"/>
                <w:shd w:val="clear" w:fill="FFFFFF"/>
                <w14:textFill>
                  <w14:solidFill>
                    <w14:schemeClr w14:val="tx1"/>
                  </w14:solidFill>
                </w14:textFill>
              </w:rPr>
              <w:t>: study protocol for a randomized controlled trial.</w:t>
            </w:r>
            <w:bookmarkStart w:id="0" w:name="_GoBack"/>
            <w:bookmarkEnd w:id="0"/>
          </w:p>
        </w:tc>
      </w:tr>
      <w:tr>
        <w:tblPrEx>
          <w:tblCellMar>
            <w:top w:w="0" w:type="dxa"/>
            <w:left w:w="56" w:type="dxa"/>
            <w:bottom w:w="0" w:type="dxa"/>
            <w:right w:w="56" w:type="dxa"/>
          </w:tblCellMar>
        </w:tblPrEx>
        <w:trPr>
          <w:cantSplit/>
          <w:trHeight w:val="259" w:hRule="atLeast"/>
        </w:trPr>
        <w:tc>
          <w:tcPr>
            <w:tcW w:w="1758" w:type="dxa"/>
            <w:vMerge w:val="restart"/>
            <w:shd w:val="clear" w:color="auto" w:fill="auto"/>
            <w:tcMar>
              <w:top w:w="85" w:type="dxa"/>
              <w:bottom w:w="85" w:type="dxa"/>
            </w:tcMar>
          </w:tcPr>
          <w:p>
            <w:pPr>
              <w:rPr>
                <w:rFonts w:ascii="Arial" w:hAnsi="Arial" w:cs="Arial"/>
                <w:sz w:val="22"/>
                <w:szCs w:val="22"/>
              </w:rPr>
            </w:pPr>
            <w:r>
              <w:rPr>
                <w:rFonts w:ascii="Arial" w:hAnsi="Arial" w:cs="Arial"/>
                <w:sz w:val="22"/>
                <w:szCs w:val="22"/>
              </w:rPr>
              <w:t>Trial registration</w:t>
            </w:r>
          </w:p>
        </w:tc>
        <w:tc>
          <w:tcPr>
            <w:tcW w:w="610" w:type="dxa"/>
          </w:tcPr>
          <w:p>
            <w:pPr>
              <w:rPr>
                <w:rFonts w:ascii="Arial" w:hAnsi="Arial" w:cs="Arial"/>
                <w:sz w:val="22"/>
                <w:szCs w:val="22"/>
              </w:rPr>
            </w:pPr>
            <w:r>
              <w:rPr>
                <w:rFonts w:ascii="Arial" w:hAnsi="Arial" w:cs="Arial"/>
                <w:sz w:val="22"/>
                <w:szCs w:val="22"/>
              </w:rPr>
              <w:t>2a</w:t>
            </w:r>
          </w:p>
        </w:tc>
        <w:tc>
          <w:tcPr>
            <w:tcW w:w="6415" w:type="dxa"/>
          </w:tcPr>
          <w:p>
            <w:pPr>
              <w:rPr>
                <w:rFonts w:ascii="Arial" w:hAnsi="Arial" w:eastAsia="宋体" w:cs="Arial"/>
                <w:color w:val="000000" w:themeColor="text1"/>
                <w:sz w:val="22"/>
                <w:szCs w:val="22"/>
                <w:lang w:val="en-US" w:eastAsia="zh-CN"/>
                <w14:textFill>
                  <w14:solidFill>
                    <w14:schemeClr w14:val="tx1"/>
                  </w14:solidFill>
                </w14:textFill>
              </w:rPr>
            </w:pPr>
            <w:r>
              <w:rPr>
                <w:rFonts w:hint="eastAsia" w:ascii="Arial" w:hAnsi="Arial" w:eastAsia="宋体" w:cs="Arial"/>
                <w:color w:val="000000" w:themeColor="text1"/>
                <w:sz w:val="22"/>
                <w:szCs w:val="22"/>
                <w:lang w:val="en-US" w:eastAsia="zh-CN"/>
                <w14:textFill>
                  <w14:solidFill>
                    <w14:schemeClr w14:val="tx1"/>
                  </w14:solidFill>
                </w14:textFill>
              </w:rPr>
              <w:t>Page 1, Abstract, paragraph 4 (Trial registration)</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Chinese clinical trial registry</w:t>
            </w:r>
          </w:p>
        </w:tc>
      </w:tr>
      <w:tr>
        <w:tblPrEx>
          <w:tblCellMar>
            <w:top w:w="0" w:type="dxa"/>
            <w:left w:w="56" w:type="dxa"/>
            <w:bottom w:w="0" w:type="dxa"/>
            <w:right w:w="56" w:type="dxa"/>
          </w:tblCellMar>
        </w:tblPrEx>
        <w:trPr>
          <w:cantSplit/>
          <w:trHeight w:val="259" w:hRule="atLeast"/>
        </w:trPr>
        <w:tc>
          <w:tcPr>
            <w:tcW w:w="1758" w:type="dxa"/>
            <w:vMerge w:val="continue"/>
            <w:shd w:val="clear" w:color="auto" w:fill="auto"/>
            <w:tcMar>
              <w:top w:w="85" w:type="dxa"/>
              <w:bottom w:w="85" w:type="dxa"/>
            </w:tcMar>
          </w:tcPr>
          <w:p>
            <w:pPr>
              <w:rPr>
                <w:rFonts w:ascii="Arial" w:hAnsi="Arial" w:cs="Arial"/>
                <w:sz w:val="22"/>
                <w:szCs w:val="22"/>
              </w:rPr>
            </w:pPr>
          </w:p>
        </w:tc>
        <w:tc>
          <w:tcPr>
            <w:tcW w:w="610" w:type="dxa"/>
          </w:tcPr>
          <w:p>
            <w:pPr>
              <w:rPr>
                <w:rFonts w:ascii="Arial" w:hAnsi="Arial" w:cs="Arial"/>
                <w:sz w:val="22"/>
                <w:szCs w:val="22"/>
              </w:rPr>
            </w:pPr>
            <w:r>
              <w:rPr>
                <w:rFonts w:ascii="Arial" w:hAnsi="Arial" w:cs="Arial"/>
                <w:sz w:val="22"/>
                <w:szCs w:val="22"/>
              </w:rPr>
              <w:t>2b</w:t>
            </w:r>
          </w:p>
        </w:tc>
        <w:tc>
          <w:tcPr>
            <w:tcW w:w="6415" w:type="dxa"/>
          </w:tcPr>
          <w:p>
            <w:pPr>
              <w:rPr>
                <w:rFonts w:ascii="Arial" w:hAnsi="Arial" w:eastAsia="宋体" w:cs="Arial"/>
                <w:color w:val="000000" w:themeColor="text1"/>
                <w:sz w:val="22"/>
                <w:szCs w:val="22"/>
                <w:lang w:val="en-US" w:eastAsia="zh-CN"/>
                <w14:textFill>
                  <w14:solidFill>
                    <w14:schemeClr w14:val="tx1"/>
                  </w14:solidFill>
                </w14:textFill>
              </w:rPr>
            </w:pPr>
            <w:r>
              <w:rPr>
                <w:rFonts w:hint="eastAsia" w:ascii="Arial" w:hAnsi="Arial" w:eastAsia="宋体" w:cs="Arial"/>
                <w:color w:val="000000" w:themeColor="text1"/>
                <w:sz w:val="22"/>
                <w:szCs w:val="22"/>
                <w:lang w:val="en-US" w:eastAsia="zh-CN"/>
                <w14:textFill>
                  <w14:solidFill>
                    <w14:schemeClr w14:val="tx1"/>
                  </w14:solidFill>
                </w14:textFill>
              </w:rPr>
              <w:t>Page 1, Abstract, paragraph 4 (Trial registration)</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ChiCTR1900025326</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Protocol version</w:t>
            </w:r>
          </w:p>
        </w:tc>
        <w:tc>
          <w:tcPr>
            <w:tcW w:w="610" w:type="dxa"/>
            <w:shd w:val="clear" w:color="auto" w:fill="auto"/>
          </w:tcPr>
          <w:p>
            <w:pPr>
              <w:rPr>
                <w:rFonts w:ascii="Arial" w:hAnsi="Arial" w:cs="Arial"/>
                <w:sz w:val="22"/>
                <w:szCs w:val="22"/>
              </w:rPr>
            </w:pPr>
            <w:r>
              <w:rPr>
                <w:rFonts w:ascii="Arial" w:hAnsi="Arial" w:cs="Arial"/>
                <w:sz w:val="22"/>
                <w:szCs w:val="22"/>
              </w:rPr>
              <w:t>3</w:t>
            </w:r>
          </w:p>
        </w:tc>
        <w:tc>
          <w:tcPr>
            <w:tcW w:w="6415" w:type="dxa"/>
            <w:shd w:val="clear" w:color="auto" w:fill="auto"/>
            <w:tcMar>
              <w:top w:w="85" w:type="dxa"/>
              <w:bottom w:w="85" w:type="dxa"/>
            </w:tcMar>
          </w:tcPr>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Dec 2018, v1.0</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Funding</w:t>
            </w:r>
          </w:p>
        </w:tc>
        <w:tc>
          <w:tcPr>
            <w:tcW w:w="610" w:type="dxa"/>
            <w:shd w:val="clear" w:color="auto" w:fill="auto"/>
          </w:tcPr>
          <w:p>
            <w:pPr>
              <w:rPr>
                <w:rFonts w:ascii="Arial" w:hAnsi="Arial" w:cs="Arial"/>
                <w:sz w:val="22"/>
                <w:szCs w:val="22"/>
              </w:rPr>
            </w:pPr>
            <w:r>
              <w:rPr>
                <w:rFonts w:ascii="Arial" w:hAnsi="Arial" w:cs="Arial"/>
                <w:sz w:val="22"/>
                <w:szCs w:val="22"/>
              </w:rPr>
              <w:t>4</w:t>
            </w:r>
          </w:p>
        </w:tc>
        <w:tc>
          <w:tcPr>
            <w:tcW w:w="6415" w:type="dxa"/>
            <w:shd w:val="clear" w:color="auto" w:fill="auto"/>
            <w:tcMar>
              <w:top w:w="85" w:type="dxa"/>
              <w:bottom w:w="85" w:type="dxa"/>
            </w:tcMar>
          </w:tcPr>
          <w:p>
            <w:pPr>
              <w:rPr>
                <w:rFonts w:ascii="Arial" w:hAnsi="Arial" w:eastAsia="宋体" w:cs="Arial"/>
                <w:color w:val="000000" w:themeColor="text1"/>
                <w:sz w:val="22"/>
                <w:szCs w:val="22"/>
                <w:lang w:val="en-US" w:eastAsia="zh-CN"/>
                <w14:textFill>
                  <w14:solidFill>
                    <w14:schemeClr w14:val="tx1"/>
                  </w14:solidFill>
                </w14:textFill>
              </w:rPr>
            </w:pPr>
            <w:r>
              <w:rPr>
                <w:rFonts w:hint="eastAsia" w:ascii="Arial" w:hAnsi="Arial" w:eastAsia="宋体" w:cs="Arial"/>
                <w:color w:val="000000" w:themeColor="text1"/>
                <w:sz w:val="22"/>
                <w:szCs w:val="22"/>
                <w:lang w:val="en-US" w:eastAsia="zh-CN"/>
                <w14:textFill>
                  <w14:solidFill>
                    <w14:schemeClr w14:val="tx1"/>
                  </w14:solidFill>
                </w14:textFill>
              </w:rPr>
              <w:t>Funding</w:t>
            </w:r>
          </w:p>
          <w:p>
            <w:pPr>
              <w:rPr>
                <w:rFonts w:ascii="Arial" w:hAnsi="Arial" w:cs="Arial"/>
                <w:sz w:val="22"/>
                <w:szCs w:val="22"/>
              </w:rPr>
            </w:pPr>
            <w:r>
              <w:rPr>
                <w:rFonts w:ascii="Times New Roman" w:hAnsi="Times New Roman" w:cs="Times New Roman"/>
                <w:kern w:val="0"/>
              </w:rPr>
              <w:t>Self-raised fund supports this study</w:t>
            </w:r>
            <w:r>
              <w:rPr>
                <w:rFonts w:ascii="Arial" w:hAnsi="Arial" w:cs="Arial"/>
                <w:sz w:val="22"/>
                <w:szCs w:val="22"/>
              </w:rPr>
              <w:t>.</w:t>
            </w:r>
          </w:p>
        </w:tc>
      </w:tr>
      <w:tr>
        <w:tblPrEx>
          <w:tblCellMar>
            <w:top w:w="0" w:type="dxa"/>
            <w:left w:w="56" w:type="dxa"/>
            <w:bottom w:w="0" w:type="dxa"/>
            <w:right w:w="56" w:type="dxa"/>
          </w:tblCellMar>
        </w:tblPrEx>
        <w:trPr>
          <w:cantSplit/>
          <w:trHeight w:val="259" w:hRule="atLeast"/>
        </w:trPr>
        <w:tc>
          <w:tcPr>
            <w:tcW w:w="1758" w:type="dxa"/>
            <w:vMerge w:val="restart"/>
            <w:shd w:val="clear" w:color="auto" w:fill="auto"/>
            <w:tcMar>
              <w:top w:w="85" w:type="dxa"/>
              <w:bottom w:w="85" w:type="dxa"/>
            </w:tcMar>
          </w:tcPr>
          <w:p>
            <w:pPr>
              <w:rPr>
                <w:rFonts w:ascii="Arial" w:hAnsi="Arial" w:cs="Arial"/>
                <w:sz w:val="22"/>
                <w:szCs w:val="22"/>
              </w:rPr>
            </w:pPr>
            <w:r>
              <w:rPr>
                <w:rFonts w:ascii="Arial" w:hAnsi="Arial" w:cs="Arial"/>
                <w:sz w:val="22"/>
                <w:szCs w:val="22"/>
              </w:rPr>
              <w:t>Roles and responsibilities</w:t>
            </w:r>
          </w:p>
        </w:tc>
        <w:tc>
          <w:tcPr>
            <w:tcW w:w="610" w:type="dxa"/>
          </w:tcPr>
          <w:p>
            <w:pPr>
              <w:rPr>
                <w:rFonts w:ascii="Arial" w:hAnsi="Arial" w:cs="Arial"/>
                <w:sz w:val="22"/>
                <w:szCs w:val="22"/>
              </w:rPr>
            </w:pPr>
            <w:r>
              <w:rPr>
                <w:rFonts w:ascii="Arial" w:hAnsi="Arial" w:cs="Arial"/>
                <w:sz w:val="22"/>
                <w:szCs w:val="22"/>
              </w:rPr>
              <w:t>5a</w:t>
            </w:r>
          </w:p>
        </w:tc>
        <w:tc>
          <w:tcPr>
            <w:tcW w:w="6415" w:type="dxa"/>
          </w:tcPr>
          <w:p>
            <w:pPr>
              <w:rPr>
                <w:rFonts w:ascii="Arial" w:hAnsi="Arial" w:eastAsia="宋体" w:cs="Arial"/>
                <w:color w:val="000000" w:themeColor="text1"/>
                <w:sz w:val="22"/>
                <w:szCs w:val="22"/>
                <w:lang w:val="en-US" w:eastAsia="zh-CN"/>
                <w14:textFill>
                  <w14:solidFill>
                    <w14:schemeClr w14:val="tx1"/>
                  </w14:solidFill>
                </w14:textFill>
              </w:rPr>
            </w:pPr>
            <w:r>
              <w:rPr>
                <w:rFonts w:hint="eastAsia" w:ascii="Arial" w:hAnsi="Arial" w:eastAsia="宋体" w:cs="Arial"/>
                <w:color w:val="000000" w:themeColor="text1"/>
                <w:sz w:val="22"/>
                <w:szCs w:val="22"/>
                <w:lang w:val="en-US" w:eastAsia="zh-CN"/>
                <w14:textFill>
                  <w14:solidFill>
                    <w14:schemeClr w14:val="tx1"/>
                  </w14:solidFill>
                </w14:textFill>
              </w:rPr>
              <w:t>Page 1, Authors</w:t>
            </w:r>
            <w:r>
              <w:rPr>
                <w:rFonts w:ascii="Arial" w:hAnsi="Arial" w:eastAsia="宋体" w:cs="Arial"/>
                <w:color w:val="000000" w:themeColor="text1"/>
                <w:sz w:val="22"/>
                <w:szCs w:val="22"/>
                <w:lang w:val="en-US" w:eastAsia="zh-CN"/>
                <w14:textFill>
                  <w14:solidFill>
                    <w14:schemeClr w14:val="tx1"/>
                  </w14:solidFill>
                </w14:textFill>
              </w:rPr>
              <w:t>’</w:t>
            </w:r>
            <w:r>
              <w:rPr>
                <w:rFonts w:hint="eastAsia" w:ascii="Arial" w:hAnsi="Arial" w:eastAsia="宋体" w:cs="Arial"/>
                <w:color w:val="000000" w:themeColor="text1"/>
                <w:sz w:val="22"/>
                <w:szCs w:val="22"/>
                <w:lang w:val="en-US" w:eastAsia="zh-CN"/>
                <w14:textFill>
                  <w14:solidFill>
                    <w14:schemeClr w14:val="tx1"/>
                  </w14:solidFill>
                </w14:textFill>
              </w:rPr>
              <w:t xml:space="preserve"> information</w:t>
            </w:r>
          </w:p>
          <w:p>
            <w:pPr>
              <w:spacing w:line="240" w:lineRule="auto"/>
              <w:rPr>
                <w:rFonts w:ascii="Arial" w:hAnsi="Arial" w:cs="Arial"/>
                <w:sz w:val="22"/>
                <w:szCs w:val="22"/>
              </w:rPr>
            </w:pPr>
            <w:r>
              <w:rPr>
                <w:rFonts w:ascii="Arial" w:hAnsi="Arial" w:eastAsia="宋体" w:cs="Arial"/>
                <w:sz w:val="22"/>
                <w:szCs w:val="22"/>
                <w:lang w:val="en-US" w:eastAsia="zh-CN"/>
              </w:rPr>
              <w:t>P</w:t>
            </w:r>
            <w:r>
              <w:rPr>
                <w:rFonts w:ascii="Arial" w:hAnsi="Arial" w:cs="Arial"/>
                <w:sz w:val="22"/>
                <w:szCs w:val="22"/>
              </w:rPr>
              <w:t>rotocol contributors</w:t>
            </w:r>
          </w:p>
          <w:p>
            <w:pPr>
              <w:widowControl/>
              <w:autoSpaceDE w:val="0"/>
              <w:autoSpaceDN w:val="0"/>
              <w:adjustRightInd w:val="0"/>
              <w:jc w:val="left"/>
              <w:rPr>
                <w:rFonts w:ascii="Times" w:hAnsi="Times" w:eastAsia="宋体" w:cs="Times"/>
                <w:kern w:val="0"/>
              </w:rPr>
            </w:pPr>
            <w:r>
              <w:rPr>
                <w:rFonts w:ascii="Times New Roman" w:hAnsi="Times New Roman" w:eastAsia="宋体" w:cs="Times New Roman"/>
                <w:kern w:val="0"/>
              </w:rPr>
              <w:t>Jing Li</w:t>
            </w:r>
            <w:r>
              <w:rPr>
                <w:rFonts w:ascii="Times New Roman" w:hAnsi="Times New Roman" w:eastAsia="宋体" w:cs="Times New Roman"/>
                <w:kern w:val="0"/>
                <w:vertAlign w:val="superscript"/>
              </w:rPr>
              <w:t>1＃</w:t>
            </w:r>
            <w:r>
              <w:rPr>
                <w:rFonts w:ascii="Times New Roman" w:hAnsi="Times New Roman" w:eastAsia="宋体" w:cs="Times New Roman"/>
                <w:kern w:val="0"/>
              </w:rPr>
              <w:t>, Rong Cai</w:t>
            </w:r>
            <w:r>
              <w:rPr>
                <w:rFonts w:hint="eastAsia" w:ascii="Times New Roman" w:hAnsi="Times New Roman" w:eastAsia="宋体" w:cs="Times New Roman"/>
                <w:kern w:val="0"/>
                <w:vertAlign w:val="superscript"/>
              </w:rPr>
              <w:t>2#</w:t>
            </w:r>
            <w:r>
              <w:rPr>
                <w:rFonts w:hint="eastAsia" w:ascii="Times New Roman" w:hAnsi="Times New Roman" w:eastAsia="宋体" w:cs="Times New Roman"/>
                <w:kern w:val="0"/>
              </w:rPr>
              <w:t xml:space="preserve"> </w:t>
            </w:r>
            <w:r>
              <w:rPr>
                <w:rFonts w:ascii="Times New Roman" w:hAnsi="Times New Roman" w:eastAsia="宋体" w:cs="Times New Roman"/>
                <w:kern w:val="0"/>
              </w:rPr>
              <w:t>, Hua Liu</w:t>
            </w:r>
            <w:r>
              <w:rPr>
                <w:rFonts w:hint="eastAsia" w:ascii="Times New Roman" w:hAnsi="Times New Roman" w:eastAsia="宋体" w:cs="Times New Roman"/>
                <w:kern w:val="0"/>
                <w:vertAlign w:val="superscript"/>
              </w:rPr>
              <w:t>1</w:t>
            </w:r>
            <w:r>
              <w:rPr>
                <w:rFonts w:ascii="Times New Roman" w:hAnsi="Times New Roman" w:eastAsia="宋体" w:cs="Times New Roman"/>
                <w:kern w:val="0"/>
              </w:rPr>
              <w:t>, Lifei Shen</w:t>
            </w:r>
            <w:r>
              <w:rPr>
                <w:rFonts w:ascii="Times New Roman" w:hAnsi="Times New Roman" w:eastAsia="宋体" w:cs="Times New Roman"/>
                <w:kern w:val="0"/>
                <w:vertAlign w:val="superscript"/>
              </w:rPr>
              <w:t>1</w:t>
            </w:r>
            <w:r>
              <w:rPr>
                <w:rFonts w:ascii="Times New Roman" w:hAnsi="Times New Roman" w:eastAsia="宋体" w:cs="Times New Roman"/>
                <w:kern w:val="0"/>
              </w:rPr>
              <w:t>,Wenqin</w:t>
            </w:r>
            <w:r>
              <w:rPr>
                <w:rFonts w:hint="eastAsia" w:ascii="Times New Roman" w:hAnsi="Times New Roman" w:eastAsia="宋体" w:cs="Times New Roman"/>
                <w:kern w:val="0"/>
              </w:rPr>
              <w:t>g</w:t>
            </w:r>
            <w:r>
              <w:rPr>
                <w:rFonts w:ascii="Times New Roman" w:hAnsi="Times New Roman" w:eastAsia="宋体" w:cs="Times New Roman"/>
                <w:kern w:val="0"/>
              </w:rPr>
              <w:t xml:space="preserve"> Long</w:t>
            </w:r>
            <w:r>
              <w:rPr>
                <w:rFonts w:ascii="Times New Roman" w:hAnsi="Times New Roman" w:eastAsia="宋体" w:cs="Times New Roman"/>
                <w:kern w:val="0"/>
                <w:vertAlign w:val="superscript"/>
              </w:rPr>
              <w:t>1</w:t>
            </w:r>
            <w:r>
              <w:rPr>
                <w:rFonts w:ascii="Times New Roman" w:hAnsi="Times New Roman" w:eastAsia="宋体" w:cs="Times New Roman"/>
                <w:kern w:val="0"/>
              </w:rPr>
              <w:t xml:space="preserve"> , Chenmin Yang</w:t>
            </w:r>
            <w:r>
              <w:rPr>
                <w:rFonts w:hint="eastAsia" w:ascii="Times New Roman" w:hAnsi="Times New Roman" w:eastAsia="宋体" w:cs="Times New Roman"/>
                <w:kern w:val="0"/>
                <w:vertAlign w:val="superscript"/>
              </w:rPr>
              <w:t>1</w:t>
            </w:r>
            <w:r>
              <w:rPr>
                <w:rFonts w:ascii="Times New Roman" w:hAnsi="Times New Roman" w:eastAsia="宋体" w:cs="Times New Roman"/>
                <w:kern w:val="0"/>
              </w:rPr>
              <w:t>, Ya Li</w:t>
            </w:r>
            <w:r>
              <w:rPr>
                <w:rFonts w:ascii="Times New Roman" w:hAnsi="Times New Roman" w:eastAsia="宋体" w:cs="Times New Roman"/>
                <w:kern w:val="0"/>
                <w:vertAlign w:val="superscript"/>
              </w:rPr>
              <w:t>3</w:t>
            </w:r>
            <w:r>
              <w:rPr>
                <w:rFonts w:ascii="Times New Roman" w:hAnsi="Times New Roman" w:eastAsia="宋体" w:cs="Times New Roman"/>
                <w:kern w:val="0"/>
              </w:rPr>
              <w:t>, Haoping Xu</w:t>
            </w:r>
            <w:r>
              <w:rPr>
                <w:rFonts w:ascii="Times New Roman" w:hAnsi="Times New Roman" w:eastAsia="宋体" w:cs="Times New Roman"/>
                <w:kern w:val="0"/>
                <w:vertAlign w:val="superscript"/>
              </w:rPr>
              <w:t>2</w:t>
            </w:r>
            <w:r>
              <w:rPr>
                <w:rFonts w:ascii="Times New Roman" w:hAnsi="Times New Roman" w:eastAsia="宋体" w:cs="Times New Roman"/>
                <w:kern w:val="0"/>
              </w:rPr>
              <w:t>, Wenqi Xi</w:t>
            </w:r>
            <w:r>
              <w:rPr>
                <w:rFonts w:ascii="Times New Roman" w:hAnsi="Times New Roman" w:eastAsia="宋体" w:cs="Times New Roman"/>
                <w:kern w:val="0"/>
                <w:vertAlign w:val="superscript"/>
              </w:rPr>
              <w:t>4</w:t>
            </w:r>
            <w:r>
              <w:rPr>
                <w:rFonts w:ascii="Times New Roman" w:hAnsi="Times New Roman" w:eastAsia="宋体" w:cs="Times New Roman"/>
                <w:kern w:val="0"/>
              </w:rPr>
              <w:t>, Weiwei Feng</w:t>
            </w:r>
            <w:r>
              <w:rPr>
                <w:rFonts w:hint="eastAsia" w:ascii="Times New Roman" w:hAnsi="Times New Roman" w:eastAsia="宋体" w:cs="Times New Roman"/>
                <w:kern w:val="0"/>
                <w:vertAlign w:val="superscript"/>
              </w:rPr>
              <w:t>1*</w:t>
            </w:r>
            <w:r>
              <w:rPr>
                <w:rFonts w:ascii="Times New Roman" w:hAnsi="Times New Roman" w:eastAsia="宋体" w:cs="Times New Roman"/>
                <w:kern w:val="0"/>
              </w:rPr>
              <w:t xml:space="preserve"> </w:t>
            </w:r>
          </w:p>
          <w:p>
            <w:pPr>
              <w:widowControl/>
              <w:autoSpaceDE w:val="0"/>
              <w:autoSpaceDN w:val="0"/>
              <w:adjustRightInd w:val="0"/>
              <w:jc w:val="left"/>
              <w:rPr>
                <w:rFonts w:ascii="Arial" w:hAnsi="Arial" w:cs="Arial"/>
                <w:sz w:val="22"/>
                <w:szCs w:val="22"/>
              </w:rPr>
            </w:pPr>
            <w:r>
              <w:rPr>
                <w:rFonts w:hint="eastAsia" w:ascii="Times New Roman" w:hAnsi="Times New Roman" w:eastAsia="宋体" w:cs="Times New Roman"/>
                <w:kern w:val="0"/>
                <w:vertAlign w:val="superscript"/>
              </w:rPr>
              <w:t>1</w:t>
            </w:r>
            <w:r>
              <w:rPr>
                <w:rFonts w:hint="eastAsia" w:ascii="Times New Roman" w:hAnsi="Times New Roman" w:eastAsia="宋体" w:cs="Times New Roman"/>
                <w:kern w:val="0"/>
              </w:rPr>
              <w:t>D</w:t>
            </w:r>
            <w:r>
              <w:rPr>
                <w:rFonts w:ascii="Times New Roman" w:hAnsi="Times New Roman" w:eastAsia="宋体" w:cs="Times New Roman"/>
                <w:kern w:val="0"/>
              </w:rPr>
              <w:t xml:space="preserve">epartment of Obstetrics and Gynecology, </w:t>
            </w:r>
            <w:r>
              <w:rPr>
                <w:rFonts w:ascii="Times New Roman" w:hAnsi="Times New Roman" w:eastAsia="宋体" w:cs="Times New Roman"/>
                <w:kern w:val="0"/>
                <w:vertAlign w:val="superscript"/>
              </w:rPr>
              <w:t>2</w:t>
            </w:r>
            <w:r>
              <w:rPr>
                <w:rFonts w:ascii="Times New Roman" w:hAnsi="Times New Roman" w:eastAsia="宋体" w:cs="Times New Roman"/>
                <w:kern w:val="0"/>
              </w:rPr>
              <w:t xml:space="preserve">Department of Radiotherapy, </w:t>
            </w:r>
            <w:r>
              <w:rPr>
                <w:rFonts w:ascii="Times New Roman" w:hAnsi="Times New Roman" w:eastAsia="宋体" w:cs="Times New Roman"/>
                <w:kern w:val="0"/>
                <w:vertAlign w:val="superscript"/>
              </w:rPr>
              <w:t>3</w:t>
            </w:r>
            <w:r>
              <w:rPr>
                <w:rFonts w:ascii="Times New Roman" w:hAnsi="Times New Roman" w:eastAsia="宋体" w:cs="Times New Roman"/>
                <w:kern w:val="0"/>
              </w:rPr>
              <w:t xml:space="preserve">Department of Radiology, </w:t>
            </w:r>
            <w:r>
              <w:rPr>
                <w:rFonts w:ascii="Times New Roman" w:hAnsi="Times New Roman" w:eastAsia="宋体" w:cs="Times New Roman"/>
                <w:kern w:val="0"/>
                <w:vertAlign w:val="superscript"/>
              </w:rPr>
              <w:t>4</w:t>
            </w:r>
            <w:r>
              <w:rPr>
                <w:rFonts w:ascii="Times New Roman" w:hAnsi="Times New Roman" w:eastAsia="宋体" w:cs="Times New Roman"/>
                <w:kern w:val="0"/>
              </w:rPr>
              <w:t xml:space="preserve">Department of Oncology, Ruijin Hospital, Shanghai Jiaotong University School of Medicine, Shanghai, 200025,P.R. China </w:t>
            </w:r>
          </w:p>
        </w:tc>
      </w:tr>
      <w:tr>
        <w:tblPrEx>
          <w:tblCellMar>
            <w:top w:w="0" w:type="dxa"/>
            <w:left w:w="56" w:type="dxa"/>
            <w:bottom w:w="0" w:type="dxa"/>
            <w:right w:w="56" w:type="dxa"/>
          </w:tblCellMar>
        </w:tblPrEx>
        <w:trPr>
          <w:cantSplit/>
          <w:trHeight w:val="293" w:hRule="atLeast"/>
        </w:trPr>
        <w:tc>
          <w:tcPr>
            <w:tcW w:w="1758" w:type="dxa"/>
            <w:vMerge w:val="continue"/>
            <w:shd w:val="clear" w:color="auto" w:fill="auto"/>
            <w:tcMar>
              <w:top w:w="85" w:type="dxa"/>
              <w:bottom w:w="85" w:type="dxa"/>
            </w:tcMar>
          </w:tcPr>
          <w:p>
            <w:pPr>
              <w:rPr>
                <w:rFonts w:ascii="Arial" w:hAnsi="Arial" w:cs="Arial"/>
                <w:sz w:val="22"/>
                <w:szCs w:val="22"/>
              </w:rPr>
            </w:pPr>
          </w:p>
        </w:tc>
        <w:tc>
          <w:tcPr>
            <w:tcW w:w="610" w:type="dxa"/>
          </w:tcPr>
          <w:p>
            <w:pPr>
              <w:rPr>
                <w:rFonts w:ascii="Arial" w:hAnsi="Arial" w:cs="Arial"/>
                <w:sz w:val="22"/>
                <w:szCs w:val="22"/>
              </w:rPr>
            </w:pPr>
            <w:r>
              <w:rPr>
                <w:rFonts w:ascii="Arial" w:hAnsi="Arial" w:cs="Arial"/>
                <w:sz w:val="22"/>
                <w:szCs w:val="22"/>
              </w:rPr>
              <w:t>5b</w:t>
            </w:r>
          </w:p>
        </w:tc>
        <w:tc>
          <w:tcPr>
            <w:tcW w:w="6415" w:type="dxa"/>
          </w:tcPr>
          <w:p>
            <w:pPr>
              <w:rPr>
                <w:rFonts w:ascii="Arial" w:hAnsi="Arial" w:eastAsia="宋体" w:cs="Arial"/>
                <w:color w:val="000000" w:themeColor="text1"/>
                <w:sz w:val="22"/>
                <w:szCs w:val="22"/>
                <w:lang w:val="en-US" w:eastAsia="zh-CN"/>
                <w14:textFill>
                  <w14:solidFill>
                    <w14:schemeClr w14:val="tx1"/>
                  </w14:solidFill>
                </w14:textFill>
              </w:rPr>
            </w:pPr>
            <w:r>
              <w:rPr>
                <w:rFonts w:hint="eastAsia" w:ascii="Arial" w:hAnsi="Arial" w:eastAsia="宋体" w:cs="Arial"/>
                <w:color w:val="000000" w:themeColor="text1"/>
                <w:sz w:val="22"/>
                <w:szCs w:val="22"/>
                <w:lang w:val="en-US" w:eastAsia="zh-CN"/>
                <w14:textFill>
                  <w14:solidFill>
                    <w14:schemeClr w14:val="tx1"/>
                  </w14:solidFill>
                </w14:textFill>
              </w:rPr>
              <w:t>Page 1, Authors</w:t>
            </w:r>
            <w:r>
              <w:rPr>
                <w:rFonts w:ascii="Arial" w:hAnsi="Arial" w:eastAsia="宋体" w:cs="Arial"/>
                <w:color w:val="000000" w:themeColor="text1"/>
                <w:sz w:val="22"/>
                <w:szCs w:val="22"/>
                <w:lang w:val="en-US" w:eastAsia="zh-CN"/>
                <w14:textFill>
                  <w14:solidFill>
                    <w14:schemeClr w14:val="tx1"/>
                  </w14:solidFill>
                </w14:textFill>
              </w:rPr>
              <w:t>’</w:t>
            </w:r>
            <w:r>
              <w:rPr>
                <w:rFonts w:hint="eastAsia" w:ascii="Arial" w:hAnsi="Arial" w:eastAsia="宋体" w:cs="Arial"/>
                <w:color w:val="000000" w:themeColor="text1"/>
                <w:sz w:val="22"/>
                <w:szCs w:val="22"/>
                <w:lang w:val="en-US" w:eastAsia="zh-CN"/>
                <w14:textFill>
                  <w14:solidFill>
                    <w14:schemeClr w14:val="tx1"/>
                  </w14:solidFill>
                </w14:textFill>
              </w:rPr>
              <w:t xml:space="preserve"> information</w:t>
            </w:r>
          </w:p>
          <w:p>
            <w:pPr>
              <w:rPr>
                <w:rFonts w:ascii="Arial" w:hAnsi="Arial" w:cs="Arial"/>
                <w:sz w:val="22"/>
                <w:szCs w:val="22"/>
              </w:rPr>
            </w:pPr>
            <w:r>
              <w:rPr>
                <w:rFonts w:ascii="Arial" w:hAnsi="Arial" w:eastAsia="宋体" w:cs="Arial"/>
                <w:sz w:val="22"/>
                <w:szCs w:val="22"/>
                <w:lang w:val="en-US" w:eastAsia="zh-CN"/>
              </w:rPr>
              <w:t>T</w:t>
            </w:r>
            <w:r>
              <w:rPr>
                <w:rFonts w:ascii="Arial" w:hAnsi="Arial" w:cs="Arial"/>
                <w:sz w:val="22"/>
                <w:szCs w:val="22"/>
              </w:rPr>
              <w:t>rial monitor</w:t>
            </w:r>
          </w:p>
          <w:p>
            <w:pPr>
              <w:rPr>
                <w:rFonts w:ascii="Arial" w:hAnsi="Arial" w:cs="Arial"/>
                <w:sz w:val="22"/>
                <w:szCs w:val="22"/>
              </w:rPr>
            </w:pPr>
            <w:r>
              <w:rPr>
                <w:rFonts w:ascii="Arial" w:hAnsi="Arial" w:eastAsia="宋体" w:cs="Arial"/>
                <w:sz w:val="22"/>
                <w:szCs w:val="22"/>
              </w:rPr>
              <w:t>Weiwei Feng</w:t>
            </w:r>
            <w:r>
              <w:rPr>
                <w:rFonts w:ascii="Arial" w:hAnsi="Arial" w:eastAsia="宋体" w:cs="Arial"/>
                <w:sz w:val="22"/>
                <w:szCs w:val="22"/>
                <w:lang w:val="en-US" w:eastAsia="zh-CN"/>
              </w:rPr>
              <w:t>,</w:t>
            </w:r>
            <w:r>
              <w:rPr>
                <w:rFonts w:hint="eastAsia" w:ascii="Arial" w:hAnsi="Arial" w:eastAsia="宋体" w:cs="Arial"/>
                <w:sz w:val="22"/>
                <w:szCs w:val="22"/>
                <w:lang w:val="en-US" w:eastAsia="zh-CN"/>
              </w:rPr>
              <w:t xml:space="preserve"> </w:t>
            </w:r>
            <w:r>
              <w:rPr>
                <w:rFonts w:ascii="Arial" w:hAnsi="Arial" w:eastAsia="宋体" w:cs="Arial"/>
                <w:sz w:val="22"/>
                <w:szCs w:val="22"/>
              </w:rPr>
              <w:t>E</w:t>
            </w:r>
            <w:r>
              <w:rPr>
                <w:rFonts w:ascii="Arial" w:hAnsi="Arial" w:eastAsia="宋体" w:cs="Arial"/>
                <w:sz w:val="22"/>
                <w:szCs w:val="22"/>
                <w:lang w:val="en-US" w:eastAsia="zh-CN"/>
              </w:rPr>
              <w:t>-</w:t>
            </w:r>
            <w:r>
              <w:rPr>
                <w:rFonts w:ascii="Arial" w:hAnsi="Arial" w:eastAsia="宋体" w:cs="Arial"/>
                <w:sz w:val="22"/>
                <w:szCs w:val="22"/>
              </w:rPr>
              <w:t xml:space="preserve">mail: fww12066@rjh.com.cn </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p>
        </w:tc>
        <w:tc>
          <w:tcPr>
            <w:tcW w:w="610" w:type="dxa"/>
          </w:tcPr>
          <w:p>
            <w:pPr>
              <w:rPr>
                <w:rFonts w:ascii="Arial" w:hAnsi="Arial" w:cs="Arial"/>
                <w:sz w:val="22"/>
                <w:szCs w:val="22"/>
              </w:rPr>
            </w:pPr>
            <w:r>
              <w:rPr>
                <w:rFonts w:ascii="Arial" w:hAnsi="Arial" w:cs="Arial"/>
                <w:sz w:val="22"/>
                <w:szCs w:val="22"/>
              </w:rPr>
              <w:t>5c</w:t>
            </w:r>
          </w:p>
        </w:tc>
        <w:tc>
          <w:tcPr>
            <w:tcW w:w="6415" w:type="dxa"/>
          </w:tcPr>
          <w:p>
            <w:pPr>
              <w:rPr>
                <w:rFonts w:ascii="Arial" w:hAnsi="Arial" w:eastAsia="宋体" w:cs="Arial"/>
                <w:color w:val="000000" w:themeColor="text1"/>
                <w:sz w:val="22"/>
                <w:szCs w:val="22"/>
                <w:lang w:val="en-US" w:eastAsia="zh-CN"/>
                <w14:textFill>
                  <w14:solidFill>
                    <w14:schemeClr w14:val="tx1"/>
                  </w14:solidFill>
                </w14:textFill>
              </w:rPr>
            </w:pPr>
            <w:r>
              <w:rPr>
                <w:rFonts w:hint="eastAsia" w:ascii="Arial" w:hAnsi="Arial" w:eastAsia="宋体" w:cs="Arial"/>
                <w:color w:val="000000" w:themeColor="text1"/>
                <w:sz w:val="22"/>
                <w:szCs w:val="22"/>
                <w:lang w:val="en-US" w:eastAsia="zh-CN"/>
                <w14:textFill>
                  <w14:solidFill>
                    <w14:schemeClr w14:val="tx1"/>
                  </w14:solidFill>
                </w14:textFill>
              </w:rPr>
              <w:t>Page 9, Funding</w:t>
            </w:r>
          </w:p>
          <w:p>
            <w:pPr>
              <w:widowControl/>
              <w:autoSpaceDE w:val="0"/>
              <w:autoSpaceDN w:val="0"/>
              <w:adjustRightInd w:val="0"/>
              <w:spacing w:after="163" w:afterLines="50"/>
              <w:jc w:val="left"/>
              <w:rPr>
                <w:rFonts w:ascii="Arial" w:hAnsi="Arial" w:cs="Arial"/>
                <w:sz w:val="22"/>
                <w:szCs w:val="22"/>
              </w:rPr>
            </w:pPr>
            <w:r>
              <w:rPr>
                <w:rFonts w:ascii="Times New Roman" w:hAnsi="Times New Roman" w:cs="Times New Roman"/>
                <w:kern w:val="0"/>
              </w:rPr>
              <w:t>Self-raised fund supports this study</w:t>
            </w:r>
            <w:r>
              <w:rPr>
                <w:rFonts w:ascii="Arial" w:hAnsi="Arial" w:cs="Arial"/>
                <w:sz w:val="22"/>
                <w:szCs w:val="22"/>
              </w:rPr>
              <w:t>.</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p>
        </w:tc>
        <w:tc>
          <w:tcPr>
            <w:tcW w:w="610" w:type="dxa"/>
          </w:tcPr>
          <w:p>
            <w:pPr>
              <w:rPr>
                <w:rFonts w:ascii="Arial" w:hAnsi="Arial" w:cs="Arial"/>
                <w:sz w:val="22"/>
                <w:szCs w:val="22"/>
              </w:rPr>
            </w:pPr>
            <w:r>
              <w:rPr>
                <w:rFonts w:ascii="Arial" w:hAnsi="Arial" w:cs="Arial"/>
                <w:sz w:val="22"/>
                <w:szCs w:val="22"/>
              </w:rPr>
              <w:t>5d</w:t>
            </w:r>
          </w:p>
        </w:tc>
        <w:tc>
          <w:tcPr>
            <w:tcW w:w="6415" w:type="dxa"/>
          </w:tcPr>
          <w:p>
            <w:pPr>
              <w:rPr>
                <w:rFonts w:ascii="Arial" w:hAnsi="Arial" w:cs="Arial"/>
                <w:sz w:val="22"/>
                <w:szCs w:val="22"/>
              </w:rPr>
            </w:pPr>
            <w:r>
              <w:rPr>
                <w:rFonts w:ascii="Arial" w:hAnsi="Arial" w:cs="Arial"/>
                <w:sz w:val="22"/>
                <w:szCs w:val="22"/>
              </w:rPr>
              <w:t>Composition, roles, and responsibilities of the coordinating center, steering committee, endpoint adjudication committee, data management team, and other individuals or groups overseeing the trial, if applicable (see Item 21a for data monitoring committee)</w:t>
            </w:r>
          </w:p>
          <w:p>
            <w:pPr>
              <w:rPr>
                <w:rFonts w:ascii="Arial" w:hAnsi="Arial" w:eastAsia="宋体" w:cs="Arial"/>
                <w:sz w:val="22"/>
                <w:szCs w:val="22"/>
                <w:lang w:val="en-US" w:eastAsia="zh-CN"/>
              </w:rPr>
            </w:pPr>
          </w:p>
          <w:p>
            <w:pPr>
              <w:rPr>
                <w:rFonts w:ascii="Arial" w:hAnsi="Arial" w:eastAsia="宋体" w:cs="Arial"/>
                <w:color w:val="FF0000"/>
                <w:sz w:val="22"/>
                <w:szCs w:val="22"/>
                <w:lang w:val="en-US" w:eastAsia="zh-CN"/>
              </w:rPr>
            </w:pPr>
            <w:r>
              <w:rPr>
                <w:rFonts w:hint="eastAsia" w:ascii="Arial" w:hAnsi="Arial" w:eastAsia="宋体" w:cs="Arial"/>
                <w:sz w:val="22"/>
                <w:szCs w:val="22"/>
                <w:lang w:val="en-US" w:eastAsia="zh-CN"/>
              </w:rPr>
              <w:t>N/A</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pStyle w:val="9"/>
              <w:rPr>
                <w:rFonts w:ascii="Arial" w:hAnsi="Arial" w:cs="Arial"/>
                <w:sz w:val="22"/>
                <w:szCs w:val="22"/>
              </w:rPr>
            </w:pPr>
            <w:r>
              <w:rPr>
                <w:rFonts w:ascii="Arial" w:hAnsi="Arial" w:cs="Arial"/>
                <w:sz w:val="22"/>
                <w:szCs w:val="22"/>
              </w:rPr>
              <w:t>Introduction</w:t>
            </w:r>
          </w:p>
        </w:tc>
        <w:tc>
          <w:tcPr>
            <w:tcW w:w="610" w:type="dxa"/>
            <w:shd w:val="clear" w:color="auto" w:fill="auto"/>
          </w:tcPr>
          <w:p>
            <w:pPr>
              <w:rPr>
                <w:rFonts w:ascii="Arial" w:hAnsi="Arial" w:cs="Arial"/>
                <w:sz w:val="22"/>
                <w:szCs w:val="22"/>
              </w:rPr>
            </w:pPr>
          </w:p>
        </w:tc>
        <w:tc>
          <w:tcPr>
            <w:tcW w:w="6415" w:type="dxa"/>
            <w:shd w:val="clear" w:color="auto" w:fill="auto"/>
          </w:tcPr>
          <w:p>
            <w:pPr>
              <w:rPr>
                <w:rFonts w:ascii="Arial" w:hAnsi="Arial" w:cs="Arial"/>
                <w:sz w:val="22"/>
                <w:szCs w:val="22"/>
              </w:rPr>
            </w:pP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Background and rationale</w:t>
            </w:r>
          </w:p>
        </w:tc>
        <w:tc>
          <w:tcPr>
            <w:tcW w:w="610" w:type="dxa"/>
            <w:shd w:val="clear" w:color="auto" w:fill="auto"/>
          </w:tcPr>
          <w:p>
            <w:pPr>
              <w:rPr>
                <w:rFonts w:ascii="Arial" w:hAnsi="Arial" w:cs="Arial"/>
                <w:sz w:val="22"/>
                <w:szCs w:val="22"/>
              </w:rPr>
            </w:pPr>
            <w:r>
              <w:rPr>
                <w:rFonts w:ascii="Arial" w:hAnsi="Arial" w:cs="Arial"/>
                <w:sz w:val="22"/>
                <w:szCs w:val="22"/>
              </w:rPr>
              <w:t>6a</w:t>
            </w:r>
          </w:p>
        </w:tc>
        <w:tc>
          <w:tcPr>
            <w:tcW w:w="6415" w:type="dxa"/>
            <w:shd w:val="clear" w:color="auto" w:fill="auto"/>
            <w:tcMar>
              <w:top w:w="85" w:type="dxa"/>
              <w:bottom w:w="85" w:type="dxa"/>
            </w:tcMar>
          </w:tcPr>
          <w:p>
            <w:pPr>
              <w:rPr>
                <w:rFonts w:ascii="Arial" w:hAnsi="Arial" w:eastAsia="宋体" w:cs="Arial"/>
                <w:color w:val="000000" w:themeColor="text1"/>
                <w:sz w:val="22"/>
                <w:szCs w:val="22"/>
                <w:lang w:val="en-US" w:eastAsia="zh-CN"/>
                <w14:textFill>
                  <w14:solidFill>
                    <w14:schemeClr w14:val="tx1"/>
                  </w14:solidFill>
                </w14:textFill>
              </w:rPr>
            </w:pPr>
            <w:r>
              <w:rPr>
                <w:rFonts w:hint="eastAsia" w:ascii="Arial" w:hAnsi="Arial" w:eastAsia="宋体" w:cs="Arial"/>
                <w:color w:val="000000" w:themeColor="text1"/>
                <w:sz w:val="22"/>
                <w:szCs w:val="22"/>
                <w:lang w:val="en-US" w:eastAsia="zh-CN"/>
                <w14:textFill>
                  <w14:solidFill>
                    <w14:schemeClr w14:val="tx1"/>
                  </w14:solidFill>
                </w14:textFill>
              </w:rPr>
              <w:t>Page 1, Abstract, paragraph 1 (Background)</w:t>
            </w:r>
          </w:p>
          <w:p>
            <w:pPr>
              <w:rPr>
                <w:rFonts w:ascii="Arial" w:hAnsi="Arial" w:cs="Arial"/>
                <w:sz w:val="22"/>
                <w:szCs w:val="22"/>
              </w:rPr>
            </w:pPr>
            <w:r>
              <w:rPr>
                <w:rFonts w:ascii="Times New Roman" w:hAnsi="Times New Roman" w:cs="Times New Roman"/>
                <w:bCs/>
                <w:color w:val="000000" w:themeColor="text1"/>
                <w14:textFill>
                  <w14:solidFill>
                    <w14:schemeClr w14:val="tx1"/>
                  </w14:solidFill>
                </w14:textFill>
              </w:rPr>
              <w:t xml:space="preserve">Currently, the standard treatment for locally advanced cervical cancer is concurrent chemoradiation (CCRT). </w:t>
            </w:r>
            <w:r>
              <w:rPr>
                <w:rFonts w:hint="eastAsia" w:ascii="Times New Roman" w:hAnsi="Times New Roman" w:cs="Times New Roman"/>
                <w:bCs/>
                <w:color w:val="000000" w:themeColor="text1"/>
                <w:kern w:val="0"/>
                <w14:textFill>
                  <w14:solidFill>
                    <w14:schemeClr w14:val="tx1"/>
                  </w14:solidFill>
                </w14:textFill>
              </w:rPr>
              <w:t xml:space="preserve">The effect of neoadjuvant chemotherapy in advanced </w:t>
            </w:r>
            <w:r>
              <w:rPr>
                <w:rFonts w:ascii="Times New Roman" w:hAnsi="Times New Roman" w:eastAsia="宋体" w:cs="Times New Roman"/>
                <w:bCs/>
                <w:color w:val="000000"/>
                <w:kern w:val="0"/>
              </w:rPr>
              <w:t>cervical</w:t>
            </w:r>
            <w:r>
              <w:rPr>
                <w:rFonts w:hint="eastAsia" w:ascii="Times New Roman" w:hAnsi="Times New Roman" w:cs="Times New Roman"/>
                <w:bCs/>
                <w:color w:val="000000" w:themeColor="text1"/>
                <w:kern w:val="0"/>
                <w14:textFill>
                  <w14:solidFill>
                    <w14:schemeClr w14:val="tx1"/>
                  </w14:solidFill>
                </w14:textFill>
              </w:rPr>
              <w:t xml:space="preserve"> cancer is </w:t>
            </w:r>
            <w:r>
              <w:rPr>
                <w:rFonts w:ascii="Times New Roman" w:hAnsi="Times New Roman" w:eastAsia="宋体" w:cs="Times New Roman"/>
                <w:bCs/>
                <w:color w:val="000000"/>
                <w:kern w:val="0"/>
              </w:rPr>
              <w:t>controversial</w:t>
            </w:r>
            <w:r>
              <w:rPr>
                <w:rFonts w:hint="eastAsia" w:ascii="Times New Roman" w:hAnsi="Times New Roman" w:cs="Times New Roman"/>
                <w:bCs/>
                <w:color w:val="000000" w:themeColor="text1"/>
                <w:kern w:val="0"/>
                <w14:textFill>
                  <w14:solidFill>
                    <w14:schemeClr w14:val="tx1"/>
                  </w14:solidFill>
                </w14:textFill>
              </w:rPr>
              <w:t xml:space="preserve">. </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p>
        </w:tc>
        <w:tc>
          <w:tcPr>
            <w:tcW w:w="610" w:type="dxa"/>
            <w:shd w:val="clear" w:color="auto" w:fill="auto"/>
          </w:tcPr>
          <w:p>
            <w:pPr>
              <w:rPr>
                <w:rFonts w:ascii="Arial" w:hAnsi="Arial" w:cs="Arial"/>
                <w:sz w:val="22"/>
                <w:szCs w:val="22"/>
              </w:rPr>
            </w:pPr>
            <w:r>
              <w:rPr>
                <w:rFonts w:ascii="Arial" w:hAnsi="Arial" w:cs="Arial"/>
                <w:sz w:val="22"/>
                <w:szCs w:val="22"/>
              </w:rPr>
              <w:t>6b</w:t>
            </w:r>
          </w:p>
        </w:tc>
        <w:tc>
          <w:tcPr>
            <w:tcW w:w="6415" w:type="dxa"/>
            <w:shd w:val="clear" w:color="auto" w:fill="auto"/>
            <w:tcMar>
              <w:top w:w="85" w:type="dxa"/>
              <w:bottom w:w="85" w:type="dxa"/>
            </w:tcMar>
          </w:tcPr>
          <w:p>
            <w:pPr>
              <w:rPr>
                <w:rFonts w:ascii="Arial" w:hAnsi="Arial" w:eastAsia="宋体" w:cs="Arial"/>
                <w:color w:val="000000" w:themeColor="text1"/>
                <w:sz w:val="22"/>
                <w:szCs w:val="22"/>
                <w:lang w:val="en-US" w:eastAsia="zh-CN"/>
                <w14:textFill>
                  <w14:solidFill>
                    <w14:schemeClr w14:val="tx1"/>
                  </w14:solidFill>
                </w14:textFill>
              </w:rPr>
            </w:pPr>
            <w:r>
              <w:rPr>
                <w:rFonts w:hint="eastAsia" w:ascii="Arial" w:hAnsi="Arial" w:eastAsia="宋体" w:cs="Arial"/>
                <w:color w:val="000000" w:themeColor="text1"/>
                <w:sz w:val="22"/>
                <w:szCs w:val="22"/>
                <w:lang w:val="en-US" w:eastAsia="zh-CN"/>
                <w14:textFill>
                  <w14:solidFill>
                    <w14:schemeClr w14:val="tx1"/>
                  </w14:solidFill>
                </w14:textFill>
              </w:rPr>
              <w:t>Page 1, Abstract, paragraph 1 (Background)</w:t>
            </w:r>
          </w:p>
          <w:p>
            <w:pPr>
              <w:rPr>
                <w:rFonts w:ascii="Arial" w:hAnsi="Arial" w:cs="Arial"/>
                <w:sz w:val="22"/>
                <w:szCs w:val="22"/>
              </w:rPr>
            </w:pPr>
            <w:r>
              <w:rPr>
                <w:rFonts w:hint="eastAsia" w:ascii="Times New Roman" w:hAnsi="Times New Roman" w:cs="Times New Roman"/>
                <w:bCs/>
                <w:color w:val="000000" w:themeColor="text1"/>
                <w:kern w:val="0"/>
                <w14:textFill>
                  <w14:solidFill>
                    <w14:schemeClr w14:val="tx1"/>
                  </w14:solidFill>
                </w14:textFill>
              </w:rPr>
              <w:t xml:space="preserve">Studies </w:t>
            </w:r>
            <w:r>
              <w:rPr>
                <w:rFonts w:ascii="Times New Roman" w:hAnsi="Times New Roman" w:eastAsia="宋体" w:cs="Times New Roman"/>
                <w:bCs/>
                <w:kern w:val="0"/>
              </w:rPr>
              <w:t>have shown</w:t>
            </w:r>
            <w:r>
              <w:rPr>
                <w:rFonts w:hint="eastAsia" w:ascii="Times New Roman" w:hAnsi="Times New Roman" w:cs="Times New Roman"/>
                <w:bCs/>
                <w:kern w:val="0"/>
              </w:rPr>
              <w:t xml:space="preserve"> that the addition of </w:t>
            </w:r>
            <w:r>
              <w:rPr>
                <w:rFonts w:ascii="Times New Roman" w:hAnsi="Times New Roman" w:cs="Times New Roman"/>
                <w:bCs/>
                <w:kern w:val="0"/>
              </w:rPr>
              <w:t xml:space="preserve">a </w:t>
            </w:r>
            <w:r>
              <w:rPr>
                <w:rFonts w:hint="eastAsia" w:ascii="Times New Roman" w:hAnsi="Times New Roman" w:cs="Times New Roman"/>
                <w:bCs/>
                <w:kern w:val="0"/>
              </w:rPr>
              <w:t>weekly regimen</w:t>
            </w:r>
            <w:r>
              <w:rPr>
                <w:rFonts w:hint="eastAsia" w:ascii="Times New Roman" w:hAnsi="Times New Roman" w:cs="Times New Roman"/>
              </w:rPr>
              <w:t xml:space="preserve"> </w:t>
            </w:r>
            <w:r>
              <w:rPr>
                <w:rFonts w:ascii="Times New Roman" w:hAnsi="Times New Roman" w:cs="Times New Roman"/>
              </w:rPr>
              <w:t>of neoadjuvant chemotherapy (NACT)</w:t>
            </w:r>
            <w:r>
              <w:rPr>
                <w:rFonts w:hint="eastAsia" w:ascii="Times New Roman" w:hAnsi="Times New Roman" w:cs="Times New Roman"/>
              </w:rPr>
              <w:t xml:space="preserve"> followed by CCRT may be</w:t>
            </w:r>
            <w:r>
              <w:rPr>
                <w:rFonts w:ascii="Times New Roman" w:hAnsi="Times New Roman" w:cs="Times New Roman"/>
              </w:rPr>
              <w:t xml:space="preserve"> </w:t>
            </w:r>
            <w:r>
              <w:rPr>
                <w:rFonts w:hint="eastAsia" w:ascii="Times New Roman" w:hAnsi="Times New Roman" w:cs="Times New Roman"/>
              </w:rPr>
              <w:t xml:space="preserve">superior to </w:t>
            </w:r>
            <w:r>
              <w:rPr>
                <w:rFonts w:ascii="Times New Roman" w:hAnsi="Times New Roman" w:cs="Times New Roman"/>
              </w:rPr>
              <w:t xml:space="preserve">a </w:t>
            </w:r>
            <w:r>
              <w:rPr>
                <w:rFonts w:hint="eastAsia" w:ascii="Times New Roman" w:hAnsi="Times New Roman" w:cs="Times New Roman"/>
              </w:rPr>
              <w:t>triweekly</w:t>
            </w:r>
            <w:r>
              <w:rPr>
                <w:rFonts w:hint="eastAsia" w:ascii="Times New Roman" w:hAnsi="Times New Roman" w:cs="Times New Roman"/>
                <w:kern w:val="0"/>
              </w:rPr>
              <w:t xml:space="preserve"> </w:t>
            </w:r>
            <w:r>
              <w:rPr>
                <w:rFonts w:ascii="Times New Roman" w:hAnsi="Times New Roman" w:cs="Times New Roman"/>
              </w:rPr>
              <w:t>regimen</w:t>
            </w:r>
            <w:r>
              <w:rPr>
                <w:rFonts w:hint="eastAsia" w:ascii="Times New Roman" w:hAnsi="Times New Roman" w:cs="Times New Roman"/>
              </w:rPr>
              <w:t xml:space="preserve"> </w:t>
            </w:r>
            <w:r>
              <w:rPr>
                <w:rFonts w:ascii="Times New Roman" w:hAnsi="Times New Roman" w:cs="Times New Roman"/>
              </w:rPr>
              <w:t xml:space="preserve">of </w:t>
            </w:r>
            <w:r>
              <w:rPr>
                <w:rFonts w:hint="eastAsia" w:ascii="Times New Roman" w:hAnsi="Times New Roman" w:cs="Times New Roman"/>
              </w:rPr>
              <w:t>NACT and CCRT. A</w:t>
            </w:r>
            <w:r>
              <w:rPr>
                <w:rFonts w:ascii="Times New Roman" w:hAnsi="Times New Roman" w:cs="Times New Roman"/>
              </w:rPr>
              <w:t xml:space="preserve">mong patients who had not received prior cisplatin, a </w:t>
            </w:r>
            <w:r>
              <w:rPr>
                <w:rFonts w:hint="eastAsia" w:ascii="Times New Roman" w:hAnsi="Times New Roman" w:cs="Times New Roman"/>
              </w:rPr>
              <w:t>c</w:t>
            </w:r>
            <w:r>
              <w:rPr>
                <w:rFonts w:ascii="Times New Roman" w:hAnsi="Times New Roman" w:cs="Times New Roman"/>
              </w:rPr>
              <w:t>isplatin</w:t>
            </w:r>
            <w:r>
              <w:rPr>
                <w:rFonts w:hint="eastAsia" w:ascii="Times New Roman" w:hAnsi="Times New Roman" w:cs="Times New Roman"/>
              </w:rPr>
              <w:t xml:space="preserve"> and p</w:t>
            </w:r>
            <w:r>
              <w:rPr>
                <w:rFonts w:ascii="Times New Roman" w:hAnsi="Times New Roman" w:cs="Times New Roman"/>
              </w:rPr>
              <w:t>aclitaxel</w:t>
            </w:r>
            <w:r>
              <w:rPr>
                <w:rFonts w:hint="eastAsia" w:ascii="Times New Roman" w:hAnsi="Times New Roman" w:cs="Times New Roman"/>
              </w:rPr>
              <w:t xml:space="preserve"> (TP) </w:t>
            </w:r>
            <w:r>
              <w:rPr>
                <w:rFonts w:ascii="Times New Roman" w:hAnsi="Times New Roman" w:cs="Times New Roman"/>
              </w:rPr>
              <w:t xml:space="preserve">regimen resulted in longer overall survival than </w:t>
            </w:r>
            <w:r>
              <w:rPr>
                <w:rFonts w:hint="eastAsia" w:ascii="Times New Roman" w:hAnsi="Times New Roman" w:cs="Times New Roman"/>
              </w:rPr>
              <w:t>other regimens</w:t>
            </w:r>
            <w:r>
              <w:rPr>
                <w:rFonts w:hint="eastAsia" w:ascii="Times New Roman" w:hAnsi="Times New Roman" w:cs="Times New Roman"/>
                <w:bCs/>
                <w:kern w:val="0"/>
              </w:rPr>
              <w:t>.</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Objectives</w:t>
            </w:r>
          </w:p>
        </w:tc>
        <w:tc>
          <w:tcPr>
            <w:tcW w:w="610" w:type="dxa"/>
            <w:shd w:val="clear" w:color="auto" w:fill="auto"/>
          </w:tcPr>
          <w:p>
            <w:pPr>
              <w:rPr>
                <w:rFonts w:ascii="Arial" w:hAnsi="Arial" w:cs="Arial"/>
                <w:sz w:val="22"/>
                <w:szCs w:val="22"/>
              </w:rPr>
            </w:pPr>
            <w:r>
              <w:rPr>
                <w:rFonts w:ascii="Arial" w:hAnsi="Arial" w:cs="Arial"/>
                <w:sz w:val="22"/>
                <w:szCs w:val="22"/>
              </w:rPr>
              <w:t>7</w:t>
            </w:r>
          </w:p>
        </w:tc>
        <w:tc>
          <w:tcPr>
            <w:tcW w:w="6415" w:type="dxa"/>
            <w:shd w:val="clear" w:color="auto" w:fill="auto"/>
            <w:tcMar>
              <w:top w:w="85" w:type="dxa"/>
              <w:bottom w:w="85" w:type="dxa"/>
            </w:tcMar>
          </w:tcPr>
          <w:p>
            <w:pPr>
              <w:rPr>
                <w:rFonts w:ascii="Arial" w:hAnsi="Arial" w:eastAsia="宋体" w:cs="Arial"/>
                <w:color w:val="000000" w:themeColor="text1"/>
                <w:sz w:val="22"/>
                <w:szCs w:val="22"/>
                <w:lang w:val="en-US" w:eastAsia="zh-CN"/>
                <w14:textFill>
                  <w14:solidFill>
                    <w14:schemeClr w14:val="tx1"/>
                  </w14:solidFill>
                </w14:textFill>
              </w:rPr>
            </w:pPr>
            <w:r>
              <w:rPr>
                <w:rFonts w:hint="eastAsia" w:ascii="Arial" w:hAnsi="Arial" w:eastAsia="宋体" w:cs="Arial"/>
                <w:color w:val="000000" w:themeColor="text1"/>
                <w:sz w:val="22"/>
                <w:szCs w:val="22"/>
                <w:lang w:val="en-US" w:eastAsia="zh-CN"/>
                <w14:textFill>
                  <w14:solidFill>
                    <w14:schemeClr w14:val="tx1"/>
                  </w14:solidFill>
                </w14:textFill>
              </w:rPr>
              <w:t>Page 1, Abstract, paragraph 1 (Background)</w:t>
            </w:r>
          </w:p>
          <w:p>
            <w:pPr>
              <w:rPr>
                <w:rFonts w:ascii="Arial" w:hAnsi="Arial" w:cs="Arial"/>
                <w:sz w:val="22"/>
                <w:szCs w:val="22"/>
              </w:rPr>
            </w:pPr>
            <w:r>
              <w:rPr>
                <w:rFonts w:ascii="Times New Roman" w:hAnsi="Times New Roman" w:cs="Times New Roman"/>
              </w:rPr>
              <w:t>This study aims to investigate the feasibility, safety and efficacy</w:t>
            </w:r>
            <w:r>
              <w:rPr>
                <w:rFonts w:ascii="Times New Roman" w:hAnsi="Times New Roman" w:cs="Times New Roman"/>
                <w:kern w:val="0"/>
              </w:rPr>
              <w:t xml:space="preserve"> of </w:t>
            </w:r>
            <w:r>
              <w:rPr>
                <w:rFonts w:ascii="Times New Roman" w:hAnsi="Times New Roman" w:cs="Times New Roman"/>
              </w:rPr>
              <w:t xml:space="preserve">NACT </w:t>
            </w:r>
            <w:r>
              <w:rPr>
                <w:rFonts w:hint="eastAsia" w:ascii="Times New Roman" w:hAnsi="Times New Roman" w:cs="Times New Roman"/>
              </w:rPr>
              <w:t xml:space="preserve">with </w:t>
            </w:r>
            <w:r>
              <w:rPr>
                <w:rFonts w:ascii="Times New Roman" w:hAnsi="Times New Roman" w:cs="Times New Roman"/>
              </w:rPr>
              <w:t>weekly TP</w:t>
            </w:r>
            <w:r>
              <w:rPr>
                <w:rFonts w:hint="eastAsia" w:ascii="Times New Roman" w:hAnsi="Times New Roman" w:cs="Times New Roman"/>
              </w:rPr>
              <w:t xml:space="preserve"> </w:t>
            </w:r>
            <w:r>
              <w:rPr>
                <w:rFonts w:ascii="Times New Roman" w:hAnsi="Times New Roman" w:cs="Times New Roman"/>
              </w:rPr>
              <w:t>followed by CCRT.</w:t>
            </w:r>
          </w:p>
        </w:tc>
      </w:tr>
      <w:tr>
        <w:tblPrEx>
          <w:tblCellMar>
            <w:top w:w="0" w:type="dxa"/>
            <w:left w:w="56" w:type="dxa"/>
            <w:bottom w:w="0" w:type="dxa"/>
            <w:right w:w="56" w:type="dxa"/>
          </w:tblCellMar>
        </w:tblPrEx>
        <w:trPr>
          <w:cantSplit/>
          <w:trHeight w:val="1238"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Trial design</w:t>
            </w:r>
          </w:p>
        </w:tc>
        <w:tc>
          <w:tcPr>
            <w:tcW w:w="610" w:type="dxa"/>
            <w:shd w:val="clear" w:color="auto" w:fill="auto"/>
          </w:tcPr>
          <w:p>
            <w:pPr>
              <w:rPr>
                <w:rFonts w:ascii="Arial" w:hAnsi="Arial" w:cs="Arial"/>
                <w:sz w:val="22"/>
                <w:szCs w:val="22"/>
              </w:rPr>
            </w:pPr>
            <w:r>
              <w:rPr>
                <w:rFonts w:ascii="Arial" w:hAnsi="Arial" w:cs="Arial"/>
                <w:sz w:val="22"/>
                <w:szCs w:val="22"/>
              </w:rPr>
              <w:t>8</w:t>
            </w:r>
          </w:p>
        </w:tc>
        <w:tc>
          <w:tcPr>
            <w:tcW w:w="6415" w:type="dxa"/>
            <w:shd w:val="clear" w:color="auto" w:fill="auto"/>
            <w:tcMar>
              <w:top w:w="85" w:type="dxa"/>
              <w:bottom w:w="85" w:type="dxa"/>
            </w:tcMar>
          </w:tcPr>
          <w:p>
            <w:pPr>
              <w:rPr>
                <w:rFonts w:ascii="Arial" w:hAnsi="Arial" w:cs="Arial"/>
                <w:sz w:val="22"/>
                <w:szCs w:val="22"/>
              </w:rPr>
            </w:pPr>
            <w:r>
              <w:rPr>
                <w:rFonts w:ascii="Arial" w:hAnsi="Arial" w:cs="Arial"/>
                <w:sz w:val="22"/>
                <w:szCs w:val="22"/>
              </w:rPr>
              <w:t>Description of trial design including type of trial (eg, parallel group, crossover, factorial, single group), allocation ratio, and framework (eg, superiority, equivalence, noninferiority, exploratory)</w:t>
            </w:r>
          </w:p>
          <w:p>
            <w:pPr>
              <w:rPr>
                <w:rFonts w:ascii="Arial" w:hAnsi="Arial" w:cs="Arial"/>
                <w:sz w:val="22"/>
                <w:szCs w:val="22"/>
              </w:rPr>
            </w:pPr>
          </w:p>
          <w:p>
            <w:pPr>
              <w:rPr>
                <w:rFonts w:ascii="Arial" w:hAnsi="Arial" w:eastAsia="宋体" w:cs="Arial"/>
                <w:color w:val="000000" w:themeColor="text1"/>
                <w:sz w:val="22"/>
                <w:szCs w:val="22"/>
                <w:lang w:val="en-US" w:eastAsia="zh-CN"/>
                <w14:textFill>
                  <w14:solidFill>
                    <w14:schemeClr w14:val="tx1"/>
                  </w14:solidFill>
                </w14:textFill>
              </w:rPr>
            </w:pPr>
            <w:r>
              <w:rPr>
                <w:rFonts w:hint="eastAsia" w:ascii="Arial" w:hAnsi="Arial" w:eastAsia="宋体" w:cs="Arial"/>
                <w:color w:val="000000" w:themeColor="text1"/>
                <w:sz w:val="22"/>
                <w:szCs w:val="22"/>
                <w:lang w:val="en-US" w:eastAsia="zh-CN"/>
                <w14:textFill>
                  <w14:solidFill>
                    <w14:schemeClr w14:val="tx1"/>
                  </w14:solidFill>
                </w14:textFill>
              </w:rPr>
              <w:t>Page 1, Abstract, paragraph 2 (Methods)</w:t>
            </w:r>
          </w:p>
          <w:p>
            <w:pPr>
              <w:rPr>
                <w:rFonts w:ascii="Arial" w:hAnsi="Arial" w:cs="Arial"/>
                <w:sz w:val="22"/>
                <w:szCs w:val="22"/>
              </w:rPr>
            </w:pPr>
            <w:r>
              <w:rPr>
                <w:rFonts w:ascii="Times New Roman" w:hAnsi="Times New Roman" w:cs="Times New Roman"/>
              </w:rPr>
              <w:t xml:space="preserve">This is a prospective, randomized, open-labeled, </w:t>
            </w:r>
            <w:r>
              <w:rPr>
                <w:rFonts w:ascii="Times New Roman" w:hAnsi="Times New Roman" w:eastAsia="宋体" w:cs="Times New Roman"/>
              </w:rPr>
              <w:t>multicentered</w:t>
            </w:r>
            <w:r>
              <w:rPr>
                <w:rFonts w:ascii="Times New Roman" w:hAnsi="Times New Roman" w:cs="Times New Roman"/>
              </w:rPr>
              <w:t xml:space="preserve"> Phase III study with a sample size of 300. Patients with IIB-IVA cervical cancer will be randomly allocated in a 1:1 ratio to one of two intervention arms.</w:t>
            </w:r>
            <w:r>
              <w:rPr>
                <w:rFonts w:hint="eastAsia" w:ascii="Times New Roman" w:hAnsi="Times New Roman" w:cs="Times New Roman"/>
              </w:rPr>
              <w:t xml:space="preserve"> Study</w:t>
            </w:r>
            <w:r>
              <w:rPr>
                <w:rFonts w:ascii="Times New Roman" w:hAnsi="Times New Roman" w:cs="Times New Roman"/>
              </w:rPr>
              <w:t xml:space="preserve"> arm: patients will receive dose-dense cisplatin (40 mg/m</w:t>
            </w:r>
            <w:r>
              <w:rPr>
                <w:rFonts w:ascii="Times New Roman" w:hAnsi="Times New Roman" w:cs="Times New Roman"/>
                <w:vertAlign w:val="superscript"/>
              </w:rPr>
              <w:t>2</w:t>
            </w:r>
            <w:r>
              <w:rPr>
                <w:rFonts w:ascii="Times New Roman" w:hAnsi="Times New Roman" w:cs="Times New Roman"/>
              </w:rPr>
              <w:t>) and paclitaxel (60 mg/m</w:t>
            </w:r>
            <w:r>
              <w:rPr>
                <w:rFonts w:ascii="Times New Roman" w:hAnsi="Times New Roman" w:cs="Times New Roman"/>
                <w:vertAlign w:val="superscript"/>
              </w:rPr>
              <w:t>2</w:t>
            </w:r>
            <w:r>
              <w:rPr>
                <w:rFonts w:ascii="Times New Roman" w:hAnsi="Times New Roman" w:cs="Times New Roman"/>
              </w:rPr>
              <w:t>) weekly for 4 cycles followed by CCRT (</w:t>
            </w:r>
            <w:r>
              <w:rPr>
                <w:rFonts w:ascii="Times New Roman" w:hAnsi="Times New Roman" w:eastAsia="宋体" w:cs="Times New Roman"/>
                <w:shd w:val="clear" w:color="auto" w:fill="FFFFFF"/>
              </w:rPr>
              <w:t>45 Gy</w:t>
            </w:r>
            <w:r>
              <w:rPr>
                <w:rFonts w:ascii="Times New Roman" w:hAnsi="Times New Roman" w:cs="Times New Roman"/>
              </w:rPr>
              <w:t xml:space="preserve"> in 5 weeks concurrent with cisplatin 40 mg/m</w:t>
            </w:r>
            <w:r>
              <w:rPr>
                <w:rFonts w:ascii="Times New Roman" w:hAnsi="Times New Roman" w:cs="Times New Roman"/>
                <w:vertAlign w:val="superscript"/>
              </w:rPr>
              <w:t>2</w:t>
            </w:r>
            <w:r>
              <w:rPr>
                <w:rFonts w:ascii="Times New Roman" w:hAnsi="Times New Roman" w:cs="Times New Roman"/>
              </w:rPr>
              <w:t xml:space="preserve"> weekly) </w:t>
            </w:r>
            <w:r>
              <w:rPr>
                <w:rFonts w:ascii="Times New Roman" w:hAnsi="Times New Roman" w:eastAsia="宋体" w:cs="Times New Roman"/>
                <w:shd w:val="clear" w:color="auto" w:fill="FFFFFF"/>
              </w:rPr>
              <w:t xml:space="preserve">plus </w:t>
            </w:r>
            <w:r>
              <w:rPr>
                <w:rFonts w:ascii="Times New Roman" w:hAnsi="Times New Roman" w:cs="Times New Roman"/>
              </w:rPr>
              <w:t>image-guided adaptive brachytherapy (IGBRT)</w:t>
            </w:r>
            <w:r>
              <w:rPr>
                <w:rFonts w:ascii="Times New Roman" w:hAnsi="Times New Roman" w:eastAsia="宋体" w:cs="Times New Roman"/>
                <w:shd w:val="clear" w:color="auto" w:fill="FFFFFF"/>
              </w:rPr>
              <w:t xml:space="preserve">. </w:t>
            </w:r>
            <w:r>
              <w:rPr>
                <w:rFonts w:ascii="Times New Roman" w:hAnsi="Times New Roman" w:cs="Times New Roman"/>
              </w:rPr>
              <w:t>Control arm: patients will undergo CCRT treatment</w:t>
            </w:r>
            <w:r>
              <w:rPr>
                <w:rFonts w:ascii="Times New Roman" w:hAnsi="Times New Roman" w:eastAsia="宋体" w:cs="Times New Roman"/>
                <w:shd w:val="clear" w:color="auto" w:fill="FFFFFF"/>
              </w:rPr>
              <w:t>.</w:t>
            </w:r>
            <w:r>
              <w:rPr>
                <w:rFonts w:ascii="Times New Roman" w:hAnsi="Times New Roman" w:eastAsia="宋体" w:cs="Times New Roman"/>
              </w:rPr>
              <w:t xml:space="preserve"> The primary</w:t>
            </w:r>
            <w:r>
              <w:rPr>
                <w:rFonts w:hint="eastAsia" w:ascii="Times New Roman" w:hAnsi="Times New Roman" w:cs="Times New Roman"/>
              </w:rPr>
              <w:t xml:space="preserve"> endpoint</w:t>
            </w:r>
            <w:r>
              <w:rPr>
                <w:rFonts w:ascii="Times New Roman" w:hAnsi="Times New Roman" w:cs="Times New Roman"/>
              </w:rPr>
              <w:t>s</w:t>
            </w:r>
            <w:r>
              <w:rPr>
                <w:rFonts w:hint="eastAsia" w:ascii="Times New Roman" w:hAnsi="Times New Roman" w:cs="Times New Roman"/>
              </w:rPr>
              <w:t xml:space="preserve"> of </w:t>
            </w:r>
            <w:r>
              <w:rPr>
                <w:rFonts w:ascii="Times New Roman" w:hAnsi="Times New Roman" w:eastAsia="宋体" w:cs="Times New Roman"/>
              </w:rPr>
              <w:t xml:space="preserve">the </w:t>
            </w:r>
            <w:r>
              <w:rPr>
                <w:rFonts w:hint="eastAsia" w:ascii="Times New Roman" w:hAnsi="Times New Roman" w:cs="Times New Roman"/>
              </w:rPr>
              <w:t xml:space="preserve">study </w:t>
            </w:r>
            <w:r>
              <w:rPr>
                <w:rFonts w:ascii="Times New Roman" w:hAnsi="Times New Roman" w:cs="Times New Roman"/>
              </w:rPr>
              <w:t xml:space="preserve">are </w:t>
            </w:r>
            <w:r>
              <w:rPr>
                <w:rFonts w:hint="eastAsia" w:ascii="Times New Roman" w:hAnsi="Times New Roman" w:cs="Times New Roman"/>
                <w:kern w:val="0"/>
              </w:rPr>
              <w:t xml:space="preserve">overall </w:t>
            </w:r>
            <w:r>
              <w:rPr>
                <w:rFonts w:ascii="Times New Roman" w:hAnsi="Times New Roman" w:cs="Times New Roman"/>
                <w:kern w:val="0"/>
              </w:rPr>
              <w:t>survival</w:t>
            </w:r>
            <w:r>
              <w:rPr>
                <w:rFonts w:hint="eastAsia" w:ascii="Times New Roman" w:hAnsi="Times New Roman" w:cs="Times New Roman"/>
                <w:kern w:val="0"/>
              </w:rPr>
              <w:t xml:space="preserve"> rate and </w:t>
            </w:r>
            <w:r>
              <w:rPr>
                <w:rFonts w:ascii="Times New Roman" w:hAnsi="Times New Roman" w:cs="Times New Roman"/>
                <w:kern w:val="0"/>
              </w:rPr>
              <w:t>d</w:t>
            </w:r>
            <w:r>
              <w:rPr>
                <w:rFonts w:hint="eastAsia" w:ascii="Times New Roman" w:hAnsi="Times New Roman" w:cs="Times New Roman"/>
                <w:kern w:val="0"/>
              </w:rPr>
              <w:t>isease</w:t>
            </w:r>
            <w:r>
              <w:rPr>
                <w:rFonts w:ascii="Times New Roman" w:hAnsi="Times New Roman" w:eastAsia="宋体" w:cs="Times New Roman"/>
                <w:kern w:val="0"/>
              </w:rPr>
              <w:t>-</w:t>
            </w:r>
            <w:r>
              <w:rPr>
                <w:rFonts w:hint="eastAsia" w:ascii="Times New Roman" w:hAnsi="Times New Roman" w:cs="Times New Roman"/>
                <w:kern w:val="0"/>
              </w:rPr>
              <w:t xml:space="preserve">free </w:t>
            </w:r>
            <w:r>
              <w:rPr>
                <w:rFonts w:ascii="Times New Roman" w:hAnsi="Times New Roman" w:cs="Times New Roman"/>
                <w:kern w:val="0"/>
              </w:rPr>
              <w:t>response rate</w:t>
            </w:r>
            <w:r>
              <w:rPr>
                <w:rFonts w:hint="eastAsia" w:ascii="Times New Roman" w:hAnsi="Times New Roman" w:cs="Times New Roman"/>
                <w:kern w:val="0"/>
              </w:rPr>
              <w:t>;</w:t>
            </w:r>
            <w:r>
              <w:rPr>
                <w:rFonts w:ascii="Times New Roman" w:hAnsi="Times New Roman" w:cs="Times New Roman"/>
                <w:kern w:val="0"/>
              </w:rPr>
              <w:t xml:space="preserve"> </w:t>
            </w:r>
            <w:r>
              <w:rPr>
                <w:rFonts w:ascii="Times New Roman" w:hAnsi="Times New Roman" w:eastAsia="宋体" w:cs="Times New Roman"/>
                <w:kern w:val="0"/>
              </w:rPr>
              <w:t xml:space="preserve">the </w:t>
            </w:r>
            <w:r>
              <w:rPr>
                <w:rFonts w:ascii="Times New Roman" w:hAnsi="Times New Roman" w:cs="Times New Roman"/>
                <w:kern w:val="0"/>
              </w:rPr>
              <w:t>s</w:t>
            </w:r>
            <w:r>
              <w:rPr>
                <w:rFonts w:hint="eastAsia" w:ascii="Times New Roman" w:hAnsi="Times New Roman" w:cs="Times New Roman"/>
                <w:kern w:val="0"/>
              </w:rPr>
              <w:t>econdary endp</w:t>
            </w:r>
            <w:r>
              <w:rPr>
                <w:rFonts w:ascii="Times New Roman" w:hAnsi="Times New Roman" w:cs="Times New Roman"/>
                <w:kern w:val="0"/>
              </w:rPr>
              <w:t xml:space="preserve">oint is </w:t>
            </w:r>
            <w:r>
              <w:rPr>
                <w:rFonts w:ascii="Times New Roman" w:hAnsi="Times New Roman" w:cs="Times New Roman"/>
              </w:rPr>
              <w:t xml:space="preserve">the response rate 3 months after treatment completion; </w:t>
            </w:r>
            <w:r>
              <w:rPr>
                <w:rFonts w:ascii="Times New Roman" w:hAnsi="Times New Roman" w:eastAsia="宋体" w:cs="Times New Roman"/>
              </w:rPr>
              <w:t xml:space="preserve">the </w:t>
            </w:r>
            <w:r>
              <w:rPr>
                <w:rFonts w:ascii="Times New Roman" w:hAnsi="Times New Roman" w:cs="Times New Roman"/>
              </w:rPr>
              <w:t xml:space="preserve">tertiary endpoints are </w:t>
            </w:r>
            <w:r>
              <w:rPr>
                <w:rFonts w:ascii="Times New Roman" w:hAnsi="Times New Roman" w:eastAsia="宋体" w:cs="Times New Roman"/>
              </w:rPr>
              <w:t xml:space="preserve">grade </w:t>
            </w:r>
            <w:r>
              <w:rPr>
                <w:rFonts w:ascii="Times New Roman" w:hAnsi="Times New Roman" w:cs="Times New Roman"/>
                <w:kern w:val="0"/>
              </w:rPr>
              <w:t>3-4 adverse effects and quality</w:t>
            </w:r>
            <w:r>
              <w:rPr>
                <w:rFonts w:ascii="Times New Roman" w:hAnsi="Times New Roman" w:eastAsia="宋体" w:cs="Times New Roman"/>
                <w:kern w:val="0"/>
              </w:rPr>
              <w:t xml:space="preserve"> </w:t>
            </w:r>
            <w:r>
              <w:rPr>
                <w:rFonts w:ascii="Times New Roman" w:hAnsi="Times New Roman" w:cs="Times New Roman"/>
                <w:kern w:val="0"/>
              </w:rPr>
              <w:t>of</w:t>
            </w:r>
            <w:r>
              <w:rPr>
                <w:rFonts w:ascii="Times New Roman" w:hAnsi="Times New Roman" w:eastAsia="宋体" w:cs="Times New Roman"/>
                <w:kern w:val="0"/>
              </w:rPr>
              <w:t xml:space="preserve"> </w:t>
            </w:r>
            <w:r>
              <w:rPr>
                <w:rFonts w:ascii="Times New Roman" w:hAnsi="Times New Roman" w:cs="Times New Roman"/>
                <w:kern w:val="0"/>
              </w:rPr>
              <w:t>life</w:t>
            </w:r>
            <w:r>
              <w:rPr>
                <w:rFonts w:hint="eastAsia" w:ascii="Times New Roman" w:hAnsi="Times New Roman" w:cs="Times New Roman"/>
                <w:kern w:val="0"/>
              </w:rPr>
              <w:t>;</w:t>
            </w:r>
            <w:r>
              <w:rPr>
                <w:rFonts w:ascii="Times New Roman" w:hAnsi="Times New Roman" w:eastAsia="宋体" w:cs="Times New Roman"/>
                <w:kern w:val="0"/>
              </w:rPr>
              <w:t xml:space="preserve"> and</w:t>
            </w:r>
            <w:r>
              <w:rPr>
                <w:rFonts w:ascii="Times New Roman" w:hAnsi="Times New Roman" w:cs="Times New Roman"/>
                <w:kern w:val="0"/>
              </w:rPr>
              <w:t xml:space="preserve"> potential biomarkers for predicting treatment r</w:t>
            </w:r>
            <w:r>
              <w:rPr>
                <w:rFonts w:ascii="Times New Roman" w:hAnsi="Times New Roman" w:cs="Times New Roman"/>
                <w:color w:val="000000" w:themeColor="text1"/>
                <w:kern w:val="0"/>
                <w14:textFill>
                  <w14:solidFill>
                    <w14:schemeClr w14:val="tx1"/>
                  </w14:solidFill>
                </w14:textFill>
              </w:rPr>
              <w:t xml:space="preserve">esponse will </w:t>
            </w:r>
            <w:r>
              <w:rPr>
                <w:rFonts w:hint="eastAsia" w:ascii="Times New Roman" w:hAnsi="Times New Roman" w:cs="Times New Roman"/>
                <w:color w:val="000000" w:themeColor="text1"/>
                <w:kern w:val="0"/>
                <w14:textFill>
                  <w14:solidFill>
                    <w14:schemeClr w14:val="tx1"/>
                  </w14:solidFill>
                </w14:textFill>
              </w:rPr>
              <w:t xml:space="preserve">also </w:t>
            </w:r>
            <w:r>
              <w:rPr>
                <w:rFonts w:ascii="Times New Roman" w:hAnsi="Times New Roman" w:cs="Times New Roman"/>
                <w:color w:val="000000" w:themeColor="text1"/>
                <w:kern w:val="0"/>
                <w14:textFill>
                  <w14:solidFill>
                    <w14:schemeClr w14:val="tx1"/>
                  </w14:solidFill>
                </w14:textFill>
              </w:rPr>
              <w:t>be studied.</w:t>
            </w:r>
          </w:p>
        </w:tc>
      </w:tr>
      <w:tr>
        <w:tblPrEx>
          <w:shd w:val="clear" w:color="auto" w:fill="FFFFFF"/>
          <w:tblCellMar>
            <w:top w:w="0" w:type="dxa"/>
            <w:left w:w="56" w:type="dxa"/>
            <w:bottom w:w="0" w:type="dxa"/>
            <w:right w:w="56" w:type="dxa"/>
          </w:tblCellMar>
        </w:tblPrEx>
        <w:trPr>
          <w:cantSplit/>
          <w:trHeight w:val="259" w:hRule="atLeast"/>
        </w:trPr>
        <w:tc>
          <w:tcPr>
            <w:tcW w:w="8783" w:type="dxa"/>
            <w:gridSpan w:val="3"/>
            <w:shd w:val="clear" w:color="auto" w:fill="FFFFFF"/>
            <w:tcMar>
              <w:top w:w="85" w:type="dxa"/>
              <w:bottom w:w="85" w:type="dxa"/>
            </w:tcMar>
          </w:tcPr>
          <w:p>
            <w:pPr>
              <w:pStyle w:val="9"/>
              <w:rPr>
                <w:rFonts w:ascii="Arial" w:hAnsi="Arial" w:cs="Arial"/>
                <w:sz w:val="22"/>
                <w:szCs w:val="22"/>
              </w:rPr>
            </w:pPr>
            <w:r>
              <w:rPr>
                <w:rFonts w:ascii="Arial" w:hAnsi="Arial" w:cs="Arial"/>
                <w:sz w:val="22"/>
                <w:szCs w:val="22"/>
              </w:rPr>
              <w:t>Methods: Participants, interventions, and outcomes</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Study setting</w:t>
            </w:r>
          </w:p>
        </w:tc>
        <w:tc>
          <w:tcPr>
            <w:tcW w:w="610" w:type="dxa"/>
            <w:shd w:val="clear" w:color="auto" w:fill="auto"/>
          </w:tcPr>
          <w:p>
            <w:pPr>
              <w:rPr>
                <w:rFonts w:ascii="Arial" w:hAnsi="Arial" w:cs="Arial"/>
                <w:sz w:val="22"/>
                <w:szCs w:val="22"/>
              </w:rPr>
            </w:pPr>
            <w:r>
              <w:rPr>
                <w:rFonts w:ascii="Arial" w:hAnsi="Arial" w:cs="Arial"/>
                <w:sz w:val="22"/>
                <w:szCs w:val="22"/>
              </w:rPr>
              <w:t>9</w:t>
            </w:r>
          </w:p>
        </w:tc>
        <w:tc>
          <w:tcPr>
            <w:tcW w:w="6415" w:type="dxa"/>
            <w:shd w:val="clear" w:color="auto" w:fill="auto"/>
            <w:tcMar>
              <w:top w:w="85" w:type="dxa"/>
              <w:bottom w:w="85" w:type="dxa"/>
            </w:tcMar>
          </w:tcPr>
          <w:p>
            <w:pPr>
              <w:rPr>
                <w:rFonts w:ascii="Arial" w:hAnsi="Arial" w:cs="Arial"/>
                <w:sz w:val="22"/>
                <w:szCs w:val="22"/>
              </w:rPr>
            </w:pPr>
            <w:r>
              <w:rPr>
                <w:rFonts w:ascii="Arial" w:hAnsi="Arial" w:cs="Arial"/>
                <w:sz w:val="22"/>
                <w:szCs w:val="22"/>
              </w:rPr>
              <w:t>Description of study settings (eg, community clinic, academic hospital) and list of countries where data will be collected. Reference to where list of study sites can be obtained</w:t>
            </w:r>
          </w:p>
          <w:p>
            <w:pPr>
              <w:rPr>
                <w:rFonts w:ascii="Arial" w:hAnsi="Arial" w:eastAsia="宋体" w:cs="Arial"/>
                <w:color w:val="000000" w:themeColor="text1"/>
                <w:sz w:val="22"/>
                <w:szCs w:val="22"/>
                <w:lang w:val="en-US" w:eastAsia="zh-CN"/>
                <w14:textFill>
                  <w14:solidFill>
                    <w14:schemeClr w14:val="tx1"/>
                  </w14:solidFill>
                </w14:textFill>
              </w:rPr>
            </w:pPr>
          </w:p>
          <w:p>
            <w:pPr>
              <w:rPr>
                <w:rFonts w:ascii="Arial" w:hAnsi="Arial" w:cs="Arial"/>
                <w:sz w:val="22"/>
                <w:szCs w:val="22"/>
              </w:rPr>
            </w:pPr>
            <w:r>
              <w:rPr>
                <w:rFonts w:hint="eastAsia" w:ascii="Arial" w:hAnsi="Arial" w:eastAsia="宋体" w:cs="Arial"/>
                <w:color w:val="000000" w:themeColor="text1"/>
                <w:sz w:val="22"/>
                <w:szCs w:val="22"/>
                <w:lang w:val="en-US" w:eastAsia="zh-CN"/>
                <w14:textFill>
                  <w14:solidFill>
                    <w14:schemeClr w14:val="tx1"/>
                  </w14:solidFill>
                </w14:textFill>
              </w:rPr>
              <w:t>Page 3, Methods, paragraph 3 (Study organization)</w:t>
            </w:r>
          </w:p>
          <w:p>
            <w:pPr>
              <w:spacing w:after="156" w:afterLines="50"/>
              <w:outlineLvl w:val="0"/>
              <w:rPr>
                <w:rFonts w:ascii="Arial" w:hAnsi="Arial" w:cs="Arial"/>
                <w:sz w:val="22"/>
                <w:szCs w:val="22"/>
              </w:rPr>
            </w:pPr>
            <w:r>
              <w:rPr>
                <w:rFonts w:ascii="Times New Roman" w:hAnsi="Times New Roman" w:cs="Times New Roman"/>
                <w:color w:val="000000" w:themeColor="text1"/>
                <w14:textFill>
                  <w14:solidFill>
                    <w14:schemeClr w14:val="tx1"/>
                  </w14:solidFill>
                </w14:textFill>
              </w:rPr>
              <w:t xml:space="preserve">The study was designed by a team of researchers from </w:t>
            </w:r>
            <w:r>
              <w:rPr>
                <w:rFonts w:ascii="Times New Roman" w:hAnsi="Times New Roman" w:cs="Times New Roman"/>
                <w:color w:val="000000"/>
              </w:rPr>
              <w:t>Shanghai Jiaotong University</w:t>
            </w:r>
            <w:r>
              <w:rPr>
                <w:rFonts w:ascii="Times New Roman" w:hAnsi="Times New Roman" w:eastAsia="宋体" w:cs="Times New Roman"/>
                <w:color w:val="000000"/>
              </w:rPr>
              <w:t xml:space="preserve"> </w:t>
            </w:r>
            <w:r>
              <w:rPr>
                <w:rFonts w:ascii="Times New Roman" w:hAnsi="Times New Roman" w:cs="Times New Roman"/>
                <w:color w:val="000000"/>
              </w:rPr>
              <w:t>Medic</w:t>
            </w:r>
            <w:r>
              <w:rPr>
                <w:rFonts w:ascii="Times New Roman" w:hAnsi="Times New Roman" w:eastAsia="宋体" w:cs="Times New Roman"/>
                <w:color w:val="000000"/>
              </w:rPr>
              <w:t>al School affiliated with Ruijin Hospital</w:t>
            </w:r>
            <w:r>
              <w:rPr>
                <w:rFonts w:ascii="Times New Roman" w:hAnsi="Times New Roman" w:cs="Times New Roman"/>
                <w:color w:val="000000" w:themeColor="text1"/>
                <w14:textFill>
                  <w14:solidFill>
                    <w14:schemeClr w14:val="tx1"/>
                  </w14:solidFill>
                </w14:textFill>
              </w:rPr>
              <w:t xml:space="preserve">. It is being conducted at 5 sites in China: </w:t>
            </w:r>
            <w:r>
              <w:rPr>
                <w:rFonts w:ascii="Times New Roman" w:hAnsi="Times New Roman" w:cs="Times New Roman"/>
                <w:color w:val="000000"/>
              </w:rPr>
              <w:t>Shanghai Jiaotong University</w:t>
            </w:r>
            <w:r>
              <w:rPr>
                <w:rFonts w:ascii="Times New Roman" w:hAnsi="Times New Roman" w:eastAsia="宋体" w:cs="Times New Roman"/>
                <w:color w:val="000000"/>
              </w:rPr>
              <w:t xml:space="preserve"> </w:t>
            </w:r>
            <w:r>
              <w:rPr>
                <w:rFonts w:ascii="Times New Roman" w:hAnsi="Times New Roman" w:cs="Times New Roman"/>
                <w:color w:val="000000"/>
              </w:rPr>
              <w:t>Medic</w:t>
            </w:r>
            <w:r>
              <w:rPr>
                <w:rFonts w:ascii="Times New Roman" w:hAnsi="Times New Roman" w:eastAsia="宋体" w:cs="Times New Roman"/>
                <w:color w:val="000000"/>
              </w:rPr>
              <w:t>al School affiliated with Ruijin Hospital,</w:t>
            </w:r>
            <w:r>
              <w:rPr>
                <w:rFonts w:ascii="Times New Roman" w:hAnsi="Times New Roman" w:cs="Times New Roman"/>
                <w:color w:val="000000" w:themeColor="text1"/>
                <w14:textFill>
                  <w14:solidFill>
                    <w14:schemeClr w14:val="tx1"/>
                  </w14:solidFill>
                </w14:textFill>
              </w:rPr>
              <w:t xml:space="preserve"> Renji Hospital, The First People’s Hospital, Shanghai Tongji University affiliated with Oriental Hospital,</w:t>
            </w:r>
            <w:r>
              <w:rPr>
                <w:rFonts w:ascii="Times New Roman" w:hAnsi="Times New Roman" w:cs="Times New Roman"/>
                <w:color w:val="000000"/>
              </w:rPr>
              <w:t xml:space="preserve"> and Fujian Medic</w:t>
            </w:r>
            <w:r>
              <w:rPr>
                <w:rFonts w:ascii="Times New Roman" w:hAnsi="Times New Roman" w:eastAsia="宋体" w:cs="Times New Roman"/>
                <w:color w:val="000000"/>
              </w:rPr>
              <w:t>al University affiliated with Union Hospital</w:t>
            </w:r>
            <w:r>
              <w:rPr>
                <w:rFonts w:ascii="Times New Roman" w:hAnsi="Times New Roman" w:cs="Times New Roman"/>
                <w:color w:val="000000" w:themeColor="text1"/>
                <w14:textFill>
                  <w14:solidFill>
                    <w14:schemeClr w14:val="tx1"/>
                  </w14:solidFill>
                </w14:textFill>
              </w:rPr>
              <w:t>.</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Eligibility criteria</w:t>
            </w:r>
          </w:p>
        </w:tc>
        <w:tc>
          <w:tcPr>
            <w:tcW w:w="610" w:type="dxa"/>
            <w:shd w:val="clear" w:color="auto" w:fill="FFFFFF"/>
          </w:tcPr>
          <w:p>
            <w:pPr>
              <w:rPr>
                <w:rFonts w:ascii="Arial" w:hAnsi="Arial" w:cs="Arial"/>
                <w:sz w:val="22"/>
                <w:szCs w:val="22"/>
              </w:rPr>
            </w:pPr>
            <w:r>
              <w:rPr>
                <w:rFonts w:ascii="Arial" w:hAnsi="Arial" w:cs="Arial"/>
                <w:sz w:val="22"/>
                <w:szCs w:val="22"/>
              </w:rPr>
              <w:t>10</w:t>
            </w:r>
          </w:p>
        </w:tc>
        <w:tc>
          <w:tcPr>
            <w:tcW w:w="6415" w:type="dxa"/>
            <w:shd w:val="clear" w:color="auto" w:fill="FFFFFF"/>
            <w:tcMar>
              <w:top w:w="85" w:type="dxa"/>
              <w:bottom w:w="85" w:type="dxa"/>
            </w:tcMar>
          </w:tcPr>
          <w:p>
            <w:pPr>
              <w:pStyle w:val="10"/>
              <w:spacing w:after="156" w:afterLines="50"/>
              <w:ind w:firstLine="0" w:firstLineChars="0"/>
              <w:rPr>
                <w:rFonts w:ascii="Arial" w:hAnsi="Arial" w:cs="Arial"/>
                <w:b/>
                <w:bCs/>
                <w:sz w:val="22"/>
                <w:szCs w:val="22"/>
              </w:rPr>
            </w:pPr>
            <w:r>
              <w:rPr>
                <w:rFonts w:hint="eastAsia" w:ascii="Arial" w:hAnsi="Arial" w:eastAsia="宋体" w:cs="Arial"/>
                <w:color w:val="000000" w:themeColor="text1"/>
                <w:sz w:val="22"/>
                <w:szCs w:val="22"/>
                <w:lang w:val="en-US" w:eastAsia="zh-CN"/>
                <w14:textFill>
                  <w14:solidFill>
                    <w14:schemeClr w14:val="tx1"/>
                  </w14:solidFill>
                </w14:textFill>
              </w:rPr>
              <w:t>Page 3, Methods, paragraph 5 (Inclusion criteria)</w:t>
            </w:r>
          </w:p>
          <w:p>
            <w:pPr>
              <w:pStyle w:val="10"/>
              <w:spacing w:after="156" w:afterLines="50"/>
              <w:ind w:firstLine="0" w:firstLineChars="0"/>
              <w:rPr>
                <w:color w:val="000000" w:themeColor="text1"/>
                <w14:textFill>
                  <w14:solidFill>
                    <w14:schemeClr w14:val="tx1"/>
                  </w14:solidFill>
                </w14:textFill>
              </w:rPr>
            </w:pPr>
            <w:r>
              <w:rPr>
                <w:rFonts w:ascii="Arial" w:hAnsi="Arial" w:cs="Arial"/>
                <w:b/>
                <w:bCs/>
                <w:sz w:val="22"/>
                <w:szCs w:val="22"/>
              </w:rPr>
              <w:t>Inclusion criteria</w:t>
            </w:r>
            <w:r>
              <w:rPr>
                <w:rFonts w:ascii="Arial" w:hAnsi="Arial" w:cs="Arial"/>
                <w:sz w:val="22"/>
                <w:szCs w:val="22"/>
              </w:rPr>
              <w:t xml:space="preserve"> </w:t>
            </w:r>
            <w:r>
              <w:rPr>
                <w:rFonts w:hint="eastAsia" w:ascii="Arial" w:hAnsi="Arial" w:eastAsia="宋体" w:cs="Arial"/>
                <w:sz w:val="22"/>
                <w:szCs w:val="22"/>
                <w:lang w:val="en-US" w:eastAsia="zh-CN"/>
              </w:rPr>
              <w:t xml:space="preserve">  </w:t>
            </w:r>
            <w:r>
              <w:rPr>
                <w:rFonts w:ascii="Times New Roman" w:hAnsi="Times New Roman" w:cs="Times New Roman"/>
                <w:kern w:val="0"/>
              </w:rPr>
              <w:t xml:space="preserve">Each participant must meet all the following criteria to participate in this study: (1) age, 18~70 years; (2) </w:t>
            </w:r>
            <w:r>
              <w:rPr>
                <w:rFonts w:ascii="Times New Roman" w:hAnsi="Times New Roman" w:cs="Times New Roman"/>
                <w:color w:val="000000" w:themeColor="text1"/>
                <w:kern w:val="0"/>
                <w14:textFill>
                  <w14:solidFill>
                    <w14:schemeClr w14:val="tx1"/>
                  </w14:solidFill>
                </w14:textFill>
              </w:rPr>
              <w:t>histologically confirmed squamous carcinoma, adenocarcinoma or adeno-squamous carcinoma of the cervix; (3) FIGO (2009) stage IIB-IVA as evaluated by two senior gynecological oncologists; (4) p</w:t>
            </w:r>
            <w:r>
              <w:rPr>
                <w:rFonts w:ascii="Times New Roman" w:hAnsi="Times New Roman" w:cs="Times New Roman"/>
                <w:color w:val="000000" w:themeColor="text1"/>
                <w14:textFill>
                  <w14:solidFill>
                    <w14:schemeClr w14:val="tx1"/>
                  </w14:solidFill>
                </w14:textFill>
              </w:rPr>
              <w:t xml:space="preserve">erformance status: </w:t>
            </w:r>
            <w:r>
              <w:rPr>
                <w:rFonts w:ascii="Times New Roman" w:hAnsi="Times New Roman" w:eastAsia="AdvTT5235d5a9" w:cs="Times New Roman"/>
              </w:rPr>
              <w:t>Eastern Cooperative Oncology Group</w:t>
            </w:r>
            <w:r>
              <w:rPr>
                <w:rFonts w:ascii="Times New Roman" w:hAnsi="Times New Roman" w:eastAsia="宋体" w:cs="Times New Roman"/>
              </w:rPr>
              <w:t xml:space="preserve"> (</w:t>
            </w:r>
            <w:r>
              <w:rPr>
                <w:rFonts w:ascii="Times New Roman" w:hAnsi="Times New Roman" w:cs="Times New Roman"/>
                <w:color w:val="000000" w:themeColor="text1"/>
                <w14:textFill>
                  <w14:solidFill>
                    <w14:schemeClr w14:val="tx1"/>
                  </w14:solidFill>
                </w14:textFill>
              </w:rPr>
              <w:t xml:space="preserve">ECOG) ≤2; (5) body weight </w:t>
            </w:r>
            <w:r>
              <w:rPr>
                <w:rFonts w:ascii="Times New Roman" w:hAnsi="Times New Roman" w:eastAsia="宋体" w:cs="Times New Roman"/>
                <w:color w:val="000000"/>
              </w:rPr>
              <w:t>≥40 kg</w:t>
            </w:r>
            <w:r>
              <w:rPr>
                <w:rFonts w:ascii="Times New Roman" w:hAnsi="Times New Roman" w:cs="Times New Roman"/>
                <w:color w:val="000000" w:themeColor="text1"/>
                <w14:textFill>
                  <w14:solidFill>
                    <w14:schemeClr w14:val="tx1"/>
                  </w14:solidFill>
                </w14:textFill>
              </w:rPr>
              <w:t xml:space="preserve">; (6) </w:t>
            </w:r>
            <w:r>
              <w:rPr>
                <w:rFonts w:ascii="Times New Roman" w:hAnsi="Times New Roman" w:eastAsia="宋体" w:cs="Times New Roman"/>
                <w:color w:val="000000"/>
                <w:shd w:val="clear" w:color="auto" w:fill="FFFFFF"/>
              </w:rPr>
              <w:t>adequate bone marrow function (</w:t>
            </w:r>
            <w:r>
              <w:rPr>
                <w:rFonts w:ascii="Times New Roman" w:hAnsi="Times New Roman" w:cs="Times New Roman"/>
                <w:color w:val="000000" w:themeColor="text1"/>
                <w14:textFill>
                  <w14:solidFill>
                    <w14:schemeClr w14:val="tx1"/>
                  </w14:solidFill>
                </w14:textFill>
              </w:rPr>
              <w:t>WBC ≥4.0×10</w:t>
            </w:r>
            <w:r>
              <w:rPr>
                <w:rFonts w:ascii="Times New Roman" w:hAnsi="Times New Roman" w:cs="Times New Roman"/>
                <w:color w:val="000000" w:themeColor="text1"/>
                <w:vertAlign w:val="superscript"/>
                <w14:textFill>
                  <w14:solidFill>
                    <w14:schemeClr w14:val="tx1"/>
                  </w14:solidFill>
                </w14:textFill>
              </w:rPr>
              <w:t>9</w:t>
            </w:r>
            <w:r>
              <w:rPr>
                <w:rFonts w:ascii="Times New Roman" w:hAnsi="Times New Roman" w:cs="Times New Roman"/>
                <w:color w:val="000000" w:themeColor="text1"/>
                <w14:textFill>
                  <w14:solidFill>
                    <w14:schemeClr w14:val="tx1"/>
                  </w14:solidFill>
                </w14:textFill>
              </w:rPr>
              <w:t xml:space="preserve">/L, </w:t>
            </w:r>
            <w:r>
              <w:rPr>
                <w:rFonts w:ascii="Times New Roman" w:hAnsi="Times New Roman" w:eastAsia="宋体" w:cs="Times New Roman"/>
                <w:color w:val="000000"/>
                <w:shd w:val="clear" w:color="auto" w:fill="FFFFFF"/>
              </w:rPr>
              <w:t>neutrophils ≥2.0 × 10</w:t>
            </w:r>
            <w:r>
              <w:rPr>
                <w:rFonts w:ascii="Times New Roman" w:hAnsi="Times New Roman" w:eastAsia="宋体" w:cs="Times New Roman"/>
                <w:color w:val="000000"/>
                <w:shd w:val="clear" w:color="auto" w:fill="FFFFFF"/>
                <w:vertAlign w:val="superscript"/>
              </w:rPr>
              <w:t>9</w:t>
            </w:r>
            <w:r>
              <w:rPr>
                <w:rFonts w:ascii="Times New Roman" w:hAnsi="Times New Roman" w:eastAsia="宋体" w:cs="Times New Roman"/>
                <w:color w:val="000000"/>
                <w:shd w:val="clear" w:color="auto" w:fill="FFFFFF"/>
              </w:rPr>
              <w:t xml:space="preserve">/L, </w:t>
            </w:r>
            <w:r>
              <w:rPr>
                <w:rFonts w:ascii="Times New Roman" w:hAnsi="Times New Roman" w:cs="Times New Roman"/>
                <w:color w:val="000000" w:themeColor="text1"/>
                <w14:textFill>
                  <w14:solidFill>
                    <w14:schemeClr w14:val="tx1"/>
                  </w14:solidFill>
                </w14:textFill>
              </w:rPr>
              <w:t>HB</w:t>
            </w:r>
            <w:r>
              <w:rPr>
                <w:rFonts w:ascii="Times New Roman" w:hAnsi="Times New Roman" w:eastAsia="宋体" w:cs="Times New Roman"/>
                <w:color w:val="000000"/>
              </w:rPr>
              <w:t xml:space="preserve"> ≥70 g/L</w:t>
            </w:r>
            <w:r>
              <w:rPr>
                <w:rFonts w:ascii="Times New Roman" w:hAnsi="Times New Roman" w:cs="Times New Roman"/>
                <w:color w:val="000000" w:themeColor="text1"/>
                <w14:textFill>
                  <w14:solidFill>
                    <w14:schemeClr w14:val="tx1"/>
                  </w14:solidFill>
                </w14:textFill>
              </w:rPr>
              <w:t xml:space="preserve"> and platelets ≥100.0×10</w:t>
            </w:r>
            <w:r>
              <w:rPr>
                <w:rFonts w:ascii="Times New Roman" w:hAnsi="Times New Roman" w:cs="Times New Roman"/>
                <w:color w:val="000000" w:themeColor="text1"/>
                <w:vertAlign w:val="superscript"/>
                <w14:textFill>
                  <w14:solidFill>
                    <w14:schemeClr w14:val="tx1"/>
                  </w14:solidFill>
                </w14:textFill>
              </w:rPr>
              <w:t>9</w:t>
            </w:r>
            <w:r>
              <w:rPr>
                <w:rFonts w:ascii="Times New Roman" w:hAnsi="Times New Roman" w:cs="Times New Roman"/>
                <w:color w:val="000000" w:themeColor="text1"/>
                <w14:textFill>
                  <w14:solidFill>
                    <w14:schemeClr w14:val="tx1"/>
                  </w14:solidFill>
                </w14:textFill>
              </w:rPr>
              <w:t xml:space="preserve">/L); </w:t>
            </w:r>
            <w:r>
              <w:rPr>
                <w:rFonts w:ascii="Times New Roman" w:hAnsi="Times New Roman" w:eastAsia="宋体" w:cs="Times New Roman"/>
                <w:color w:val="000000"/>
                <w:shd w:val="clear" w:color="auto" w:fill="FFFFFF"/>
              </w:rPr>
              <w:t xml:space="preserve">adequate liver function </w:t>
            </w:r>
            <w:r>
              <w:rPr>
                <w:rFonts w:ascii="Times New Roman" w:hAnsi="Times New Roman" w:eastAsia="宋体"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 xml:space="preserve">serum bilirubin, ALT, AST and ALP ≤1.0 N); </w:t>
            </w:r>
            <w:r>
              <w:rPr>
                <w:rFonts w:ascii="Times New Roman" w:hAnsi="Times New Roman" w:eastAsia="宋体" w:cs="Times New Roman"/>
                <w:color w:val="000000"/>
                <w:shd w:val="clear" w:color="auto" w:fill="FFFFFF"/>
              </w:rPr>
              <w:t>adequate renal function</w:t>
            </w:r>
            <w:r>
              <w:rPr>
                <w:rFonts w:ascii="Times New Roman" w:hAnsi="Times New Roman" w:eastAsia="宋体" w:cs="Times New Roman"/>
                <w:color w:val="000000" w:themeColor="text1"/>
                <w14:textFill>
                  <w14:solidFill>
                    <w14:schemeClr w14:val="tx1"/>
                  </w14:solidFill>
                </w14:textFill>
              </w:rPr>
              <w:t xml:space="preserve"> (</w:t>
            </w:r>
            <w:r>
              <w:rPr>
                <w:rFonts w:hint="eastAsia" w:ascii="Times New Roman" w:hAnsi="Times New Roman" w:cs="Times New Roman"/>
                <w:color w:val="000000" w:themeColor="text1"/>
                <w14:textFill>
                  <w14:solidFill>
                    <w14:schemeClr w14:val="tx1"/>
                  </w14:solidFill>
                </w14:textFill>
              </w:rPr>
              <w:t>urea nitrogen</w:t>
            </w:r>
            <w:r>
              <w:rPr>
                <w:rFonts w:ascii="Times New Roman" w:hAnsi="Times New Roman" w:cs="Times New Roman"/>
                <w:color w:val="000000" w:themeColor="text1"/>
                <w14:textFill>
                  <w14:solidFill>
                    <w14:schemeClr w14:val="tx1"/>
                  </w14:solidFill>
                </w14:textFill>
              </w:rPr>
              <w:t xml:space="preserve"> ≤1.0 N, Cr≤1.0 N); (7) no active tuberculosis; (8) no pregnancy or lactation; (9) negative HIV test; and (10) </w:t>
            </w:r>
            <w:r>
              <w:rPr>
                <w:rFonts w:ascii="Times New Roman" w:hAnsi="Times New Roman" w:cs="Times New Roman"/>
                <w:color w:val="000000" w:themeColor="text1"/>
                <w:kern w:val="0"/>
                <w14:textFill>
                  <w14:solidFill>
                    <w14:schemeClr w14:val="tx1"/>
                  </w14:solidFill>
                </w14:textFill>
              </w:rPr>
              <w:t>written informed consent before enrollment and before initiation of any procedure.</w:t>
            </w:r>
          </w:p>
          <w:p>
            <w:pPr>
              <w:pStyle w:val="10"/>
              <w:spacing w:after="156" w:afterLines="50"/>
              <w:ind w:firstLine="0" w:firstLineChars="0"/>
              <w:rPr>
                <w:color w:val="000000" w:themeColor="text1"/>
                <w14:textFill>
                  <w14:solidFill>
                    <w14:schemeClr w14:val="tx1"/>
                  </w14:solidFill>
                </w14:textFill>
              </w:rPr>
            </w:pPr>
            <w:r>
              <w:rPr>
                <w:rFonts w:hint="eastAsia" w:ascii="Arial" w:hAnsi="Arial" w:eastAsia="宋体" w:cs="Arial"/>
                <w:color w:val="000000" w:themeColor="text1"/>
                <w:sz w:val="22"/>
                <w:szCs w:val="22"/>
                <w:lang w:val="en-US" w:eastAsia="zh-CN"/>
                <w14:textFill>
                  <w14:solidFill>
                    <w14:schemeClr w14:val="tx1"/>
                  </w14:solidFill>
                </w14:textFill>
              </w:rPr>
              <w:t>Page 4, Methods, paragraph 6 (Exclusion criteria)</w:t>
            </w:r>
          </w:p>
          <w:p>
            <w:pPr>
              <w:pStyle w:val="10"/>
              <w:tabs>
                <w:tab w:val="left" w:pos="735"/>
              </w:tabs>
              <w:spacing w:after="163" w:afterLines="50"/>
              <w:ind w:right="-5" w:firstLine="480"/>
              <w:rPr>
                <w:rFonts w:ascii="Arial" w:hAnsi="Arial" w:cs="Arial"/>
                <w:sz w:val="22"/>
                <w:szCs w:val="22"/>
              </w:rPr>
            </w:pPr>
            <w:r>
              <w:rPr>
                <w:rFonts w:hint="eastAsia" w:ascii="Arial" w:hAnsi="Arial" w:eastAsia="宋体" w:cs="Arial"/>
                <w:b/>
                <w:bCs/>
                <w:sz w:val="22"/>
                <w:szCs w:val="22"/>
                <w:lang w:val="en-US" w:eastAsia="zh-CN"/>
              </w:rPr>
              <w:t>E</w:t>
            </w:r>
            <w:r>
              <w:rPr>
                <w:rFonts w:ascii="Arial" w:hAnsi="Arial" w:cs="Arial"/>
                <w:b/>
                <w:bCs/>
                <w:sz w:val="22"/>
                <w:szCs w:val="22"/>
              </w:rPr>
              <w:t>xclusion criteria</w:t>
            </w:r>
            <w:r>
              <w:rPr>
                <w:rFonts w:hint="eastAsia" w:ascii="Arial" w:hAnsi="Arial" w:eastAsia="宋体" w:cs="Arial"/>
                <w:sz w:val="22"/>
                <w:szCs w:val="22"/>
                <w:lang w:val="en-US" w:eastAsia="zh-CN"/>
              </w:rPr>
              <w:t xml:space="preserve">  </w:t>
            </w:r>
            <w:r>
              <w:rPr>
                <w:rFonts w:ascii="Times New Roman" w:hAnsi="Times New Roman" w:cs="Times New Roman"/>
                <w:color w:val="000000" w:themeColor="text1"/>
                <w:kern w:val="0"/>
                <w14:textFill>
                  <w14:solidFill>
                    <w14:schemeClr w14:val="tx1"/>
                  </w14:solidFill>
                </w14:textFill>
              </w:rPr>
              <w:t>Individuals who meet any of the following criteria will be excluded from the study: (1) previous pelvic malignant diseases treated with chemotherapy or radiotherapy; (2) pelvic or abdominal radiotherapy; (3) s</w:t>
            </w:r>
            <w:r>
              <w:rPr>
                <w:rFonts w:ascii="Times New Roman" w:hAnsi="Times New Roman" w:cs="Times New Roman"/>
                <w:color w:val="000000" w:themeColor="text1"/>
                <w14:textFill>
                  <w14:solidFill>
                    <w14:schemeClr w14:val="tx1"/>
                  </w14:solidFill>
                </w14:textFill>
              </w:rPr>
              <w:t xml:space="preserve">uprarenal lymph </w:t>
            </w:r>
            <w:r>
              <w:rPr>
                <w:rFonts w:ascii="Times New Roman" w:hAnsi="Times New Roman" w:eastAsia="宋体" w:cs="Times New Roman"/>
                <w:color w:val="000000"/>
              </w:rPr>
              <w:t>node</w:t>
            </w:r>
            <w:r>
              <w:rPr>
                <w:rFonts w:ascii="Times New Roman" w:hAnsi="Times New Roman" w:cs="Times New Roman"/>
                <w:color w:val="000000" w:themeColor="text1"/>
                <w14:textFill>
                  <w14:solidFill>
                    <w14:schemeClr w14:val="tx1"/>
                  </w14:solidFill>
                </w14:textFill>
              </w:rPr>
              <w:t xml:space="preserve"> metastasis or distant metastasis detected by </w:t>
            </w:r>
            <w:r>
              <w:rPr>
                <w:rFonts w:hint="eastAsia" w:ascii="Times New Roman" w:hAnsi="Times New Roman" w:cs="Times New Roman"/>
                <w:color w:val="000000" w:themeColor="text1"/>
                <w14:textFill>
                  <w14:solidFill>
                    <w14:schemeClr w14:val="tx1"/>
                  </w14:solidFill>
                </w14:textFill>
              </w:rPr>
              <w:t>PET/CT</w:t>
            </w:r>
            <w:r>
              <w:rPr>
                <w:rFonts w:ascii="Times New Roman" w:hAnsi="Times New Roman" w:cs="Times New Roman"/>
                <w:color w:val="000000" w:themeColor="text1"/>
                <w14:textFill>
                  <w14:solidFill>
                    <w14:schemeClr w14:val="tx1"/>
                  </w14:solidFill>
                </w14:textFill>
              </w:rPr>
              <w:t xml:space="preserve"> or chest/abdominal CT; (4) acute infection or uncontrolled severe medical; (5) pregnant or lactating; (6)</w:t>
            </w:r>
            <w:r>
              <w:rPr>
                <w:rFonts w:ascii="Times New Roman" w:hAnsi="Times New Roman" w:cs="Times New Roman"/>
                <w:color w:val="000000" w:themeColor="text1"/>
                <w:kern w:val="0"/>
                <w14:textFill>
                  <w14:solidFill>
                    <w14:schemeClr w14:val="tx1"/>
                  </w14:solidFill>
                </w14:textFill>
              </w:rPr>
              <w:t xml:space="preserve"> intestinal perforation or acute ileus; (7) uncontrolled cardiac disease (defined as a cardiac function </w:t>
            </w:r>
            <w:r>
              <w:rPr>
                <w:rFonts w:ascii="Times New Roman" w:hAnsi="Times New Roman" w:eastAsia="宋体" w:cs="Times New Roman"/>
                <w:color w:val="000000"/>
                <w:kern w:val="0"/>
              </w:rPr>
              <w:t>that</w:t>
            </w:r>
            <w:r>
              <w:rPr>
                <w:rFonts w:ascii="Times New Roman" w:hAnsi="Times New Roman" w:cs="Times New Roman"/>
                <w:color w:val="000000" w:themeColor="text1"/>
                <w:kern w:val="0"/>
                <w14:textFill>
                  <w14:solidFill>
                    <w14:schemeClr w14:val="tx1"/>
                  </w14:solidFill>
                </w14:textFill>
              </w:rPr>
              <w:t xml:space="preserve"> would preclude hydration during cisplatin administration and any contraindication to paclitaxel); (8) adrenocortical insufficiency; (9) b</w:t>
            </w:r>
            <w:r>
              <w:rPr>
                <w:rFonts w:ascii="Times New Roman" w:hAnsi="Times New Roman" w:cs="Times New Roman"/>
                <w:snapToGrid w:val="0"/>
                <w:color w:val="000000" w:themeColor="text1"/>
                <w:kern w:val="0"/>
                <w14:textFill>
                  <w14:solidFill>
                    <w14:schemeClr w14:val="tx1"/>
                  </w14:solidFill>
                </w14:textFill>
              </w:rPr>
              <w:t xml:space="preserve">one marrow metastasis; </w:t>
            </w:r>
            <w:r>
              <w:rPr>
                <w:rFonts w:ascii="Times New Roman" w:hAnsi="Times New Roman" w:eastAsia="宋体" w:cs="Times New Roman"/>
                <w:snapToGrid w:val="0"/>
                <w:color w:val="000000"/>
                <w:kern w:val="0"/>
              </w:rPr>
              <w:t xml:space="preserve">or </w:t>
            </w:r>
            <w:r>
              <w:rPr>
                <w:rFonts w:ascii="Times New Roman" w:hAnsi="Times New Roman" w:cs="Times New Roman"/>
                <w:snapToGrid w:val="0"/>
                <w:color w:val="000000" w:themeColor="text1"/>
                <w:kern w:val="0"/>
                <w14:textFill>
                  <w14:solidFill>
                    <w14:schemeClr w14:val="tx1"/>
                  </w14:solidFill>
                </w14:textFill>
              </w:rPr>
              <w:t>(10) not meeting requir</w:t>
            </w:r>
            <w:r>
              <w:rPr>
                <w:rFonts w:ascii="Times New Roman" w:hAnsi="Times New Roman" w:cs="Times New Roman"/>
                <w:color w:val="000000" w:themeColor="text1"/>
                <w:kern w:val="0"/>
                <w14:textFill>
                  <w14:solidFill>
                    <w14:schemeClr w14:val="tx1"/>
                  </w14:solidFill>
                </w14:textFill>
              </w:rPr>
              <w:t>ements for chemotherapy.</w:t>
            </w:r>
          </w:p>
        </w:tc>
      </w:tr>
      <w:tr>
        <w:tblPrEx>
          <w:shd w:val="clear" w:color="auto" w:fill="FFFFFF"/>
          <w:tblCellMar>
            <w:top w:w="0" w:type="dxa"/>
            <w:left w:w="56" w:type="dxa"/>
            <w:bottom w:w="0" w:type="dxa"/>
            <w:right w:w="56" w:type="dxa"/>
          </w:tblCellMar>
        </w:tblPrEx>
        <w:trPr>
          <w:cantSplit/>
          <w:trHeight w:val="259" w:hRule="atLeast"/>
        </w:trPr>
        <w:tc>
          <w:tcPr>
            <w:tcW w:w="1758" w:type="dxa"/>
            <w:vMerge w:val="restart"/>
            <w:shd w:val="clear" w:color="auto" w:fill="FFFFFF"/>
            <w:tcMar>
              <w:top w:w="85" w:type="dxa"/>
              <w:bottom w:w="85" w:type="dxa"/>
            </w:tcMar>
          </w:tcPr>
          <w:p>
            <w:pPr>
              <w:rPr>
                <w:rFonts w:ascii="Arial" w:hAnsi="Arial" w:cs="Arial"/>
                <w:sz w:val="22"/>
                <w:szCs w:val="22"/>
              </w:rPr>
            </w:pPr>
            <w:r>
              <w:rPr>
                <w:rFonts w:ascii="Arial" w:hAnsi="Arial" w:cs="Arial"/>
                <w:sz w:val="22"/>
                <w:szCs w:val="22"/>
              </w:rPr>
              <w:t>Interventions</w:t>
            </w:r>
          </w:p>
        </w:tc>
        <w:tc>
          <w:tcPr>
            <w:tcW w:w="610" w:type="dxa"/>
            <w:shd w:val="clear" w:color="auto" w:fill="FFFFFF"/>
          </w:tcPr>
          <w:p>
            <w:pPr>
              <w:rPr>
                <w:rFonts w:ascii="Arial" w:hAnsi="Arial" w:cs="Arial"/>
                <w:sz w:val="22"/>
                <w:szCs w:val="22"/>
              </w:rPr>
            </w:pPr>
            <w:r>
              <w:rPr>
                <w:rFonts w:ascii="Arial" w:hAnsi="Arial" w:cs="Arial"/>
                <w:sz w:val="22"/>
                <w:szCs w:val="22"/>
              </w:rPr>
              <w:t>11a</w:t>
            </w:r>
          </w:p>
        </w:tc>
        <w:tc>
          <w:tcPr>
            <w:tcW w:w="6415" w:type="dxa"/>
            <w:shd w:val="clear" w:color="auto" w:fill="FFFFFF"/>
          </w:tcPr>
          <w:p>
            <w:pPr>
              <w:rPr>
                <w:rFonts w:ascii="Arial" w:hAnsi="Arial" w:cs="Arial"/>
                <w:sz w:val="22"/>
                <w:szCs w:val="22"/>
              </w:rPr>
            </w:pPr>
            <w:r>
              <w:rPr>
                <w:rFonts w:ascii="Arial" w:hAnsi="Arial" w:cs="Arial"/>
                <w:sz w:val="22"/>
                <w:szCs w:val="22"/>
              </w:rPr>
              <w:t>Interventions for each group with sufficient detail to allow replication, including how and when they will be administered</w:t>
            </w:r>
          </w:p>
          <w:p>
            <w:pPr>
              <w:pStyle w:val="10"/>
              <w:spacing w:after="156" w:afterLines="50"/>
              <w:ind w:firstLine="0" w:firstLineChars="0"/>
              <w:rPr>
                <w:rFonts w:ascii="Arial" w:hAnsi="Arial" w:eastAsia="宋体" w:cs="Arial"/>
                <w:color w:val="000000" w:themeColor="text1"/>
                <w:sz w:val="22"/>
                <w:szCs w:val="22"/>
                <w:lang w:val="en-US" w:eastAsia="zh-CN"/>
                <w14:textFill>
                  <w14:solidFill>
                    <w14:schemeClr w14:val="tx1"/>
                  </w14:solidFill>
                </w14:textFill>
              </w:rPr>
            </w:pPr>
          </w:p>
          <w:p>
            <w:pPr>
              <w:pStyle w:val="10"/>
              <w:spacing w:after="156" w:afterLines="50"/>
              <w:ind w:firstLine="0" w:firstLineChars="0"/>
              <w:rPr>
                <w:rFonts w:ascii="Arial" w:hAnsi="Arial" w:cs="Arial"/>
                <w:sz w:val="22"/>
                <w:szCs w:val="22"/>
                <w:lang w:val="en-US"/>
              </w:rPr>
            </w:pPr>
            <w:r>
              <w:rPr>
                <w:rFonts w:hint="eastAsia" w:ascii="Arial" w:hAnsi="Arial" w:eastAsia="宋体" w:cs="Arial"/>
                <w:color w:val="000000" w:themeColor="text1"/>
                <w:sz w:val="22"/>
                <w:szCs w:val="22"/>
                <w:lang w:val="en-US" w:eastAsia="zh-CN"/>
                <w14:textFill>
                  <w14:solidFill>
                    <w14:schemeClr w14:val="tx1"/>
                  </w14:solidFill>
                </w14:textFill>
              </w:rPr>
              <w:t>Page 5, Study procedures and treatments, paragraph 3-4 (Control arm, study arm)</w:t>
            </w:r>
          </w:p>
          <w:p>
            <w:pPr>
              <w:pStyle w:val="3"/>
              <w:shd w:val="clear" w:color="auto" w:fill="FFFFFF"/>
              <w:spacing w:before="145" w:beforeAutospacing="0" w:after="163" w:afterLines="50" w:afterAutospacing="0"/>
              <w:ind w:firstLine="480" w:firstLineChars="200"/>
            </w:pPr>
            <w:r>
              <w:rPr>
                <w:b/>
                <w:bCs/>
              </w:rPr>
              <w:t>Control arm</w:t>
            </w:r>
            <w:r>
              <w:t xml:space="preserve"> Patients will undergo r</w:t>
            </w:r>
            <w:r>
              <w:rPr>
                <w:shd w:val="clear" w:color="auto" w:fill="FFFFFF"/>
              </w:rPr>
              <w:t xml:space="preserve">adiation with concomitant cisplatin (CCRT) </w:t>
            </w:r>
            <w:r>
              <w:rPr>
                <w:bCs/>
              </w:rPr>
              <w:t>treatment as follows: cisplatin (40 mg/m</w:t>
            </w:r>
            <w:r>
              <w:rPr>
                <w:bCs/>
                <w:vertAlign w:val="superscript"/>
              </w:rPr>
              <w:t>2</w:t>
            </w:r>
            <w:r>
              <w:rPr>
                <w:bCs/>
              </w:rPr>
              <w:t>)</w:t>
            </w:r>
            <w:r>
              <w:rPr>
                <w:shd w:val="clear" w:color="auto" w:fill="FFFFFF"/>
              </w:rPr>
              <w:t xml:space="preserve"> will be given with hydration over 1 h (before radiation), weekly for 5 cycles. Radiotherapy to the whole pelvis will be given to a total dose of 45 Gy in 5 weeks. Extended fields will be used to treat </w:t>
            </w:r>
            <w:r>
              <w:rPr>
                <w:rFonts w:eastAsia="宋体"/>
                <w:shd w:val="clear" w:color="auto" w:fill="FFFFFF"/>
              </w:rPr>
              <w:t xml:space="preserve">positive common iliac and/or para-aortic lymph nodes with </w:t>
            </w:r>
            <w:r>
              <w:rPr>
                <w:shd w:val="clear" w:color="auto" w:fill="FFFFFF"/>
              </w:rPr>
              <w:t xml:space="preserve">a total dose of 55-60 Gy. Brachytherapy will be given following completion of external beam radiation therapy. Patients will receive </w:t>
            </w:r>
            <w:r>
              <w:t>image-guided adaptive brachytherapy (IG</w:t>
            </w:r>
            <w:r>
              <w:rPr>
                <w:rFonts w:hint="eastAsia"/>
              </w:rPr>
              <w:t>BR</w:t>
            </w:r>
            <w:r>
              <w:t>T) with</w:t>
            </w:r>
            <w:r>
              <w:rPr>
                <w:shd w:val="clear" w:color="auto" w:fill="FFFFFF"/>
              </w:rPr>
              <w:t xml:space="preserve"> </w:t>
            </w:r>
            <w:r>
              <w:rPr>
                <w:rFonts w:eastAsia="宋体"/>
                <w:color w:val="000000"/>
              </w:rPr>
              <w:t>a</w:t>
            </w:r>
            <w:r>
              <w:rPr>
                <w:rFonts w:eastAsia="宋体"/>
                <w:color w:val="000000"/>
                <w:shd w:val="clear" w:color="auto" w:fill="FFFFFF"/>
              </w:rPr>
              <w:t xml:space="preserve"> high-risk clinical target volume (</w:t>
            </w:r>
            <w:r>
              <w:rPr>
                <w:shd w:val="clear" w:color="auto" w:fill="FFFFFF"/>
              </w:rPr>
              <w:t xml:space="preserve">HRCTV) </w:t>
            </w:r>
            <w:r>
              <w:rPr>
                <w:rFonts w:eastAsia="宋体"/>
              </w:rPr>
              <w:t xml:space="preserve">of </w:t>
            </w:r>
            <w:r>
              <w:rPr>
                <w:shd w:val="clear" w:color="auto" w:fill="FFFFFF"/>
              </w:rPr>
              <w:t>85 Gy in 3-4 fractions.</w:t>
            </w:r>
          </w:p>
          <w:p>
            <w:pPr>
              <w:widowControl/>
              <w:autoSpaceDE w:val="0"/>
              <w:autoSpaceDN w:val="0"/>
              <w:adjustRightInd w:val="0"/>
              <w:spacing w:after="163" w:afterLines="50"/>
              <w:ind w:firstLine="480" w:firstLineChars="200"/>
              <w:rPr>
                <w:rFonts w:ascii="Arial" w:hAnsi="Arial" w:cs="Arial"/>
                <w:sz w:val="22"/>
                <w:szCs w:val="22"/>
              </w:rPr>
            </w:pPr>
            <w:r>
              <w:rPr>
                <w:rFonts w:hint="eastAsia" w:ascii="Times New Roman" w:hAnsi="Times New Roman" w:cs="Times New Roman"/>
                <w:b/>
                <w:bCs/>
              </w:rPr>
              <w:t>Study</w:t>
            </w:r>
            <w:r>
              <w:rPr>
                <w:rFonts w:ascii="Times New Roman" w:hAnsi="Times New Roman" w:cs="Times New Roman"/>
                <w:b/>
                <w:bCs/>
              </w:rPr>
              <w:t xml:space="preserve"> arm</w:t>
            </w:r>
            <w:r>
              <w:rPr>
                <w:rFonts w:ascii="Times New Roman" w:hAnsi="Times New Roman" w:cs="Times New Roman"/>
                <w:color w:val="000000" w:themeColor="text1"/>
                <w14:textFill>
                  <w14:solidFill>
                    <w14:schemeClr w14:val="tx1"/>
                  </w14:solidFill>
                </w14:textFill>
              </w:rPr>
              <w:t xml:space="preserve"> Neoadjuvant chemotherapy will be given weekly for 4 weeks (on days 1,</w:t>
            </w:r>
            <w:r>
              <w:rPr>
                <w:rFonts w:ascii="Times New Roman" w:hAnsi="Times New Roman" w:eastAsia="宋体" w:cs="Times New Roman"/>
                <w:color w:val="000000"/>
              </w:rPr>
              <w:t xml:space="preserve"> </w:t>
            </w:r>
            <w:r>
              <w:rPr>
                <w:rFonts w:ascii="Times New Roman" w:hAnsi="Times New Roman" w:cs="Times New Roman"/>
                <w:color w:val="000000" w:themeColor="text1"/>
                <w14:textFill>
                  <w14:solidFill>
                    <w14:schemeClr w14:val="tx1"/>
                  </w14:solidFill>
                </w14:textFill>
              </w:rPr>
              <w:t>8,</w:t>
            </w:r>
            <w:r>
              <w:rPr>
                <w:rFonts w:ascii="Times New Roman" w:hAnsi="Times New Roman" w:eastAsia="宋体" w:cs="Times New Roman"/>
                <w:color w:val="000000"/>
              </w:rPr>
              <w:t xml:space="preserve"> </w:t>
            </w:r>
            <w:r>
              <w:rPr>
                <w:rFonts w:ascii="Times New Roman" w:hAnsi="Times New Roman" w:cs="Times New Roman"/>
                <w:color w:val="000000" w:themeColor="text1"/>
                <w14:textFill>
                  <w14:solidFill>
                    <w14:schemeClr w14:val="tx1"/>
                  </w14:solidFill>
                </w14:textFill>
              </w:rPr>
              <w:t>15 and 22) as follows: paclitaxel (</w:t>
            </w:r>
            <w:r>
              <w:rPr>
                <w:rFonts w:hint="eastAsia" w:ascii="Times New Roman" w:hAnsi="Times New Roman" w:cs="Times New Roman"/>
                <w:color w:val="000000" w:themeColor="text1"/>
                <w14:textFill>
                  <w14:solidFill>
                    <w14:schemeClr w14:val="tx1"/>
                  </w14:solidFill>
                </w14:textFill>
              </w:rPr>
              <w:t>60</w:t>
            </w:r>
            <w:r>
              <w:rPr>
                <w:rFonts w:ascii="Times New Roman" w:hAnsi="Times New Roman" w:cs="Times New Roman"/>
                <w:color w:val="000000" w:themeColor="text1"/>
                <w14:textFill>
                  <w14:solidFill>
                    <w14:schemeClr w14:val="tx1"/>
                  </w14:solidFill>
                </w14:textFill>
              </w:rPr>
              <w:t xml:space="preserve"> mg/m</w:t>
            </w:r>
            <w:r>
              <w:rPr>
                <w:rFonts w:ascii="Times New Roman" w:hAnsi="Times New Roman" w:cs="Times New Roman"/>
                <w:color w:val="000000" w:themeColor="text1"/>
                <w:vertAlign w:val="superscript"/>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over </w:t>
            </w:r>
            <w:r>
              <w:rPr>
                <w:rFonts w:ascii="Times New Roman" w:hAnsi="Times New Roman" w:eastAsia="宋体" w:cs="Times New Roman"/>
                <w:color w:val="000000"/>
              </w:rPr>
              <w:t>1 h</w:t>
            </w:r>
            <w:r>
              <w:rPr>
                <w:rFonts w:ascii="Times New Roman" w:hAnsi="Times New Roman" w:cs="Times New Roman"/>
                <w:color w:val="000000" w:themeColor="text1"/>
                <w14:textFill>
                  <w14:solidFill>
                    <w14:schemeClr w14:val="tx1"/>
                  </w14:solidFill>
                </w14:textFill>
              </w:rPr>
              <w:t xml:space="preserve"> followed by cisplatin (40 mg/m</w:t>
            </w:r>
            <w:r>
              <w:rPr>
                <w:rFonts w:ascii="Times New Roman" w:hAnsi="Times New Roman" w:cs="Times New Roman"/>
                <w:color w:val="000000" w:themeColor="text1"/>
                <w:vertAlign w:val="superscript"/>
                <w14:textFill>
                  <w14:solidFill>
                    <w14:schemeClr w14:val="tx1"/>
                  </w14:solidFill>
                </w14:textFill>
              </w:rPr>
              <w:t>2</w:t>
            </w:r>
            <w:r>
              <w:rPr>
                <w:rFonts w:ascii="Times New Roman" w:hAnsi="Times New Roman" w:cs="Times New Roman"/>
                <w:color w:val="000000" w:themeColor="text1"/>
                <w14:textFill>
                  <w14:solidFill>
                    <w14:schemeClr w14:val="tx1"/>
                  </w14:solidFill>
                </w14:textFill>
              </w:rPr>
              <w:t xml:space="preserve">) over 30 min, </w:t>
            </w:r>
            <w:r>
              <w:rPr>
                <w:rFonts w:ascii="Times New Roman" w:hAnsi="Times New Roman" w:cs="Times New Roman"/>
                <w:color w:val="000000"/>
                <w:shd w:val="clear" w:color="auto" w:fill="FFFFFF"/>
              </w:rPr>
              <w:t xml:space="preserve">given </w:t>
            </w:r>
            <w:r>
              <w:rPr>
                <w:rFonts w:ascii="Times New Roman" w:hAnsi="Times New Roman" w:cs="Times New Roman"/>
                <w:color w:val="000000" w:themeColor="text1"/>
                <w14:textFill>
                  <w14:solidFill>
                    <w14:schemeClr w14:val="tx1"/>
                  </w14:solidFill>
                </w14:textFill>
              </w:rPr>
              <w:t xml:space="preserve">intravenously </w:t>
            </w:r>
            <w:r>
              <w:rPr>
                <w:rFonts w:ascii="Times New Roman" w:hAnsi="Times New Roman" w:cs="Times New Roman"/>
                <w:color w:val="000000"/>
                <w:shd w:val="clear" w:color="auto" w:fill="FFFFFF"/>
              </w:rPr>
              <w:t xml:space="preserve">with hydration </w:t>
            </w:r>
            <w:r>
              <w:rPr>
                <w:rFonts w:hint="eastAsia" w:ascii="Times New Roman" w:hAnsi="Times New Roman" w:cs="Times New Roman"/>
                <w:color w:val="000000"/>
                <w:shd w:val="clear" w:color="auto" w:fill="FFFFFF"/>
              </w:rPr>
              <w:t>for 3 days (</w:t>
            </w:r>
            <w:r>
              <w:rPr>
                <w:rFonts w:ascii="Times New Roman" w:hAnsi="Times New Roman" w:eastAsia="宋体" w:cs="Times New Roman"/>
                <w:color w:val="000000"/>
              </w:rPr>
              <w:t>3000 ml</w:t>
            </w:r>
            <w:r>
              <w:rPr>
                <w:rFonts w:hint="eastAsia" w:ascii="Times New Roman" w:hAnsi="Times New Roman" w:cs="Times New Roman"/>
                <w:color w:val="000000"/>
                <w:shd w:val="clear" w:color="auto" w:fill="FFFFFF"/>
              </w:rPr>
              <w:t xml:space="preserve"> per day, from the day before </w:t>
            </w:r>
            <w:r>
              <w:rPr>
                <w:rFonts w:ascii="Times New Roman" w:hAnsi="Times New Roman" w:cs="Times New Roman"/>
                <w:color w:val="000000"/>
                <w:shd w:val="clear" w:color="auto" w:fill="FFFFFF"/>
              </w:rPr>
              <w:t xml:space="preserve">the </w:t>
            </w:r>
            <w:r>
              <w:rPr>
                <w:rFonts w:hint="eastAsia" w:ascii="Times New Roman" w:hAnsi="Times New Roman" w:cs="Times New Roman"/>
                <w:color w:val="000000"/>
                <w:shd w:val="clear" w:color="auto" w:fill="FFFFFF"/>
              </w:rPr>
              <w:t xml:space="preserve">dose to the day after </w:t>
            </w:r>
            <w:r>
              <w:rPr>
                <w:rFonts w:ascii="Times New Roman" w:hAnsi="Times New Roman" w:cs="Times New Roman"/>
                <w:color w:val="000000"/>
                <w:shd w:val="clear" w:color="auto" w:fill="FFFFFF"/>
              </w:rPr>
              <w:t xml:space="preserve">the </w:t>
            </w:r>
            <w:r>
              <w:rPr>
                <w:rFonts w:hint="eastAsia" w:ascii="Times New Roman" w:hAnsi="Times New Roman" w:cs="Times New Roman"/>
                <w:color w:val="000000"/>
                <w:shd w:val="clear" w:color="auto" w:fill="FFFFFF"/>
              </w:rPr>
              <w:t>dose)</w:t>
            </w:r>
            <w:r>
              <w:rPr>
                <w:rFonts w:ascii="Times New Roman" w:hAnsi="Times New Roman" w:cs="Times New Roman"/>
                <w:color w:val="000000" w:themeColor="text1"/>
                <w14:textFill>
                  <w14:solidFill>
                    <w14:schemeClr w14:val="tx1"/>
                  </w14:solidFill>
                </w14:textFill>
              </w:rPr>
              <w:t xml:space="preserve">. </w:t>
            </w:r>
          </w:p>
        </w:tc>
      </w:tr>
      <w:tr>
        <w:tblPrEx>
          <w:shd w:val="clear" w:color="auto" w:fill="FFFFFF"/>
          <w:tblCellMar>
            <w:top w:w="0" w:type="dxa"/>
            <w:left w:w="56" w:type="dxa"/>
            <w:bottom w:w="0" w:type="dxa"/>
            <w:right w:w="56" w:type="dxa"/>
          </w:tblCellMar>
        </w:tblPrEx>
        <w:trPr>
          <w:cantSplit/>
          <w:trHeight w:val="259" w:hRule="atLeast"/>
        </w:trPr>
        <w:tc>
          <w:tcPr>
            <w:tcW w:w="1758" w:type="dxa"/>
            <w:vMerge w:val="continue"/>
            <w:shd w:val="clear" w:color="auto" w:fill="FFFFFF"/>
            <w:tcMar>
              <w:top w:w="85" w:type="dxa"/>
              <w:bottom w:w="85" w:type="dxa"/>
            </w:tcMar>
          </w:tcPr>
          <w:p>
            <w:pPr>
              <w:rPr>
                <w:rFonts w:ascii="Arial" w:hAnsi="Arial" w:cs="Arial"/>
                <w:sz w:val="22"/>
                <w:szCs w:val="22"/>
              </w:rPr>
            </w:pPr>
          </w:p>
        </w:tc>
        <w:tc>
          <w:tcPr>
            <w:tcW w:w="610" w:type="dxa"/>
            <w:shd w:val="clear" w:color="auto" w:fill="FFFFFF"/>
          </w:tcPr>
          <w:p>
            <w:pPr>
              <w:rPr>
                <w:rFonts w:ascii="Arial" w:hAnsi="Arial" w:cs="Arial"/>
                <w:sz w:val="22"/>
                <w:szCs w:val="22"/>
              </w:rPr>
            </w:pPr>
            <w:r>
              <w:rPr>
                <w:rFonts w:ascii="Arial" w:hAnsi="Arial" w:cs="Arial"/>
                <w:sz w:val="22"/>
                <w:szCs w:val="22"/>
              </w:rPr>
              <w:t>11b</w:t>
            </w:r>
          </w:p>
        </w:tc>
        <w:tc>
          <w:tcPr>
            <w:tcW w:w="6415" w:type="dxa"/>
            <w:shd w:val="clear" w:color="auto" w:fill="FFFFFF"/>
          </w:tcPr>
          <w:p>
            <w:pPr>
              <w:rPr>
                <w:rFonts w:ascii="Arial" w:hAnsi="Arial" w:cs="Arial"/>
                <w:sz w:val="22"/>
                <w:szCs w:val="22"/>
              </w:rPr>
            </w:pPr>
            <w:r>
              <w:rPr>
                <w:rFonts w:ascii="Arial" w:hAnsi="Arial" w:cs="Arial"/>
                <w:sz w:val="22"/>
                <w:szCs w:val="22"/>
              </w:rPr>
              <w:t>Criteria for discontinuing or modifying allocated interventions for a given trial participant (eg, drug dose change in response to harms, participant request, or improving/worsening disease)</w:t>
            </w:r>
          </w:p>
          <w:p>
            <w:pPr>
              <w:rPr>
                <w:rFonts w:ascii="Arial" w:hAnsi="Arial" w:cs="Arial"/>
                <w:sz w:val="22"/>
                <w:szCs w:val="22"/>
              </w:rPr>
            </w:pPr>
          </w:p>
          <w:p>
            <w:pPr>
              <w:pStyle w:val="10"/>
              <w:spacing w:after="156" w:afterLines="50"/>
              <w:ind w:firstLine="0" w:firstLineChars="0"/>
              <w:rPr>
                <w:rFonts w:ascii="Arial" w:hAnsi="Arial" w:cs="Arial"/>
                <w:sz w:val="22"/>
                <w:szCs w:val="22"/>
                <w:lang w:val="en-US"/>
              </w:rPr>
            </w:pPr>
            <w:r>
              <w:rPr>
                <w:rFonts w:hint="eastAsia" w:ascii="Arial" w:hAnsi="Arial" w:eastAsia="宋体" w:cs="Arial"/>
                <w:color w:val="000000" w:themeColor="text1"/>
                <w:sz w:val="22"/>
                <w:szCs w:val="22"/>
                <w:lang w:val="en-US" w:eastAsia="zh-CN"/>
                <w14:textFill>
                  <w14:solidFill>
                    <w14:schemeClr w14:val="tx1"/>
                  </w14:solidFill>
                </w14:textFill>
              </w:rPr>
              <w:t>Page 5, Study procedures and treatments, paragraph 4 (Study arm)</w:t>
            </w:r>
          </w:p>
          <w:p>
            <w:pPr>
              <w:rPr>
                <w:rFonts w:ascii="Arial" w:hAnsi="Arial" w:cs="Arial"/>
                <w:sz w:val="22"/>
                <w:szCs w:val="22"/>
              </w:rPr>
            </w:pPr>
            <w:r>
              <w:rPr>
                <w:rFonts w:ascii="Times New Roman" w:hAnsi="Times New Roman" w:eastAsia="宋体" w:cs="Times New Roman"/>
                <w:color w:val="000000"/>
                <w:shd w:val="clear" w:color="auto" w:fill="FFFFFF"/>
              </w:rPr>
              <w:t>Both drugs will be delayed if neutrophils are &lt;1.5×10</w:t>
            </w:r>
            <w:r>
              <w:rPr>
                <w:rFonts w:ascii="Times New Roman" w:hAnsi="Times New Roman" w:eastAsia="宋体" w:cs="Times New Roman"/>
                <w:color w:val="000000"/>
                <w:shd w:val="clear" w:color="auto" w:fill="FFFFFF"/>
                <w:vertAlign w:val="superscript"/>
              </w:rPr>
              <w:t>9</w:t>
            </w:r>
            <w:r>
              <w:rPr>
                <w:rFonts w:ascii="Times New Roman" w:hAnsi="Times New Roman" w:eastAsia="宋体" w:cs="Times New Roman"/>
                <w:color w:val="000000"/>
                <w:shd w:val="clear" w:color="auto" w:fill="FFFFFF"/>
              </w:rPr>
              <w:t xml:space="preserve">/L </w:t>
            </w:r>
            <w:r>
              <w:rPr>
                <w:rFonts w:ascii="Times New Roman" w:hAnsi="Times New Roman" w:eastAsia="宋体" w:cs="Times New Roman"/>
                <w:color w:val="000000"/>
              </w:rPr>
              <w:t xml:space="preserve">and/or </w:t>
            </w:r>
            <w:r>
              <w:rPr>
                <w:rFonts w:ascii="Times New Roman" w:hAnsi="Times New Roman" w:eastAsia="宋体" w:cs="Times New Roman"/>
                <w:color w:val="000000"/>
                <w:shd w:val="clear" w:color="auto" w:fill="FFFFFF"/>
              </w:rPr>
              <w:t>platelets are &lt;75×10</w:t>
            </w:r>
            <w:r>
              <w:rPr>
                <w:rFonts w:ascii="Times New Roman" w:hAnsi="Times New Roman" w:eastAsia="宋体" w:cs="Times New Roman"/>
                <w:color w:val="000000"/>
                <w:shd w:val="clear" w:color="auto" w:fill="FFFFFF"/>
                <w:vertAlign w:val="superscript"/>
              </w:rPr>
              <w:t>9</w:t>
            </w:r>
            <w:r>
              <w:rPr>
                <w:rFonts w:ascii="Times New Roman" w:hAnsi="Times New Roman" w:eastAsia="宋体" w:cs="Times New Roman"/>
                <w:color w:val="000000"/>
                <w:shd w:val="clear" w:color="auto" w:fill="FFFFFF"/>
              </w:rPr>
              <w:t xml:space="preserve">/L on the day of treatment until hematologic improvement to grade 1 is achieved. </w:t>
            </w:r>
            <w:r>
              <w:rPr>
                <w:rFonts w:ascii="Times New Roman" w:hAnsi="Times New Roman" w:eastAsia="宋体" w:cs="Times New Roman"/>
                <w:color w:val="000000"/>
              </w:rPr>
              <w:t>The doses</w:t>
            </w:r>
            <w:r>
              <w:rPr>
                <w:rFonts w:ascii="Times New Roman" w:hAnsi="Times New Roman" w:eastAsia="宋体" w:cs="Times New Roman"/>
                <w:color w:val="000000"/>
                <w:shd w:val="clear" w:color="auto" w:fill="FFFFFF"/>
              </w:rPr>
              <w:t xml:space="preserve"> of </w:t>
            </w:r>
            <w:r>
              <w:rPr>
                <w:rFonts w:ascii="Times New Roman" w:hAnsi="Times New Roman" w:cs="Times New Roman"/>
                <w:color w:val="000000" w:themeColor="text1"/>
                <w14:textFill>
                  <w14:solidFill>
                    <w14:schemeClr w14:val="tx1"/>
                  </w14:solidFill>
                </w14:textFill>
              </w:rPr>
              <w:t xml:space="preserve">paclitaxel and cisplatin </w:t>
            </w:r>
            <w:r>
              <w:rPr>
                <w:rFonts w:ascii="Times New Roman" w:hAnsi="Times New Roman" w:eastAsia="宋体" w:cs="Times New Roman"/>
                <w:color w:val="000000"/>
                <w:shd w:val="clear" w:color="auto" w:fill="FFFFFF"/>
              </w:rPr>
              <w:t xml:space="preserve">will be reduced by </w:t>
            </w:r>
            <w:r>
              <w:rPr>
                <w:rFonts w:hint="eastAsia" w:ascii="Times New Roman" w:hAnsi="Times New Roman" w:eastAsia="宋体" w:cs="Times New Roman"/>
                <w:color w:val="000000"/>
                <w:shd w:val="clear" w:color="auto" w:fill="FFFFFF"/>
              </w:rPr>
              <w:t>5</w:t>
            </w:r>
            <w:r>
              <w:rPr>
                <w:rFonts w:ascii="Times New Roman" w:hAnsi="Times New Roman" w:eastAsia="宋体" w:cs="Times New Roman"/>
                <w:color w:val="000000"/>
                <w:shd w:val="clear" w:color="auto" w:fill="FFFFFF"/>
              </w:rPr>
              <w:t xml:space="preserve">0% if neutrophils </w:t>
            </w:r>
            <w:r>
              <w:rPr>
                <w:rFonts w:ascii="Times New Roman" w:hAnsi="Times New Roman" w:eastAsia="宋体" w:cs="Times New Roman"/>
                <w:color w:val="000000"/>
              </w:rPr>
              <w:t>are</w:t>
            </w:r>
            <w:r>
              <w:rPr>
                <w:rFonts w:ascii="Times New Roman" w:hAnsi="Times New Roman" w:eastAsia="宋体" w:cs="Times New Roman"/>
                <w:color w:val="000000"/>
                <w:shd w:val="clear" w:color="auto" w:fill="FFFFFF"/>
              </w:rPr>
              <w:t xml:space="preserve"> (0.5-</w:t>
            </w:r>
            <w:r>
              <w:rPr>
                <w:rFonts w:hint="eastAsia" w:ascii="Times New Roman" w:hAnsi="Times New Roman" w:eastAsia="宋体" w:cs="Times New Roman"/>
                <w:color w:val="000000"/>
                <w:shd w:val="clear" w:color="auto" w:fill="FFFFFF"/>
              </w:rPr>
              <w:t>1.0</w:t>
            </w:r>
            <w:r>
              <w:rPr>
                <w:rFonts w:ascii="Times New Roman" w:hAnsi="Times New Roman" w:eastAsia="宋体" w:cs="Times New Roman"/>
                <w:color w:val="000000"/>
                <w:shd w:val="clear" w:color="auto" w:fill="FFFFFF"/>
              </w:rPr>
              <w:t>)×10</w:t>
            </w:r>
            <w:r>
              <w:rPr>
                <w:rFonts w:ascii="Times New Roman" w:hAnsi="Times New Roman" w:eastAsia="宋体" w:cs="Times New Roman"/>
                <w:color w:val="000000"/>
                <w:shd w:val="clear" w:color="auto" w:fill="FFFFFF"/>
                <w:vertAlign w:val="superscript"/>
              </w:rPr>
              <w:t>9</w:t>
            </w:r>
            <w:r>
              <w:rPr>
                <w:rFonts w:ascii="Times New Roman" w:hAnsi="Times New Roman" w:eastAsia="宋体" w:cs="Times New Roman"/>
                <w:color w:val="000000"/>
                <w:shd w:val="clear" w:color="auto" w:fill="FFFFFF"/>
              </w:rPr>
              <w:t xml:space="preserve">/L </w:t>
            </w:r>
            <w:r>
              <w:rPr>
                <w:rFonts w:ascii="Times New Roman" w:hAnsi="Times New Roman" w:eastAsia="宋体" w:cs="Times New Roman"/>
                <w:color w:val="000000"/>
              </w:rPr>
              <w:t>and/or platelets are</w:t>
            </w:r>
            <w:r>
              <w:rPr>
                <w:rFonts w:ascii="Times New Roman" w:hAnsi="Times New Roman" w:eastAsia="宋体" w:cs="Times New Roman"/>
                <w:color w:val="000000"/>
                <w:shd w:val="clear" w:color="auto" w:fill="FFFFFF"/>
              </w:rPr>
              <w:t xml:space="preserve"> (25-50)×10</w:t>
            </w:r>
            <w:r>
              <w:rPr>
                <w:rFonts w:ascii="Times New Roman" w:hAnsi="Times New Roman" w:eastAsia="宋体" w:cs="Times New Roman"/>
                <w:color w:val="000000"/>
                <w:shd w:val="clear" w:color="auto" w:fill="FFFFFF"/>
                <w:vertAlign w:val="superscript"/>
              </w:rPr>
              <w:t>9</w:t>
            </w:r>
            <w:r>
              <w:rPr>
                <w:rFonts w:ascii="Times New Roman" w:hAnsi="Times New Roman" w:eastAsia="宋体" w:cs="Times New Roman"/>
                <w:color w:val="000000"/>
                <w:shd w:val="clear" w:color="auto" w:fill="FFFFFF"/>
              </w:rPr>
              <w:t>/L.</w:t>
            </w:r>
            <w:r>
              <w:rPr>
                <w:rFonts w:ascii="Times New Roman" w:hAnsi="Times New Roman" w:eastAsia="宋体" w:cs="Times New Roman"/>
                <w:color w:val="000000"/>
              </w:rPr>
              <w:t xml:space="preserve"> </w:t>
            </w:r>
            <w:r>
              <w:rPr>
                <w:rFonts w:ascii="Times New Roman" w:hAnsi="Times New Roman" w:eastAsia="宋体" w:cs="Times New Roman"/>
                <w:color w:val="000000"/>
                <w:shd w:val="clear" w:color="auto" w:fill="FFFFFF"/>
              </w:rPr>
              <w:t>In the event of further hematological toxicity (neutrophils &lt;0.5×10</w:t>
            </w:r>
            <w:r>
              <w:rPr>
                <w:rFonts w:ascii="Times New Roman" w:hAnsi="Times New Roman" w:eastAsia="宋体" w:cs="Times New Roman"/>
                <w:color w:val="000000"/>
                <w:shd w:val="clear" w:color="auto" w:fill="FFFFFF"/>
                <w:vertAlign w:val="superscript"/>
              </w:rPr>
              <w:t>9</w:t>
            </w:r>
            <w:r>
              <w:rPr>
                <w:rFonts w:ascii="Times New Roman" w:hAnsi="Times New Roman" w:eastAsia="宋体" w:cs="Times New Roman"/>
                <w:color w:val="000000"/>
                <w:shd w:val="clear" w:color="auto" w:fill="FFFFFF"/>
              </w:rPr>
              <w:t xml:space="preserve">/L </w:t>
            </w:r>
            <w:r>
              <w:rPr>
                <w:rFonts w:ascii="Times New Roman" w:hAnsi="Times New Roman" w:eastAsia="宋体" w:cs="Times New Roman"/>
                <w:color w:val="000000"/>
              </w:rPr>
              <w:t xml:space="preserve">and/or </w:t>
            </w:r>
            <w:r>
              <w:rPr>
                <w:rFonts w:ascii="Times New Roman" w:hAnsi="Times New Roman" w:eastAsia="宋体" w:cs="Times New Roman"/>
                <w:color w:val="000000"/>
                <w:shd w:val="clear" w:color="auto" w:fill="FFFFFF"/>
              </w:rPr>
              <w:t>platelets &lt;25×10</w:t>
            </w:r>
            <w:r>
              <w:rPr>
                <w:rFonts w:ascii="Times New Roman" w:hAnsi="Times New Roman" w:eastAsia="宋体" w:cs="Times New Roman"/>
                <w:color w:val="000000"/>
                <w:shd w:val="clear" w:color="auto" w:fill="FFFFFF"/>
                <w:vertAlign w:val="superscript"/>
              </w:rPr>
              <w:t>9</w:t>
            </w:r>
            <w:r>
              <w:rPr>
                <w:rFonts w:ascii="Times New Roman" w:hAnsi="Times New Roman" w:eastAsia="宋体" w:cs="Times New Roman"/>
                <w:color w:val="000000"/>
                <w:shd w:val="clear" w:color="auto" w:fill="FFFFFF"/>
              </w:rPr>
              <w:t xml:space="preserve">/L), NACT will be discontinued. Patients with a significant hypersensitivity reaction to paclitaxel or </w:t>
            </w:r>
            <w:r>
              <w:rPr>
                <w:rFonts w:ascii="Times New Roman" w:hAnsi="Times New Roman" w:cs="Times New Roman"/>
                <w:color w:val="000000" w:themeColor="text1"/>
                <w14:textFill>
                  <w14:solidFill>
                    <w14:schemeClr w14:val="tx1"/>
                  </w14:solidFill>
                </w14:textFill>
              </w:rPr>
              <w:t xml:space="preserve">cisplatin </w:t>
            </w:r>
            <w:r>
              <w:rPr>
                <w:rFonts w:ascii="Times New Roman" w:hAnsi="Times New Roman" w:eastAsia="宋体" w:cs="Times New Roman"/>
                <w:color w:val="000000"/>
                <w:shd w:val="clear" w:color="auto" w:fill="FFFFFF"/>
              </w:rPr>
              <w:t xml:space="preserve">will be withdrawn from the study. If NACT is discontinued early, patients </w:t>
            </w:r>
            <w:r>
              <w:rPr>
                <w:rFonts w:ascii="Times New Roman" w:hAnsi="Times New Roman" w:eastAsia="宋体" w:cs="Times New Roman"/>
                <w:color w:val="000000"/>
              </w:rPr>
              <w:t xml:space="preserve">who </w:t>
            </w:r>
            <w:r>
              <w:rPr>
                <w:rFonts w:ascii="Times New Roman" w:hAnsi="Times New Roman" w:eastAsia="宋体" w:cs="Times New Roman"/>
                <w:color w:val="000000"/>
                <w:shd w:val="clear" w:color="auto" w:fill="FFFFFF"/>
              </w:rPr>
              <w:t xml:space="preserve">proceed to CCRT will commence when blood counts have recovered. </w:t>
            </w:r>
            <w:r>
              <w:rPr>
                <w:rFonts w:ascii="Times New Roman" w:hAnsi="Times New Roman" w:cs="Times New Roman"/>
                <w:color w:val="000000" w:themeColor="text1"/>
                <w14:textFill>
                  <w14:solidFill>
                    <w14:schemeClr w14:val="tx1"/>
                  </w14:solidFill>
                </w14:textFill>
              </w:rPr>
              <w:t xml:space="preserve">Within 2 weeks after NACT, patients </w:t>
            </w:r>
            <w:r>
              <w:rPr>
                <w:rFonts w:hint="eastAsia" w:ascii="Times New Roman" w:hAnsi="Times New Roman" w:cs="Times New Roman"/>
                <w:color w:val="000000" w:themeColor="text1"/>
                <w14:textFill>
                  <w14:solidFill>
                    <w14:schemeClr w14:val="tx1"/>
                  </w14:solidFill>
                </w14:textFill>
              </w:rPr>
              <w:t>will be</w:t>
            </w:r>
            <w:r>
              <w:rPr>
                <w:rFonts w:ascii="Times New Roman" w:hAnsi="Times New Roman" w:cs="Times New Roman"/>
                <w:color w:val="000000" w:themeColor="text1"/>
                <w14:textFill>
                  <w14:solidFill>
                    <w14:schemeClr w14:val="tx1"/>
                  </w14:solidFill>
                </w14:textFill>
              </w:rPr>
              <w:t xml:space="preserve"> treated subsequently by CCRT as </w:t>
            </w:r>
            <w:r>
              <w:rPr>
                <w:rFonts w:ascii="Times New Roman" w:hAnsi="Times New Roman" w:eastAsia="宋体" w:cs="Times New Roman"/>
                <w:color w:val="000000"/>
              </w:rPr>
              <w:t xml:space="preserve">the </w:t>
            </w:r>
            <w:r>
              <w:rPr>
                <w:rFonts w:ascii="Times New Roman" w:hAnsi="Times New Roman" w:cs="Times New Roman"/>
                <w:color w:val="000000" w:themeColor="text1"/>
                <w14:textFill>
                  <w14:solidFill>
                    <w14:schemeClr w14:val="tx1"/>
                  </w14:solidFill>
                </w14:textFill>
              </w:rPr>
              <w:t>control arm</w:t>
            </w:r>
            <w:r>
              <w:rPr>
                <w:rFonts w:ascii="Times New Roman" w:hAnsi="Times New Roman" w:cs="Times New Roman"/>
                <w:color w:val="000000"/>
                <w:shd w:val="clear" w:color="auto" w:fill="FFFFFF"/>
              </w:rPr>
              <w:t xml:space="preserve"> as soon as hematological recovery </w:t>
            </w:r>
            <w:r>
              <w:rPr>
                <w:rFonts w:ascii="Times New Roman" w:hAnsi="Times New Roman" w:eastAsia="宋体" w:cs="Times New Roman"/>
                <w:color w:val="000000"/>
              </w:rPr>
              <w:t>permits</w:t>
            </w:r>
            <w:r>
              <w:rPr>
                <w:rFonts w:ascii="Times New Roman" w:hAnsi="Times New Roman" w:cs="Times New Roman"/>
                <w:color w:val="000000"/>
                <w:shd w:val="clear" w:color="auto" w:fill="FFFFFF"/>
              </w:rPr>
              <w:t>.</w:t>
            </w:r>
          </w:p>
        </w:tc>
      </w:tr>
      <w:tr>
        <w:tblPrEx>
          <w:shd w:val="clear" w:color="auto" w:fill="FFFFFF"/>
          <w:tblCellMar>
            <w:top w:w="0" w:type="dxa"/>
            <w:left w:w="56" w:type="dxa"/>
            <w:bottom w:w="0" w:type="dxa"/>
            <w:right w:w="56" w:type="dxa"/>
          </w:tblCellMar>
        </w:tblPrEx>
        <w:trPr>
          <w:cantSplit/>
          <w:trHeight w:val="259" w:hRule="atLeast"/>
        </w:trPr>
        <w:tc>
          <w:tcPr>
            <w:tcW w:w="1758" w:type="dxa"/>
            <w:vMerge w:val="continue"/>
            <w:shd w:val="clear" w:color="auto" w:fill="FFFFFF"/>
            <w:tcMar>
              <w:top w:w="85" w:type="dxa"/>
              <w:bottom w:w="85" w:type="dxa"/>
            </w:tcMar>
          </w:tcPr>
          <w:p>
            <w:pPr>
              <w:rPr>
                <w:rFonts w:ascii="Arial" w:hAnsi="Arial" w:cs="Arial"/>
                <w:sz w:val="22"/>
                <w:szCs w:val="22"/>
              </w:rPr>
            </w:pPr>
          </w:p>
        </w:tc>
        <w:tc>
          <w:tcPr>
            <w:tcW w:w="610" w:type="dxa"/>
            <w:shd w:val="clear" w:color="auto" w:fill="FFFFFF"/>
          </w:tcPr>
          <w:p>
            <w:pPr>
              <w:rPr>
                <w:rFonts w:ascii="Arial" w:hAnsi="Arial" w:cs="Arial"/>
                <w:sz w:val="22"/>
                <w:szCs w:val="22"/>
              </w:rPr>
            </w:pPr>
            <w:r>
              <w:rPr>
                <w:rFonts w:ascii="Arial" w:hAnsi="Arial" w:cs="Arial"/>
                <w:sz w:val="22"/>
                <w:szCs w:val="22"/>
              </w:rPr>
              <w:t>11c</w:t>
            </w:r>
          </w:p>
        </w:tc>
        <w:tc>
          <w:tcPr>
            <w:tcW w:w="6415" w:type="dxa"/>
            <w:shd w:val="clear" w:color="auto" w:fill="FFFFFF"/>
          </w:tcPr>
          <w:p>
            <w:pPr>
              <w:rPr>
                <w:rFonts w:ascii="Arial" w:hAnsi="Arial" w:cs="Arial"/>
                <w:sz w:val="22"/>
                <w:szCs w:val="22"/>
              </w:rPr>
            </w:pPr>
            <w:r>
              <w:rPr>
                <w:rFonts w:ascii="Arial" w:hAnsi="Arial" w:cs="Arial"/>
                <w:sz w:val="22"/>
                <w:szCs w:val="22"/>
              </w:rPr>
              <w:t>Strategies to improve adherence to intervention protocols, and any procedures for monitoring adherence (eg, drug tablet return, laboratory tests)</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ascii="Arial" w:hAnsi="Arial" w:cs="Arial"/>
                <w:sz w:val="22"/>
                <w:szCs w:val="22"/>
              </w:rPr>
              <w:t>Patients will be treated in hospital.</w:t>
            </w:r>
          </w:p>
        </w:tc>
      </w:tr>
      <w:tr>
        <w:tblPrEx>
          <w:shd w:val="clear" w:color="auto" w:fill="FFFFFF"/>
          <w:tblCellMar>
            <w:top w:w="0" w:type="dxa"/>
            <w:left w:w="56" w:type="dxa"/>
            <w:bottom w:w="0" w:type="dxa"/>
            <w:right w:w="56" w:type="dxa"/>
          </w:tblCellMar>
        </w:tblPrEx>
        <w:trPr>
          <w:cantSplit/>
          <w:trHeight w:val="259" w:hRule="atLeast"/>
        </w:trPr>
        <w:tc>
          <w:tcPr>
            <w:tcW w:w="1758" w:type="dxa"/>
            <w:vMerge w:val="continue"/>
            <w:shd w:val="clear" w:color="auto" w:fill="FFFFFF"/>
            <w:tcMar>
              <w:top w:w="85" w:type="dxa"/>
              <w:bottom w:w="85" w:type="dxa"/>
            </w:tcMar>
          </w:tcPr>
          <w:p>
            <w:pPr>
              <w:rPr>
                <w:rFonts w:ascii="Arial" w:hAnsi="Arial" w:cs="Arial"/>
                <w:sz w:val="22"/>
                <w:szCs w:val="22"/>
              </w:rPr>
            </w:pPr>
          </w:p>
        </w:tc>
        <w:tc>
          <w:tcPr>
            <w:tcW w:w="610" w:type="dxa"/>
            <w:shd w:val="clear" w:color="auto" w:fill="FFFFFF"/>
          </w:tcPr>
          <w:p>
            <w:pPr>
              <w:rPr>
                <w:rFonts w:ascii="Arial" w:hAnsi="Arial" w:cs="Arial"/>
                <w:sz w:val="22"/>
                <w:szCs w:val="22"/>
              </w:rPr>
            </w:pPr>
            <w:r>
              <w:rPr>
                <w:rFonts w:ascii="Arial" w:hAnsi="Arial" w:cs="Arial"/>
                <w:sz w:val="22"/>
                <w:szCs w:val="22"/>
              </w:rPr>
              <w:t>11d</w:t>
            </w:r>
          </w:p>
        </w:tc>
        <w:tc>
          <w:tcPr>
            <w:tcW w:w="6415" w:type="dxa"/>
            <w:shd w:val="clear" w:color="auto" w:fill="FFFFFF"/>
          </w:tcPr>
          <w:p>
            <w:pPr>
              <w:rPr>
                <w:rFonts w:ascii="Arial" w:hAnsi="Arial" w:cs="Arial"/>
                <w:sz w:val="22"/>
                <w:szCs w:val="22"/>
              </w:rPr>
            </w:pPr>
            <w:r>
              <w:rPr>
                <w:rFonts w:ascii="Arial" w:hAnsi="Arial" w:cs="Arial"/>
                <w:sz w:val="22"/>
                <w:szCs w:val="22"/>
              </w:rPr>
              <w:t>Relevant concomitant care and interventions that are permitted or prohibited during the trial</w:t>
            </w:r>
          </w:p>
          <w:p>
            <w:pPr>
              <w:rPr>
                <w:rFonts w:ascii="Arial" w:hAnsi="Arial" w:cs="Arial"/>
                <w:sz w:val="22"/>
                <w:szCs w:val="22"/>
              </w:rPr>
            </w:pPr>
          </w:p>
          <w:p>
            <w:pPr>
              <w:pStyle w:val="10"/>
              <w:spacing w:after="156" w:afterLines="50"/>
              <w:ind w:firstLine="0" w:firstLineChars="0"/>
              <w:rPr>
                <w:rFonts w:ascii="Arial" w:hAnsi="Arial" w:cs="Arial"/>
                <w:sz w:val="22"/>
                <w:szCs w:val="22"/>
              </w:rPr>
            </w:pPr>
            <w:r>
              <w:rPr>
                <w:rFonts w:hint="eastAsia" w:ascii="Arial" w:hAnsi="Arial" w:eastAsia="宋体" w:cs="Arial"/>
                <w:color w:val="000000" w:themeColor="text1"/>
                <w:sz w:val="22"/>
                <w:szCs w:val="22"/>
                <w:lang w:val="en-US" w:eastAsia="zh-CN"/>
                <w14:textFill>
                  <w14:solidFill>
                    <w14:schemeClr w14:val="tx1"/>
                  </w14:solidFill>
                </w14:textFill>
              </w:rPr>
              <w:t>Page 5, Study procedures and treatments, paragraph 4 (Study arm)</w:t>
            </w:r>
          </w:p>
          <w:p>
            <w:pPr>
              <w:rPr>
                <w:rFonts w:ascii="Arial" w:hAnsi="Arial" w:eastAsia="宋体" w:cs="Arial"/>
                <w:sz w:val="22"/>
                <w:szCs w:val="22"/>
                <w:lang w:val="en-US" w:eastAsia="zh-CN"/>
              </w:rPr>
            </w:pPr>
            <w:r>
              <w:rPr>
                <w:rFonts w:ascii="Arial" w:hAnsi="Arial" w:cs="Arial"/>
                <w:sz w:val="22"/>
                <w:szCs w:val="22"/>
              </w:rPr>
              <w:t>Adequate hydration should be given during the usage of cisplatin.</w:t>
            </w:r>
            <w:r>
              <w:rPr>
                <w:rFonts w:hint="eastAsia" w:ascii="Arial" w:hAnsi="Arial" w:eastAsia="宋体" w:cs="Arial"/>
                <w:sz w:val="22"/>
                <w:szCs w:val="22"/>
                <w:lang w:val="en-US" w:eastAsia="zh-CN"/>
              </w:rPr>
              <w:t xml:space="preserve"> </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Outcomes</w:t>
            </w:r>
          </w:p>
        </w:tc>
        <w:tc>
          <w:tcPr>
            <w:tcW w:w="610" w:type="dxa"/>
            <w:shd w:val="clear" w:color="auto" w:fill="FFFFFF"/>
          </w:tcPr>
          <w:p>
            <w:pPr>
              <w:rPr>
                <w:rFonts w:ascii="Arial" w:hAnsi="Arial" w:cs="Arial"/>
                <w:sz w:val="22"/>
                <w:szCs w:val="22"/>
              </w:rPr>
            </w:pPr>
            <w:r>
              <w:rPr>
                <w:rFonts w:ascii="Arial" w:hAnsi="Arial" w:cs="Arial"/>
                <w:sz w:val="22"/>
                <w:szCs w:val="22"/>
              </w:rPr>
              <w:t>12</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p>
            <w:pPr>
              <w:pStyle w:val="10"/>
              <w:spacing w:after="156" w:afterLines="50"/>
              <w:ind w:firstLine="0" w:firstLineChars="0"/>
              <w:rPr>
                <w:rFonts w:ascii="Arial" w:hAnsi="Arial" w:eastAsia="宋体" w:cs="Arial"/>
                <w:color w:val="000000" w:themeColor="text1"/>
                <w:sz w:val="22"/>
                <w:szCs w:val="22"/>
                <w:lang w:val="en-US" w:eastAsia="zh-CN"/>
                <w14:textFill>
                  <w14:solidFill>
                    <w14:schemeClr w14:val="tx1"/>
                  </w14:solidFill>
                </w14:textFill>
              </w:rPr>
            </w:pPr>
          </w:p>
          <w:p>
            <w:pPr>
              <w:pStyle w:val="10"/>
              <w:spacing w:after="156" w:afterLines="50"/>
              <w:ind w:firstLine="0" w:firstLineChars="0"/>
              <w:rPr>
                <w:rFonts w:ascii="Arial" w:hAnsi="Arial" w:cs="Arial"/>
                <w:sz w:val="22"/>
                <w:szCs w:val="22"/>
                <w:lang w:val="en-US"/>
              </w:rPr>
            </w:pPr>
            <w:r>
              <w:rPr>
                <w:rFonts w:hint="eastAsia" w:ascii="Arial" w:hAnsi="Arial" w:eastAsia="宋体" w:cs="Arial"/>
                <w:color w:val="000000" w:themeColor="text1"/>
                <w:sz w:val="22"/>
                <w:szCs w:val="22"/>
                <w:lang w:val="en-US" w:eastAsia="zh-CN"/>
                <w14:textFill>
                  <w14:solidFill>
                    <w14:schemeClr w14:val="tx1"/>
                  </w14:solidFill>
                </w14:textFill>
              </w:rPr>
              <w:t>Page 5-6, Study outcomes, paragraph 1-4</w:t>
            </w:r>
          </w:p>
          <w:p>
            <w:pPr>
              <w:spacing w:after="163" w:afterLines="50"/>
              <w:ind w:firstLine="480" w:firstLineChars="200"/>
              <w:rPr>
                <w:rFonts w:ascii="Times New Roman" w:hAnsi="Times New Roman" w:cs="Times New Roman"/>
              </w:rPr>
            </w:pPr>
            <w:r>
              <w:rPr>
                <w:rFonts w:ascii="Times New Roman" w:hAnsi="Times New Roman" w:cs="Times New Roman"/>
                <w:b/>
                <w:bCs/>
              </w:rPr>
              <w:t>Primary endpoint</w:t>
            </w:r>
            <w:r>
              <w:rPr>
                <w:rFonts w:ascii="Times New Roman" w:hAnsi="Times New Roman" w:cs="Times New Roman"/>
              </w:rPr>
              <w:t xml:space="preserve"> The primary aim of this trial will be </w:t>
            </w:r>
            <w:r>
              <w:rPr>
                <w:rFonts w:ascii="Times New Roman" w:hAnsi="Times New Roman" w:eastAsia="宋体" w:cs="Times New Roman"/>
              </w:rPr>
              <w:t>to compare</w:t>
            </w:r>
            <w:r>
              <w:rPr>
                <w:rFonts w:ascii="Times New Roman" w:hAnsi="Times New Roman" w:cs="Times New Roman"/>
              </w:rPr>
              <w:t xml:space="preserve"> the 2-year disease</w:t>
            </w:r>
            <w:r>
              <w:rPr>
                <w:rFonts w:ascii="Times New Roman" w:hAnsi="Times New Roman" w:eastAsia="宋体" w:cs="Times New Roman"/>
              </w:rPr>
              <w:t>-</w:t>
            </w:r>
            <w:r>
              <w:rPr>
                <w:rFonts w:ascii="Times New Roman" w:hAnsi="Times New Roman" w:cs="Times New Roman"/>
              </w:rPr>
              <w:t>free survival</w:t>
            </w:r>
            <w:r>
              <w:rPr>
                <w:rFonts w:hint="eastAsia" w:ascii="Times New Roman" w:hAnsi="Times New Roman" w:cs="Times New Roman"/>
              </w:rPr>
              <w:t xml:space="preserve"> </w:t>
            </w:r>
            <w:r>
              <w:rPr>
                <w:rFonts w:ascii="Times New Roman" w:hAnsi="Times New Roman" w:cs="Times New Roman"/>
              </w:rPr>
              <w:t>(DFS) difference between dose-dense NACT followed by CCRT and CCRT alone. Five-year overall survival (OS) and disease-free survival (DFS) rates will be recorded. We will test the hypothesis: compared with CCRT alone, dose-dense NACT followed by CCRT can significantly improve 2-year DFS and 5-year OS and DFS in stage IIB-IVA cervical cancer patients.</w:t>
            </w:r>
          </w:p>
          <w:p>
            <w:pPr>
              <w:spacing w:after="163" w:afterLines="50"/>
              <w:ind w:firstLine="480" w:firstLineChars="200"/>
              <w:rPr>
                <w:rFonts w:ascii="Times New Roman" w:hAnsi="Times New Roman" w:cs="Times New Roman"/>
              </w:rPr>
            </w:pPr>
            <w:r>
              <w:rPr>
                <w:rFonts w:hint="eastAsia" w:ascii="Times New Roman" w:hAnsi="Times New Roman" w:cs="Times New Roman"/>
                <w:b/>
                <w:bCs/>
              </w:rPr>
              <w:t>Second</w:t>
            </w:r>
            <w:r>
              <w:rPr>
                <w:rFonts w:ascii="Times New Roman" w:hAnsi="Times New Roman" w:cs="Times New Roman"/>
                <w:b/>
                <w:bCs/>
              </w:rPr>
              <w:t>ary</w:t>
            </w:r>
            <w:r>
              <w:rPr>
                <w:rFonts w:hint="eastAsia" w:ascii="Times New Roman" w:hAnsi="Times New Roman" w:cs="Times New Roman"/>
                <w:b/>
                <w:bCs/>
              </w:rPr>
              <w:t xml:space="preserve"> endpoint</w:t>
            </w:r>
            <w:r>
              <w:rPr>
                <w:rFonts w:ascii="Times New Roman" w:hAnsi="Times New Roman" w:eastAsia="宋体" w:cs="Times New Roman"/>
              </w:rPr>
              <w:t xml:space="preserve"> </w:t>
            </w:r>
            <w:r>
              <w:rPr>
                <w:rFonts w:ascii="Times New Roman" w:hAnsi="Times New Roman" w:cs="Times New Roman"/>
              </w:rPr>
              <w:t xml:space="preserve">The secondary specific aim of this trial will be a comparison of the response rate 3 months after treatment completion. In </w:t>
            </w:r>
            <w:r>
              <w:rPr>
                <w:rFonts w:ascii="Times New Roman" w:hAnsi="Times New Roman" w:eastAsia="宋体" w:cs="Times New Roman"/>
              </w:rPr>
              <w:t>addition, the</w:t>
            </w:r>
            <w:r>
              <w:rPr>
                <w:rFonts w:ascii="Times New Roman" w:hAnsi="Times New Roman" w:cs="Times New Roman"/>
              </w:rPr>
              <w:t xml:space="preserve"> response rate for NACT </w:t>
            </w:r>
            <w:r>
              <w:rPr>
                <w:rFonts w:ascii="Times New Roman" w:hAnsi="Times New Roman" w:eastAsia="宋体" w:cs="Times New Roman"/>
              </w:rPr>
              <w:t xml:space="preserve">will </w:t>
            </w:r>
            <w:r>
              <w:rPr>
                <w:rFonts w:ascii="Times New Roman" w:hAnsi="Times New Roman" w:cs="Times New Roman"/>
              </w:rPr>
              <w:t xml:space="preserve">also be recorded. The response rate will be assessed by two radiologists blinded to </w:t>
            </w:r>
            <w:r>
              <w:rPr>
                <w:rFonts w:ascii="Times New Roman" w:hAnsi="Times New Roman" w:eastAsia="宋体" w:cs="Times New Roman"/>
              </w:rPr>
              <w:t xml:space="preserve">the </w:t>
            </w:r>
            <w:r>
              <w:rPr>
                <w:rFonts w:ascii="Times New Roman" w:hAnsi="Times New Roman" w:cs="Times New Roman"/>
              </w:rPr>
              <w:t>treatment option based on RECIST 1.1 criteria. We will test the hypothesis: dose-dense NACT followed by CCRT will have a higher response rate at 3 months than CCRT alone.</w:t>
            </w:r>
          </w:p>
          <w:p>
            <w:pPr>
              <w:widowControl/>
              <w:spacing w:after="163" w:afterLines="50"/>
              <w:ind w:firstLine="480" w:firstLineChars="200"/>
              <w:rPr>
                <w:rFonts w:ascii="Times New Roman" w:hAnsi="Times New Roman" w:cs="Times New Roman"/>
              </w:rPr>
            </w:pPr>
            <w:r>
              <w:rPr>
                <w:rFonts w:hint="eastAsia" w:ascii="Times New Roman" w:hAnsi="Times New Roman" w:cs="Times New Roman"/>
                <w:b/>
                <w:bCs/>
              </w:rPr>
              <w:t>Tertiary endpoint</w:t>
            </w:r>
            <w:r>
              <w:rPr>
                <w:rFonts w:ascii="Times New Roman" w:hAnsi="Times New Roman" w:eastAsia="宋体" w:cs="Times New Roman"/>
              </w:rPr>
              <w:t xml:space="preserve"> </w:t>
            </w:r>
            <w:r>
              <w:rPr>
                <w:rFonts w:ascii="Times New Roman" w:hAnsi="Times New Roman" w:cs="Times New Roman"/>
              </w:rPr>
              <w:t xml:space="preserve">The tertiary specific aim of this trial will be to measure the difference </w:t>
            </w:r>
            <w:r>
              <w:rPr>
                <w:rFonts w:ascii="Times New Roman" w:hAnsi="Times New Roman" w:eastAsia="宋体" w:cs="Times New Roman"/>
              </w:rPr>
              <w:t>in</w:t>
            </w:r>
            <w:r>
              <w:rPr>
                <w:rFonts w:ascii="Times New Roman" w:hAnsi="Times New Roman" w:cs="Times New Roman"/>
              </w:rPr>
              <w:t xml:space="preserve"> adverse effects and quality of life between </w:t>
            </w:r>
            <w:r>
              <w:rPr>
                <w:rFonts w:ascii="Times New Roman" w:hAnsi="Times New Roman" w:eastAsia="宋体" w:cs="Times New Roman"/>
              </w:rPr>
              <w:t xml:space="preserve">the </w:t>
            </w:r>
            <w:r>
              <w:rPr>
                <w:rFonts w:ascii="Times New Roman" w:hAnsi="Times New Roman" w:cs="Times New Roman"/>
              </w:rPr>
              <w:t>two groups. All grade III/IV acute and late toxicities will be considered significant. We will measure quality</w:t>
            </w:r>
            <w:r>
              <w:rPr>
                <w:rFonts w:ascii="Times New Roman" w:hAnsi="Times New Roman" w:eastAsia="宋体" w:cs="Times New Roman"/>
              </w:rPr>
              <w:t xml:space="preserve"> </w:t>
            </w:r>
            <w:r>
              <w:rPr>
                <w:rFonts w:ascii="Times New Roman" w:hAnsi="Times New Roman" w:cs="Times New Roman"/>
              </w:rPr>
              <w:t>of</w:t>
            </w:r>
            <w:r>
              <w:rPr>
                <w:rFonts w:ascii="Times New Roman" w:hAnsi="Times New Roman" w:eastAsia="宋体" w:cs="Times New Roman"/>
              </w:rPr>
              <w:t xml:space="preserve"> </w:t>
            </w:r>
            <w:r>
              <w:rPr>
                <w:rFonts w:ascii="Times New Roman" w:hAnsi="Times New Roman" w:cs="Times New Roman"/>
              </w:rPr>
              <w:t xml:space="preserve">life with the EORTC QLQ-30 (V3.0) and CX24. We will test the hypothesis: there will be no difference in </w:t>
            </w:r>
            <w:r>
              <w:rPr>
                <w:rFonts w:ascii="Times New Roman" w:hAnsi="Times New Roman" w:eastAsia="宋体" w:cs="Times New Roman"/>
              </w:rPr>
              <w:t xml:space="preserve">the </w:t>
            </w:r>
            <w:r>
              <w:rPr>
                <w:rFonts w:ascii="Times New Roman" w:hAnsi="Times New Roman" w:cs="Times New Roman"/>
              </w:rPr>
              <w:t xml:space="preserve">incidence and severity of therapy-attributed adverse events between </w:t>
            </w:r>
            <w:r>
              <w:rPr>
                <w:rFonts w:ascii="Times New Roman" w:hAnsi="Times New Roman" w:eastAsia="宋体" w:cs="Times New Roman"/>
              </w:rPr>
              <w:t xml:space="preserve">the </w:t>
            </w:r>
            <w:r>
              <w:rPr>
                <w:rFonts w:ascii="Times New Roman" w:hAnsi="Times New Roman" w:cs="Times New Roman"/>
              </w:rPr>
              <w:t>two groups. Dose-dense NACT followed by CCRT will result in</w:t>
            </w:r>
            <w:r>
              <w:rPr>
                <w:rFonts w:ascii="Times New Roman" w:hAnsi="Times New Roman" w:eastAsia="宋体" w:cs="Times New Roman"/>
              </w:rPr>
              <w:t xml:space="preserve"> a</w:t>
            </w:r>
            <w:r>
              <w:rPr>
                <w:rFonts w:ascii="Times New Roman" w:hAnsi="Times New Roman" w:cs="Times New Roman"/>
              </w:rPr>
              <w:t xml:space="preserve"> higher quality</w:t>
            </w:r>
            <w:r>
              <w:rPr>
                <w:rFonts w:ascii="Times New Roman" w:hAnsi="Times New Roman" w:eastAsia="宋体" w:cs="Times New Roman"/>
              </w:rPr>
              <w:t xml:space="preserve"> </w:t>
            </w:r>
            <w:r>
              <w:rPr>
                <w:rFonts w:ascii="Times New Roman" w:hAnsi="Times New Roman" w:cs="Times New Roman"/>
              </w:rPr>
              <w:t>of</w:t>
            </w:r>
            <w:r>
              <w:rPr>
                <w:rFonts w:ascii="Times New Roman" w:hAnsi="Times New Roman" w:eastAsia="宋体" w:cs="Times New Roman"/>
              </w:rPr>
              <w:t xml:space="preserve"> </w:t>
            </w:r>
            <w:r>
              <w:rPr>
                <w:rFonts w:ascii="Times New Roman" w:hAnsi="Times New Roman" w:cs="Times New Roman"/>
              </w:rPr>
              <w:t>life than CCRT alone.</w:t>
            </w:r>
          </w:p>
          <w:p>
            <w:pPr>
              <w:rPr>
                <w:rFonts w:ascii="Arial" w:hAnsi="Arial" w:cs="Arial"/>
                <w:sz w:val="22"/>
                <w:szCs w:val="22"/>
              </w:rPr>
            </w:pPr>
            <w:r>
              <w:rPr>
                <w:rFonts w:hint="eastAsia" w:ascii="Times New Roman" w:hAnsi="Times New Roman" w:cs="Times New Roman"/>
                <w:b/>
                <w:bCs/>
              </w:rPr>
              <w:t>Quaternary endpoint</w:t>
            </w:r>
            <w:r>
              <w:rPr>
                <w:rFonts w:hint="eastAsia" w:ascii="Times New Roman" w:hAnsi="Times New Roman" w:cs="Times New Roman"/>
              </w:rPr>
              <w:t xml:space="preserve"> </w:t>
            </w:r>
            <w:r>
              <w:rPr>
                <w:rFonts w:ascii="Times New Roman" w:hAnsi="Times New Roman" w:cs="Times New Roman"/>
              </w:rPr>
              <w:t>The quaternary specific aim of this trial will be to identify predictive biomarkers of treatment response. By collecting tissue and blood samples, including samples from recurrent tumors, before and after NACT and before and after CCRT</w:t>
            </w:r>
            <w:r>
              <w:t xml:space="preserve"> (if there is residual tumor available after treatment)</w:t>
            </w:r>
            <w:r>
              <w:rPr>
                <w:rFonts w:ascii="Times New Roman" w:hAnsi="Times New Roman" w:cs="Times New Roman"/>
              </w:rPr>
              <w:t xml:space="preserve">, we intend to compare differences in gene expression </w:t>
            </w:r>
            <w:r>
              <w:rPr>
                <w:rFonts w:ascii="Times New Roman" w:hAnsi="Times New Roman" w:eastAsia="宋体" w:cs="Times New Roman"/>
              </w:rPr>
              <w:t>profiles</w:t>
            </w:r>
            <w:r>
              <w:rPr>
                <w:rFonts w:ascii="Times New Roman" w:hAnsi="Times New Roman" w:cs="Times New Roman"/>
              </w:rPr>
              <w:t xml:space="preserve"> in responding and </w:t>
            </w:r>
            <w:r>
              <w:rPr>
                <w:rFonts w:ascii="Times New Roman" w:hAnsi="Times New Roman" w:eastAsia="宋体" w:cs="Times New Roman"/>
              </w:rPr>
              <w:t>nonresponding</w:t>
            </w:r>
            <w:r>
              <w:rPr>
                <w:rFonts w:ascii="Times New Roman" w:hAnsi="Times New Roman" w:cs="Times New Roman"/>
              </w:rPr>
              <w:t xml:space="preserve"> subgroups in each treatment arm. We will test the hypothesis: there will be different gene expression profiles in responding and nonresponding groups, independent of the treatment group assignment.</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Participant timeline</w:t>
            </w:r>
          </w:p>
        </w:tc>
        <w:tc>
          <w:tcPr>
            <w:tcW w:w="610" w:type="dxa"/>
            <w:shd w:val="clear" w:color="auto" w:fill="FFFFFF"/>
          </w:tcPr>
          <w:p>
            <w:pPr>
              <w:rPr>
                <w:rFonts w:ascii="Arial" w:hAnsi="Arial" w:cs="Arial"/>
                <w:sz w:val="22"/>
                <w:szCs w:val="22"/>
              </w:rPr>
            </w:pPr>
            <w:r>
              <w:rPr>
                <w:rFonts w:ascii="Arial" w:hAnsi="Arial" w:cs="Arial"/>
                <w:sz w:val="22"/>
                <w:szCs w:val="22"/>
              </w:rPr>
              <w:t>13</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Time schedule of enrolment, interventions (including any run-ins and washouts), assessments, and visits for participants. A schematic diagram is highly recommended (see Figure)</w:t>
            </w:r>
          </w:p>
          <w:p>
            <w:pPr>
              <w:rPr>
                <w:rFonts w:ascii="Arial" w:hAnsi="Arial" w:cs="Arial"/>
                <w:sz w:val="22"/>
                <w:szCs w:val="22"/>
              </w:rPr>
            </w:pPr>
          </w:p>
          <w:p>
            <w:pPr>
              <w:pStyle w:val="10"/>
              <w:spacing w:after="156" w:afterLines="50"/>
              <w:ind w:firstLine="0" w:firstLineChars="0"/>
              <w:rPr>
                <w:rFonts w:ascii="Arial" w:hAnsi="Arial" w:cs="Arial"/>
                <w:sz w:val="22"/>
                <w:szCs w:val="22"/>
                <w:lang w:val="en-US"/>
              </w:rPr>
            </w:pPr>
            <w:r>
              <w:rPr>
                <w:rFonts w:hint="eastAsia" w:ascii="Arial" w:hAnsi="Arial" w:eastAsia="宋体" w:cs="Arial"/>
                <w:color w:val="000000" w:themeColor="text1"/>
                <w:sz w:val="22"/>
                <w:szCs w:val="22"/>
                <w:lang w:val="en-US" w:eastAsia="zh-CN"/>
                <w14:textFill>
                  <w14:solidFill>
                    <w14:schemeClr w14:val="tx1"/>
                  </w14:solidFill>
                </w14:textFill>
              </w:rPr>
              <w:t>Figure 2</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Sample size</w:t>
            </w:r>
          </w:p>
        </w:tc>
        <w:tc>
          <w:tcPr>
            <w:tcW w:w="610" w:type="dxa"/>
            <w:shd w:val="clear" w:color="auto" w:fill="FFFFFF"/>
          </w:tcPr>
          <w:p>
            <w:pPr>
              <w:rPr>
                <w:rFonts w:ascii="Arial" w:hAnsi="Arial" w:cs="Arial"/>
                <w:sz w:val="22"/>
                <w:szCs w:val="22"/>
              </w:rPr>
            </w:pPr>
            <w:r>
              <w:rPr>
                <w:rFonts w:ascii="Arial" w:hAnsi="Arial" w:cs="Arial"/>
                <w:sz w:val="22"/>
                <w:szCs w:val="22"/>
              </w:rPr>
              <w:t>14</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Estimated number of participants needed to achieve study objectives and how it was determined, including clinical and statistical assumptions supporting any sample size calculations</w:t>
            </w:r>
          </w:p>
          <w:p>
            <w:pPr>
              <w:rPr>
                <w:rFonts w:ascii="Arial" w:hAnsi="Arial" w:cs="Arial"/>
                <w:sz w:val="22"/>
                <w:szCs w:val="22"/>
              </w:rPr>
            </w:pPr>
          </w:p>
          <w:p>
            <w:pPr>
              <w:pStyle w:val="10"/>
              <w:spacing w:after="156" w:afterLines="50"/>
              <w:ind w:firstLine="0" w:firstLineChars="0"/>
              <w:rPr>
                <w:rFonts w:ascii="Arial" w:hAnsi="Arial" w:cs="Arial"/>
                <w:sz w:val="22"/>
                <w:szCs w:val="22"/>
                <w:lang w:val="en-US"/>
              </w:rPr>
            </w:pPr>
            <w:r>
              <w:rPr>
                <w:rFonts w:hint="eastAsia" w:ascii="Arial" w:hAnsi="Arial" w:eastAsia="宋体" w:cs="Arial"/>
                <w:color w:val="000000" w:themeColor="text1"/>
                <w:sz w:val="22"/>
                <w:szCs w:val="22"/>
                <w:lang w:val="en-US" w:eastAsia="zh-CN"/>
                <w14:textFill>
                  <w14:solidFill>
                    <w14:schemeClr w14:val="tx1"/>
                  </w14:solidFill>
                </w14:textFill>
              </w:rPr>
              <w:t>Page 3, Methods, paragraph 2 (Study design)</w:t>
            </w:r>
          </w:p>
          <w:p>
            <w:pPr>
              <w:rPr>
                <w:rFonts w:ascii="Arial" w:hAnsi="Arial" w:cs="Arial"/>
                <w:sz w:val="22"/>
                <w:szCs w:val="22"/>
              </w:rPr>
            </w:pPr>
            <w:r>
              <w:rPr>
                <w:rFonts w:ascii="Times New Roman" w:hAnsi="Times New Roman" w:cs="Times New Roman"/>
                <w:bCs/>
                <w:color w:val="000000" w:themeColor="text1"/>
                <w14:textFill>
                  <w14:solidFill>
                    <w14:schemeClr w14:val="tx1"/>
                  </w14:solidFill>
                </w14:textFill>
              </w:rPr>
              <w:t xml:space="preserve">This is a prospective, randomized, open-labeled, </w:t>
            </w:r>
            <w:r>
              <w:rPr>
                <w:rFonts w:ascii="Times New Roman" w:hAnsi="Times New Roman" w:eastAsia="宋体" w:cs="Times New Roman"/>
                <w:bCs/>
                <w:color w:val="000000"/>
              </w:rPr>
              <w:t>multicentered</w:t>
            </w:r>
            <w:r>
              <w:rPr>
                <w:rFonts w:ascii="Times New Roman" w:hAnsi="Times New Roman" w:cs="Times New Roman"/>
                <w:bCs/>
                <w:color w:val="000000" w:themeColor="text1"/>
                <w14:textFill>
                  <w14:solidFill>
                    <w14:schemeClr w14:val="tx1"/>
                  </w14:solidFill>
                </w14:textFill>
              </w:rPr>
              <w:t xml:space="preserve"> phase III study. The 2-year </w:t>
            </w:r>
            <w:r>
              <w:rPr>
                <w:rFonts w:hint="eastAsia" w:ascii="Times New Roman" w:hAnsi="Times New Roman" w:cs="Times New Roman"/>
                <w:bCs/>
                <w:color w:val="000000" w:themeColor="text1"/>
                <w14:textFill>
                  <w14:solidFill>
                    <w14:schemeClr w14:val="tx1"/>
                  </w14:solidFill>
                </w14:textFill>
              </w:rPr>
              <w:t xml:space="preserve">progression-free survival </w:t>
            </w:r>
            <w:r>
              <w:rPr>
                <w:rFonts w:ascii="Times New Roman" w:hAnsi="Times New Roman" w:cs="Times New Roman"/>
                <w:bCs/>
                <w:color w:val="000000" w:themeColor="text1"/>
                <w14:textFill>
                  <w14:solidFill>
                    <w14:schemeClr w14:val="tx1"/>
                  </w14:solidFill>
                </w14:textFill>
              </w:rPr>
              <w:t xml:space="preserve">in stage IIB-IVA cancer patients treated with CCRT is </w:t>
            </w:r>
            <w:r>
              <w:rPr>
                <w:rFonts w:ascii="Times New Roman" w:hAnsi="Times New Roman" w:eastAsia="宋体" w:cs="Times New Roman"/>
                <w:bCs/>
                <w:color w:val="000000"/>
              </w:rPr>
              <w:t>approximately</w:t>
            </w:r>
            <w:r>
              <w:rPr>
                <w:rFonts w:ascii="Times New Roman" w:hAnsi="Times New Roman" w:cs="Times New Roman"/>
                <w:bCs/>
                <w:color w:val="000000" w:themeColor="text1"/>
                <w14:textFill>
                  <w14:solidFill>
                    <w14:schemeClr w14:val="tx1"/>
                  </w14:solidFill>
                </w14:textFill>
              </w:rPr>
              <w:t xml:space="preserve"> 65% according to </w:t>
            </w:r>
            <w:r>
              <w:rPr>
                <w:rFonts w:ascii="Times New Roman" w:hAnsi="Times New Roman" w:eastAsia="宋体" w:cs="Times New Roman"/>
                <w:bCs/>
                <w:color w:val="000000"/>
              </w:rPr>
              <w:t xml:space="preserve">the </w:t>
            </w:r>
            <w:r>
              <w:rPr>
                <w:rFonts w:ascii="Times New Roman" w:hAnsi="Times New Roman" w:cs="Times New Roman"/>
                <w:bCs/>
                <w:color w:val="000000" w:themeColor="text1"/>
                <w14:textFill>
                  <w14:solidFill>
                    <w14:schemeClr w14:val="tx1"/>
                  </w14:solidFill>
                </w14:textFill>
              </w:rPr>
              <w:t xml:space="preserve">literature. The desired 2-year </w:t>
            </w:r>
            <w:r>
              <w:rPr>
                <w:rFonts w:hint="eastAsia" w:ascii="Times New Roman" w:hAnsi="Times New Roman" w:cs="Times New Roman"/>
                <w:bCs/>
                <w:color w:val="000000" w:themeColor="text1"/>
                <w14:textFill>
                  <w14:solidFill>
                    <w14:schemeClr w14:val="tx1"/>
                  </w14:solidFill>
                </w14:textFill>
              </w:rPr>
              <w:t xml:space="preserve">progression-free survival </w:t>
            </w:r>
            <w:r>
              <w:rPr>
                <w:rFonts w:ascii="Times New Roman" w:hAnsi="Times New Roman" w:cs="Times New Roman"/>
                <w:bCs/>
                <w:color w:val="000000" w:themeColor="text1"/>
                <w14:textFill>
                  <w14:solidFill>
                    <w14:schemeClr w14:val="tx1"/>
                  </w14:solidFill>
                </w14:textFill>
              </w:rPr>
              <w:t>treated</w:t>
            </w:r>
            <w:r>
              <w:rPr>
                <w:rFonts w:hint="eastAsia" w:ascii="Times New Roman" w:hAnsi="Times New Roman" w:cs="Times New Roman"/>
                <w:bCs/>
                <w:color w:val="000000" w:themeColor="text1"/>
                <w14:textFill>
                  <w14:solidFill>
                    <w14:schemeClr w14:val="tx1"/>
                  </w14:solidFill>
                </w14:textFill>
              </w:rPr>
              <w:t xml:space="preserve"> </w:t>
            </w:r>
            <w:r>
              <w:rPr>
                <w:rFonts w:ascii="Times New Roman" w:hAnsi="Times New Roman" w:cs="Times New Roman"/>
                <w:bCs/>
                <w:color w:val="000000" w:themeColor="text1"/>
                <w14:textFill>
                  <w14:solidFill>
                    <w14:schemeClr w14:val="tx1"/>
                  </w14:solidFill>
                </w14:textFill>
              </w:rPr>
              <w:t xml:space="preserve">with NACT </w:t>
            </w:r>
            <w:r>
              <w:rPr>
                <w:rFonts w:hint="eastAsia" w:ascii="Times New Roman" w:hAnsi="Times New Roman" w:cs="Times New Roman"/>
                <w:bCs/>
                <w:color w:val="000000" w:themeColor="text1"/>
                <w14:textFill>
                  <w14:solidFill>
                    <w14:schemeClr w14:val="tx1"/>
                  </w14:solidFill>
                </w14:textFill>
              </w:rPr>
              <w:t xml:space="preserve">followed by </w:t>
            </w:r>
            <w:r>
              <w:rPr>
                <w:rFonts w:ascii="Times New Roman" w:hAnsi="Times New Roman" w:cs="Times New Roman"/>
                <w:color w:val="000000" w:themeColor="text1"/>
                <w14:textFill>
                  <w14:solidFill>
                    <w14:schemeClr w14:val="tx1"/>
                  </w14:solidFill>
                </w14:textFill>
              </w:rPr>
              <w:t xml:space="preserve">CCRT will be 80%. We assume an 8% </w:t>
            </w:r>
            <w:r>
              <w:rPr>
                <w:rFonts w:ascii="Times New Roman" w:hAnsi="Times New Roman" w:eastAsia="宋体" w:cs="Times New Roman"/>
                <w:color w:val="000000"/>
              </w:rPr>
              <w:t>loss</w:t>
            </w:r>
            <w:r>
              <w:rPr>
                <w:rFonts w:ascii="Times New Roman" w:hAnsi="Times New Roman" w:cs="Times New Roman"/>
                <w:color w:val="000000" w:themeColor="text1"/>
                <w14:textFill>
                  <w14:solidFill>
                    <w14:schemeClr w14:val="tx1"/>
                  </w14:solidFill>
                </w14:textFill>
              </w:rPr>
              <w:t xml:space="preserve"> to follow-up</w:t>
            </w:r>
            <w:r>
              <w:rPr>
                <w:rFonts w:ascii="Times New Roman" w:hAnsi="Times New Roman" w:eastAsia="宋体" w:cs="Times New Roman"/>
                <w:color w:val="000000"/>
              </w:rPr>
              <w:t>,</w:t>
            </w:r>
            <w:r>
              <w:rPr>
                <w:rFonts w:ascii="Times New Roman" w:hAnsi="Times New Roman" w:cs="Times New Roman"/>
                <w:color w:val="000000" w:themeColor="text1"/>
                <w14:textFill>
                  <w14:solidFill>
                    <w14:schemeClr w14:val="tx1"/>
                  </w14:solidFill>
                </w14:textFill>
              </w:rPr>
              <w:t xml:space="preserve"> and we seek a power of 80% at a two-sided significance level of 0.05</w:t>
            </w:r>
            <w:r>
              <w:rPr>
                <w:rFonts w:ascii="Times New Roman" w:hAnsi="Times New Roman" w:eastAsia="宋体" w:cs="Times New Roman"/>
                <w:color w:val="000000"/>
              </w:rPr>
              <w:t>.</w:t>
            </w:r>
            <w:r>
              <w:rPr>
                <w:rFonts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rPr>
              <w:t>To</w:t>
            </w:r>
            <w:r>
              <w:rPr>
                <w:rFonts w:ascii="Times New Roman" w:hAnsi="Times New Roman" w:cs="Times New Roman"/>
                <w:color w:val="000000" w:themeColor="text1"/>
                <w14:textFill>
                  <w14:solidFill>
                    <w14:schemeClr w14:val="tx1"/>
                  </w14:solidFill>
                </w14:textFill>
              </w:rPr>
              <w:t xml:space="preserve"> detect a 15% difference, we will need 150 patients (per group). Based on an institutional volume of 80 patients per year and 20 patients per year in other centers, this trial will require 3 years to complete the recruitment of 300 patients. </w:t>
            </w:r>
            <w:r>
              <w:rPr>
                <w:color w:val="000000" w:themeColor="text1"/>
                <w14:textFill>
                  <w14:solidFill>
                    <w14:schemeClr w14:val="tx1"/>
                  </w14:solidFill>
                </w14:textFill>
              </w:rPr>
              <w:t xml:space="preserve"> </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Recruitment</w:t>
            </w:r>
          </w:p>
        </w:tc>
        <w:tc>
          <w:tcPr>
            <w:tcW w:w="610" w:type="dxa"/>
            <w:shd w:val="clear" w:color="auto" w:fill="FFFFFF"/>
          </w:tcPr>
          <w:p>
            <w:pPr>
              <w:rPr>
                <w:rFonts w:ascii="Arial" w:hAnsi="Arial" w:cs="Arial"/>
                <w:sz w:val="22"/>
                <w:szCs w:val="22"/>
              </w:rPr>
            </w:pPr>
            <w:r>
              <w:rPr>
                <w:rFonts w:ascii="Arial" w:hAnsi="Arial" w:cs="Arial"/>
                <w:sz w:val="22"/>
                <w:szCs w:val="22"/>
              </w:rPr>
              <w:t>15</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Strategies for achieving adequate participant enrolment to reach target sample size</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hint="eastAsia" w:ascii="Arial" w:hAnsi="Arial" w:cs="Arial"/>
                <w:sz w:val="22"/>
                <w:szCs w:val="22"/>
              </w:rPr>
              <w:t xml:space="preserve">Patients can get medical support at any time after entering the group. If </w:t>
            </w:r>
            <w:r>
              <w:rPr>
                <w:rFonts w:ascii="Arial" w:hAnsi="Arial" w:cs="Arial"/>
                <w:sz w:val="22"/>
                <w:szCs w:val="22"/>
              </w:rPr>
              <w:t>tumor</w:t>
            </w:r>
            <w:r>
              <w:rPr>
                <w:rFonts w:hint="eastAsia" w:ascii="Arial" w:hAnsi="Arial" w:cs="Arial"/>
                <w:sz w:val="22"/>
                <w:szCs w:val="22"/>
              </w:rPr>
              <w:t xml:space="preserve"> marker is found to predict the efficacy, </w:t>
            </w:r>
            <w:r>
              <w:rPr>
                <w:rFonts w:ascii="Arial" w:hAnsi="Arial" w:cs="Arial"/>
                <w:sz w:val="22"/>
                <w:szCs w:val="22"/>
              </w:rPr>
              <w:t xml:space="preserve">we can give patients </w:t>
            </w:r>
            <w:r>
              <w:rPr>
                <w:rFonts w:hint="eastAsia" w:ascii="Arial" w:hAnsi="Arial" w:cs="Arial"/>
                <w:sz w:val="22"/>
                <w:szCs w:val="22"/>
              </w:rPr>
              <w:t>individualized treatment. A</w:t>
            </w:r>
            <w:r>
              <w:rPr>
                <w:rFonts w:ascii="Arial" w:hAnsi="Arial" w:cs="Arial"/>
                <w:sz w:val="22"/>
                <w:szCs w:val="22"/>
              </w:rPr>
              <w:t>nd we will a</w:t>
            </w:r>
            <w:r>
              <w:rPr>
                <w:rFonts w:hint="eastAsia" w:ascii="Arial" w:hAnsi="Arial" w:cs="Arial"/>
                <w:sz w:val="22"/>
                <w:szCs w:val="22"/>
              </w:rPr>
              <w:t>void psychological injury, physical injury and economic loss.</w:t>
            </w:r>
          </w:p>
        </w:tc>
      </w:tr>
      <w:tr>
        <w:tblPrEx>
          <w:shd w:val="clear" w:color="auto" w:fill="FFFFFF"/>
          <w:tblCellMar>
            <w:top w:w="0" w:type="dxa"/>
            <w:left w:w="56" w:type="dxa"/>
            <w:bottom w:w="0" w:type="dxa"/>
            <w:right w:w="56" w:type="dxa"/>
          </w:tblCellMar>
        </w:tblPrEx>
        <w:trPr>
          <w:cantSplit/>
          <w:trHeight w:val="259" w:hRule="atLeast"/>
        </w:trPr>
        <w:tc>
          <w:tcPr>
            <w:tcW w:w="8783" w:type="dxa"/>
            <w:gridSpan w:val="3"/>
            <w:shd w:val="clear" w:color="auto" w:fill="FFFFFF"/>
            <w:tcMar>
              <w:top w:w="85" w:type="dxa"/>
              <w:bottom w:w="85" w:type="dxa"/>
            </w:tcMar>
          </w:tcPr>
          <w:p>
            <w:pPr>
              <w:rPr>
                <w:rFonts w:ascii="Arial" w:hAnsi="Arial" w:cs="Arial"/>
                <w:sz w:val="22"/>
                <w:szCs w:val="22"/>
              </w:rPr>
            </w:pPr>
            <w:r>
              <w:rPr>
                <w:rFonts w:ascii="Arial" w:hAnsi="Arial" w:cs="Arial"/>
                <w:b/>
                <w:sz w:val="22"/>
                <w:szCs w:val="22"/>
              </w:rPr>
              <w:t>Methods: Assignment of interventions (for controlled trials)</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Allocation:</w:t>
            </w:r>
          </w:p>
        </w:tc>
        <w:tc>
          <w:tcPr>
            <w:tcW w:w="610" w:type="dxa"/>
            <w:shd w:val="clear" w:color="auto" w:fill="FFFFFF"/>
          </w:tcPr>
          <w:p>
            <w:pPr>
              <w:rPr>
                <w:rFonts w:ascii="Arial" w:hAnsi="Arial" w:cs="Arial"/>
                <w:sz w:val="22"/>
                <w:szCs w:val="22"/>
              </w:rPr>
            </w:pPr>
          </w:p>
        </w:tc>
        <w:tc>
          <w:tcPr>
            <w:tcW w:w="6415" w:type="dxa"/>
            <w:shd w:val="clear" w:color="auto" w:fill="FFFFFF"/>
            <w:tcMar>
              <w:top w:w="85" w:type="dxa"/>
              <w:bottom w:w="85" w:type="dxa"/>
            </w:tcMar>
          </w:tcPr>
          <w:p>
            <w:pPr>
              <w:rPr>
                <w:rFonts w:ascii="Arial" w:hAnsi="Arial" w:cs="Arial"/>
                <w:sz w:val="22"/>
                <w:szCs w:val="22"/>
              </w:rPr>
            </w:pP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tabs>
                <w:tab w:val="left" w:pos="180"/>
              </w:tabs>
              <w:ind w:left="270"/>
              <w:rPr>
                <w:rFonts w:ascii="Arial" w:hAnsi="Arial" w:cs="Arial"/>
                <w:sz w:val="22"/>
                <w:szCs w:val="22"/>
              </w:rPr>
            </w:pPr>
            <w:r>
              <w:rPr>
                <w:rFonts w:ascii="Arial" w:hAnsi="Arial" w:cs="Arial"/>
                <w:sz w:val="22"/>
                <w:szCs w:val="22"/>
              </w:rPr>
              <w:t>Sequence generation</w:t>
            </w:r>
          </w:p>
        </w:tc>
        <w:tc>
          <w:tcPr>
            <w:tcW w:w="610" w:type="dxa"/>
            <w:shd w:val="clear" w:color="auto" w:fill="FFFFFF"/>
          </w:tcPr>
          <w:p>
            <w:pPr>
              <w:rPr>
                <w:rFonts w:ascii="Arial" w:hAnsi="Arial" w:cs="Arial"/>
                <w:sz w:val="22"/>
                <w:szCs w:val="22"/>
              </w:rPr>
            </w:pPr>
            <w:r>
              <w:rPr>
                <w:rFonts w:ascii="Arial" w:hAnsi="Arial" w:cs="Arial"/>
                <w:sz w:val="22"/>
                <w:szCs w:val="22"/>
              </w:rPr>
              <w:t>16a</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p>
            <w:pPr>
              <w:rPr>
                <w:rFonts w:ascii="Arial" w:hAnsi="Arial" w:cs="Arial"/>
                <w:sz w:val="22"/>
                <w:szCs w:val="22"/>
              </w:rPr>
            </w:pPr>
          </w:p>
          <w:p>
            <w:pPr>
              <w:pStyle w:val="10"/>
              <w:spacing w:after="156" w:afterLines="50"/>
              <w:ind w:firstLine="0" w:firstLineChars="0"/>
              <w:rPr>
                <w:rFonts w:ascii="Arial" w:hAnsi="Arial" w:cs="Arial"/>
                <w:sz w:val="22"/>
                <w:szCs w:val="22"/>
                <w:lang w:val="en-US"/>
              </w:rPr>
            </w:pPr>
            <w:r>
              <w:rPr>
                <w:rFonts w:hint="eastAsia" w:ascii="Arial" w:hAnsi="Arial" w:eastAsia="宋体" w:cs="Arial"/>
                <w:color w:val="000000" w:themeColor="text1"/>
                <w:sz w:val="22"/>
                <w:szCs w:val="22"/>
                <w:lang w:val="en-US" w:eastAsia="zh-CN"/>
                <w14:textFill>
                  <w14:solidFill>
                    <w14:schemeClr w14:val="tx1"/>
                  </w14:solidFill>
                </w14:textFill>
              </w:rPr>
              <w:t>Page 4, Study procedures and treatments, paragraph 1</w:t>
            </w:r>
          </w:p>
          <w:p>
            <w:pPr>
              <w:rPr>
                <w:rFonts w:ascii="Arial" w:hAnsi="Arial" w:cs="Arial"/>
                <w:sz w:val="22"/>
                <w:szCs w:val="22"/>
              </w:rPr>
            </w:pPr>
            <w:r>
              <w:rPr>
                <w:rFonts w:ascii="Times New Roman" w:hAnsi="Times New Roman" w:cs="Times New Roman"/>
              </w:rPr>
              <w:t>The patients will be allocated in a 1:1 ratio to one of two intervention arms</w:t>
            </w:r>
            <w:r>
              <w:rPr>
                <w:rFonts w:hint="eastAsia" w:ascii="Times New Roman" w:hAnsi="Times New Roman" w:cs="Times New Roman"/>
              </w:rPr>
              <w:t xml:space="preserve"> </w:t>
            </w:r>
            <w:r>
              <w:rPr>
                <w:rFonts w:ascii="Times New Roman" w:hAnsi="Times New Roman" w:cs="Times New Roman"/>
              </w:rPr>
              <w:t xml:space="preserve">. The randomization scheme will be prepared by the study statistician using a random number table, with the results entered by a study manager not involved with patient recruitment. </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ind w:left="270"/>
              <w:rPr>
                <w:rFonts w:ascii="Arial" w:hAnsi="Arial" w:cs="Arial"/>
                <w:sz w:val="22"/>
                <w:szCs w:val="22"/>
              </w:rPr>
            </w:pPr>
            <w:r>
              <w:rPr>
                <w:rFonts w:ascii="Arial" w:hAnsi="Arial" w:cs="Arial"/>
                <w:sz w:val="22"/>
                <w:szCs w:val="22"/>
              </w:rPr>
              <w:t>Allocation concealment mechanism</w:t>
            </w:r>
          </w:p>
        </w:tc>
        <w:tc>
          <w:tcPr>
            <w:tcW w:w="610" w:type="dxa"/>
            <w:shd w:val="clear" w:color="auto" w:fill="FFFFFF"/>
          </w:tcPr>
          <w:p>
            <w:pPr>
              <w:rPr>
                <w:rFonts w:ascii="Arial" w:hAnsi="Arial" w:cs="Arial"/>
                <w:sz w:val="22"/>
                <w:szCs w:val="22"/>
              </w:rPr>
            </w:pPr>
            <w:r>
              <w:rPr>
                <w:rFonts w:ascii="Arial" w:hAnsi="Arial" w:cs="Arial"/>
                <w:sz w:val="22"/>
                <w:szCs w:val="22"/>
              </w:rPr>
              <w:t>16b</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ascii="Arial" w:hAnsi="Arial" w:cs="Arial"/>
                <w:sz w:val="22"/>
                <w:szCs w:val="22"/>
              </w:rPr>
              <w:t>Sequentially numbered</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ind w:left="270"/>
              <w:rPr>
                <w:rFonts w:ascii="Arial" w:hAnsi="Arial" w:cs="Arial"/>
                <w:sz w:val="22"/>
                <w:szCs w:val="22"/>
              </w:rPr>
            </w:pPr>
            <w:r>
              <w:rPr>
                <w:rFonts w:ascii="Arial" w:hAnsi="Arial" w:cs="Arial"/>
                <w:sz w:val="22"/>
                <w:szCs w:val="22"/>
              </w:rPr>
              <w:t>Implementation</w:t>
            </w:r>
          </w:p>
        </w:tc>
        <w:tc>
          <w:tcPr>
            <w:tcW w:w="610" w:type="dxa"/>
            <w:shd w:val="clear" w:color="auto" w:fill="FFFFFF"/>
          </w:tcPr>
          <w:p>
            <w:pPr>
              <w:rPr>
                <w:rFonts w:ascii="Arial" w:hAnsi="Arial" w:cs="Arial"/>
                <w:sz w:val="22"/>
                <w:szCs w:val="22"/>
              </w:rPr>
            </w:pPr>
            <w:r>
              <w:rPr>
                <w:rFonts w:ascii="Arial" w:hAnsi="Arial" w:cs="Arial"/>
                <w:sz w:val="22"/>
                <w:szCs w:val="22"/>
              </w:rPr>
              <w:t>16c</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Who will generate the allocation sequence, who will enrol participants, and who will assign participants to interventions</w:t>
            </w:r>
          </w:p>
          <w:p>
            <w:pPr>
              <w:rPr>
                <w:rFonts w:ascii="Arial" w:hAnsi="Arial" w:cs="Arial"/>
                <w:sz w:val="22"/>
                <w:szCs w:val="22"/>
              </w:rPr>
            </w:pPr>
          </w:p>
          <w:p>
            <w:pPr>
              <w:pStyle w:val="10"/>
              <w:spacing w:after="156" w:afterLines="50"/>
              <w:ind w:firstLine="0" w:firstLineChars="0"/>
              <w:rPr>
                <w:rFonts w:ascii="Arial" w:hAnsi="Arial" w:cs="Arial"/>
                <w:sz w:val="22"/>
                <w:szCs w:val="22"/>
              </w:rPr>
            </w:pPr>
            <w:r>
              <w:rPr>
                <w:rFonts w:hint="eastAsia" w:ascii="Arial" w:hAnsi="Arial" w:eastAsia="宋体" w:cs="Arial"/>
                <w:color w:val="000000" w:themeColor="text1"/>
                <w:sz w:val="22"/>
                <w:szCs w:val="22"/>
                <w:lang w:val="en-US" w:eastAsia="zh-CN"/>
                <w14:textFill>
                  <w14:solidFill>
                    <w14:schemeClr w14:val="tx1"/>
                  </w14:solidFill>
                </w14:textFill>
              </w:rPr>
              <w:t>Page 4, Study procedures and treatments, paragraph 1</w:t>
            </w:r>
          </w:p>
          <w:p>
            <w:pPr>
              <w:rPr>
                <w:rFonts w:ascii="Times New Roman" w:hAnsi="Times New Roman" w:cs="Times New Roman"/>
              </w:rPr>
            </w:pPr>
            <w:r>
              <w:rPr>
                <w:rFonts w:ascii="Times New Roman" w:hAnsi="Times New Roman" w:cs="Times New Roman"/>
              </w:rPr>
              <w:t>The randomization scheme will be prepared by the study statistician using a random number table, with the results entered by a study manager not involved with patient recruitment.</w:t>
            </w:r>
          </w:p>
          <w:p>
            <w:pPr>
              <w:rPr>
                <w:rFonts w:ascii="Arial" w:hAnsi="Arial" w:cs="Arial"/>
                <w:sz w:val="22"/>
                <w:szCs w:val="22"/>
              </w:rPr>
            </w:pPr>
            <w:r>
              <w:rPr>
                <w:rFonts w:ascii="Times New Roman" w:hAnsi="Times New Roman" w:cs="Times New Roman"/>
                <w:color w:val="000000" w:themeColor="text1"/>
                <w14:textFill>
                  <w14:solidFill>
                    <w14:schemeClr w14:val="tx1"/>
                  </w14:solidFill>
                </w14:textFill>
              </w:rPr>
              <w:t xml:space="preserve">We have a </w:t>
            </w:r>
            <w:r>
              <w:rPr>
                <w:rFonts w:ascii="Times New Roman" w:hAnsi="Times New Roman" w:eastAsia="宋体" w:cs="Times New Roman"/>
                <w:color w:val="000000"/>
              </w:rPr>
              <w:t>multidisciplinary</w:t>
            </w:r>
            <w:r>
              <w:rPr>
                <w:rFonts w:ascii="Times New Roman" w:hAnsi="Times New Roman" w:cs="Times New Roman"/>
                <w:color w:val="000000" w:themeColor="text1"/>
                <w14:textFill>
                  <w14:solidFill>
                    <w14:schemeClr w14:val="tx1"/>
                  </w14:solidFill>
                </w14:textFill>
              </w:rPr>
              <w:t xml:space="preserve"> group to assess the stage and status of the patients precisely, to assure the patients </w:t>
            </w:r>
            <w:r>
              <w:rPr>
                <w:rFonts w:ascii="Times New Roman" w:hAnsi="Times New Roman" w:eastAsia="宋体" w:cs="Times New Roman"/>
                <w:color w:val="000000"/>
              </w:rPr>
              <w:t>meet</w:t>
            </w:r>
            <w:r>
              <w:rPr>
                <w:rFonts w:ascii="Times New Roman" w:hAnsi="Times New Roman" w:cs="Times New Roman"/>
                <w:color w:val="000000" w:themeColor="text1"/>
                <w14:textFill>
                  <w14:solidFill>
                    <w14:schemeClr w14:val="tx1"/>
                  </w14:solidFill>
                </w14:textFill>
              </w:rPr>
              <w:t xml:space="preserve"> the inclusion criteria, to treat the patients and monitor the side</w:t>
            </w:r>
            <w:r>
              <w:rPr>
                <w:rFonts w:ascii="Times New Roman" w:hAnsi="Times New Roman" w:eastAsia="宋体" w:cs="Times New Roman"/>
                <w:color w:val="000000"/>
              </w:rPr>
              <w:t xml:space="preserve"> </w:t>
            </w:r>
            <w:r>
              <w:rPr>
                <w:rFonts w:ascii="Times New Roman" w:hAnsi="Times New Roman" w:cs="Times New Roman"/>
                <w:color w:val="000000" w:themeColor="text1"/>
                <w14:textFill>
                  <w14:solidFill>
                    <w14:schemeClr w14:val="tx1"/>
                  </w14:solidFill>
                </w14:textFill>
              </w:rPr>
              <w:t xml:space="preserve">effects, </w:t>
            </w:r>
            <w:r>
              <w:rPr>
                <w:rFonts w:ascii="Times New Roman" w:hAnsi="Times New Roman" w:eastAsia="宋体" w:cs="Times New Roman"/>
                <w:color w:val="000000"/>
              </w:rPr>
              <w:t xml:space="preserve">and </w:t>
            </w:r>
            <w:r>
              <w:rPr>
                <w:rFonts w:ascii="Times New Roman" w:hAnsi="Times New Roman" w:cs="Times New Roman"/>
                <w:color w:val="000000" w:themeColor="text1"/>
                <w14:textFill>
                  <w14:solidFill>
                    <w14:schemeClr w14:val="tx1"/>
                  </w14:solidFill>
                </w14:textFill>
              </w:rPr>
              <w:t xml:space="preserve">to follow the patients on a regular </w:t>
            </w:r>
            <w:r>
              <w:rPr>
                <w:rFonts w:ascii="Times New Roman" w:hAnsi="Times New Roman" w:eastAsia="宋体" w:cs="Times New Roman"/>
                <w:color w:val="000000"/>
              </w:rPr>
              <w:t>basis</w:t>
            </w:r>
            <w:r>
              <w:rPr>
                <w:rFonts w:ascii="Times New Roman" w:hAnsi="Times New Roman" w:cs="Times New Roman"/>
                <w:color w:val="000000" w:themeColor="text1"/>
                <w14:textFill>
                  <w14:solidFill>
                    <w14:schemeClr w14:val="tx1"/>
                  </w14:solidFill>
                </w14:textFill>
              </w:rPr>
              <w:t xml:space="preserve">. </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Blinding (masking)</w:t>
            </w:r>
          </w:p>
        </w:tc>
        <w:tc>
          <w:tcPr>
            <w:tcW w:w="610" w:type="dxa"/>
            <w:shd w:val="clear" w:color="auto" w:fill="FFFFFF"/>
          </w:tcPr>
          <w:p>
            <w:pPr>
              <w:rPr>
                <w:rFonts w:ascii="Arial" w:hAnsi="Arial" w:cs="Arial"/>
                <w:sz w:val="22"/>
                <w:szCs w:val="22"/>
              </w:rPr>
            </w:pPr>
            <w:r>
              <w:rPr>
                <w:rFonts w:ascii="Arial" w:hAnsi="Arial" w:cs="Arial"/>
                <w:sz w:val="22"/>
                <w:szCs w:val="22"/>
              </w:rPr>
              <w:t>17a</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Who will be blinded after assignment to interventions (eg, trial participants, care providers, outcome assessors, data analysts), and how</w:t>
            </w:r>
          </w:p>
          <w:p>
            <w:pPr>
              <w:rPr>
                <w:rFonts w:ascii="Arial" w:hAnsi="Arial" w:cs="Arial"/>
                <w:sz w:val="22"/>
                <w:szCs w:val="22"/>
              </w:rPr>
            </w:pPr>
          </w:p>
          <w:p>
            <w:pPr>
              <w:pStyle w:val="10"/>
              <w:spacing w:after="156" w:afterLines="50"/>
              <w:ind w:firstLine="0" w:firstLineChars="0"/>
              <w:rPr>
                <w:rFonts w:ascii="Arial" w:hAnsi="Arial" w:cs="Arial"/>
                <w:sz w:val="22"/>
                <w:szCs w:val="22"/>
                <w:lang w:val="en-US"/>
              </w:rPr>
            </w:pPr>
            <w:r>
              <w:rPr>
                <w:rFonts w:hint="eastAsia" w:ascii="Arial" w:hAnsi="Arial" w:eastAsia="宋体" w:cs="Arial"/>
                <w:color w:val="000000" w:themeColor="text1"/>
                <w:sz w:val="22"/>
                <w:szCs w:val="22"/>
                <w:lang w:val="en-US" w:eastAsia="zh-CN"/>
                <w14:textFill>
                  <w14:solidFill>
                    <w14:schemeClr w14:val="tx1"/>
                  </w14:solidFill>
                </w14:textFill>
              </w:rPr>
              <w:t>Page 6, Study outcomes, paragraph 5</w:t>
            </w:r>
          </w:p>
          <w:p>
            <w:pPr>
              <w:rPr>
                <w:rFonts w:ascii="Arial" w:hAnsi="Arial" w:cs="Arial"/>
                <w:sz w:val="22"/>
                <w:szCs w:val="22"/>
              </w:rPr>
            </w:pPr>
            <w:r>
              <w:t>The response rate will be assessed by two radiologists blinded to treatment.</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p>
        </w:tc>
        <w:tc>
          <w:tcPr>
            <w:tcW w:w="610" w:type="dxa"/>
            <w:shd w:val="clear" w:color="auto" w:fill="FFFFFF"/>
          </w:tcPr>
          <w:p>
            <w:pPr>
              <w:rPr>
                <w:rFonts w:ascii="Arial" w:hAnsi="Arial" w:cs="Arial"/>
                <w:sz w:val="22"/>
                <w:szCs w:val="22"/>
              </w:rPr>
            </w:pPr>
            <w:r>
              <w:rPr>
                <w:rFonts w:ascii="Arial" w:hAnsi="Arial" w:cs="Arial"/>
                <w:sz w:val="22"/>
                <w:szCs w:val="22"/>
              </w:rPr>
              <w:t>17b</w:t>
            </w:r>
          </w:p>
        </w:tc>
        <w:tc>
          <w:tcPr>
            <w:tcW w:w="6415" w:type="dxa"/>
            <w:shd w:val="clear" w:color="auto" w:fill="FFFFFF"/>
          </w:tcPr>
          <w:p>
            <w:pPr>
              <w:rPr>
                <w:rFonts w:ascii="Arial" w:hAnsi="Arial" w:cs="Arial"/>
                <w:sz w:val="22"/>
                <w:szCs w:val="22"/>
              </w:rPr>
            </w:pPr>
            <w:r>
              <w:rPr>
                <w:rFonts w:ascii="Arial" w:hAnsi="Arial" w:cs="Arial"/>
                <w:sz w:val="22"/>
                <w:szCs w:val="22"/>
              </w:rPr>
              <w:t>If blinded, circumstances under which unblinding is permissible, and procedure for revealing a participant’s allocated intervention during the trial</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hint="eastAsia" w:ascii="Arial" w:hAnsi="Arial" w:cs="Arial"/>
                <w:sz w:val="22"/>
                <w:szCs w:val="22"/>
              </w:rPr>
              <w:t xml:space="preserve">After treatment and follow-up, </w:t>
            </w:r>
            <w:r>
              <w:rPr>
                <w:rFonts w:ascii="Arial" w:hAnsi="Arial" w:cs="Arial"/>
                <w:sz w:val="22"/>
                <w:szCs w:val="22"/>
              </w:rPr>
              <w:t>unblinding is permissible.</w:t>
            </w:r>
          </w:p>
        </w:tc>
      </w:tr>
      <w:tr>
        <w:tblPrEx>
          <w:shd w:val="clear" w:color="auto" w:fill="FFFFFF"/>
          <w:tblCellMar>
            <w:top w:w="0" w:type="dxa"/>
            <w:left w:w="56" w:type="dxa"/>
            <w:bottom w:w="0" w:type="dxa"/>
            <w:right w:w="56" w:type="dxa"/>
          </w:tblCellMar>
        </w:tblPrEx>
        <w:trPr>
          <w:cantSplit/>
          <w:trHeight w:val="259" w:hRule="atLeast"/>
        </w:trPr>
        <w:tc>
          <w:tcPr>
            <w:tcW w:w="8783" w:type="dxa"/>
            <w:gridSpan w:val="3"/>
            <w:shd w:val="clear" w:color="auto" w:fill="FFFFFF"/>
            <w:tcMar>
              <w:top w:w="85" w:type="dxa"/>
              <w:bottom w:w="85" w:type="dxa"/>
            </w:tcMar>
          </w:tcPr>
          <w:p>
            <w:pPr>
              <w:rPr>
                <w:rFonts w:ascii="Arial" w:hAnsi="Arial" w:cs="Arial"/>
                <w:sz w:val="22"/>
                <w:szCs w:val="22"/>
              </w:rPr>
            </w:pPr>
            <w:r>
              <w:rPr>
                <w:rFonts w:ascii="Arial" w:hAnsi="Arial" w:cs="Arial"/>
                <w:b/>
                <w:sz w:val="22"/>
                <w:szCs w:val="22"/>
              </w:rPr>
              <w:t>Methods: Data collection, management, and analysis</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Data collection methods</w:t>
            </w:r>
          </w:p>
        </w:tc>
        <w:tc>
          <w:tcPr>
            <w:tcW w:w="610" w:type="dxa"/>
            <w:shd w:val="clear" w:color="auto" w:fill="FFFFFF"/>
          </w:tcPr>
          <w:p>
            <w:pPr>
              <w:rPr>
                <w:rFonts w:ascii="Arial" w:hAnsi="Arial" w:cs="Arial"/>
                <w:sz w:val="22"/>
                <w:szCs w:val="22"/>
              </w:rPr>
            </w:pPr>
            <w:r>
              <w:rPr>
                <w:rFonts w:ascii="Arial" w:hAnsi="Arial" w:cs="Arial"/>
                <w:sz w:val="22"/>
                <w:szCs w:val="22"/>
              </w:rPr>
              <w:t>18a</w:t>
            </w:r>
          </w:p>
        </w:tc>
        <w:tc>
          <w:tcPr>
            <w:tcW w:w="6415" w:type="dxa"/>
            <w:shd w:val="clear" w:color="auto" w:fill="FFFFFF"/>
          </w:tcPr>
          <w:p>
            <w:pPr>
              <w:rPr>
                <w:rFonts w:ascii="Arial" w:hAnsi="Arial" w:cs="Arial"/>
                <w:sz w:val="22"/>
                <w:szCs w:val="22"/>
              </w:rPr>
            </w:pPr>
            <w:r>
              <w:rPr>
                <w:rFonts w:ascii="Arial" w:hAnsi="Arial" w:cs="Arial"/>
                <w:sz w:val="22"/>
                <w:szCs w:val="22"/>
              </w:rPr>
              <w:t xml:space="preserve">Plans for assessment and collection of outcome, baseline, and other trial data, including any </w:t>
            </w:r>
            <w:r>
              <w:rPr>
                <w:rFonts w:ascii="Arial" w:hAnsi="Arial" w:cs="Arial"/>
                <w:bCs/>
                <w:sz w:val="22"/>
                <w:szCs w:val="22"/>
              </w:rPr>
              <w:t>related processes to promote data quality</w:t>
            </w:r>
            <w:r>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p>
            <w:pPr>
              <w:pStyle w:val="10"/>
              <w:spacing w:after="156" w:afterLines="50"/>
              <w:ind w:firstLine="0" w:firstLineChars="0"/>
              <w:rPr>
                <w:bCs/>
                <w:color w:val="000000" w:themeColor="text1"/>
                <w14:textFill>
                  <w14:solidFill>
                    <w14:schemeClr w14:val="tx1"/>
                  </w14:solidFill>
                </w14:textFill>
              </w:rPr>
            </w:pPr>
          </w:p>
          <w:p>
            <w:pPr>
              <w:pStyle w:val="10"/>
              <w:spacing w:after="156" w:afterLines="50"/>
              <w:ind w:firstLine="0" w:firstLineChars="0"/>
              <w:rPr>
                <w:bCs/>
                <w:color w:val="000000" w:themeColor="text1"/>
                <w:lang w:val="en-US"/>
                <w14:textFill>
                  <w14:solidFill>
                    <w14:schemeClr w14:val="tx1"/>
                  </w14:solidFill>
                </w14:textFill>
              </w:rPr>
            </w:pPr>
            <w:r>
              <w:rPr>
                <w:rFonts w:hint="eastAsia" w:ascii="Arial" w:hAnsi="Arial" w:eastAsia="宋体" w:cs="Arial"/>
                <w:color w:val="000000" w:themeColor="text1"/>
                <w:sz w:val="22"/>
                <w:szCs w:val="22"/>
                <w:lang w:val="en-US" w:eastAsia="zh-CN"/>
                <w14:textFill>
                  <w14:solidFill>
                    <w14:schemeClr w14:val="tx1"/>
                  </w14:solidFill>
                </w14:textFill>
              </w:rPr>
              <w:t>Page 3, Methods, paragraph 1 (Ethical approval)</w:t>
            </w:r>
          </w:p>
          <w:p>
            <w:pPr>
              <w:widowControl/>
              <w:autoSpaceDE w:val="0"/>
              <w:autoSpaceDN w:val="0"/>
              <w:adjustRightInd w:val="0"/>
              <w:spacing w:after="163" w:afterLines="50"/>
              <w:rPr>
                <w:rFonts w:ascii="Arial" w:hAnsi="Arial" w:cs="Arial"/>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t>All the group members have GCP certificates. Any recorded results will be anonymized in our study database.</w:t>
            </w:r>
          </w:p>
          <w:p>
            <w:pPr>
              <w:pStyle w:val="10"/>
              <w:spacing w:after="156" w:afterLines="50"/>
              <w:ind w:firstLine="0" w:firstLineChars="0"/>
              <w:rPr>
                <w:rFonts w:ascii="Arial" w:hAnsi="Arial" w:cs="Arial"/>
                <w:sz w:val="22"/>
                <w:szCs w:val="22"/>
                <w:lang w:val="en-US"/>
              </w:rPr>
            </w:pPr>
            <w:r>
              <w:rPr>
                <w:rFonts w:hint="eastAsia" w:ascii="Arial" w:hAnsi="Arial" w:eastAsia="宋体" w:cs="Arial"/>
                <w:color w:val="000000" w:themeColor="text1"/>
                <w:sz w:val="22"/>
                <w:szCs w:val="22"/>
                <w:lang w:val="en-US" w:eastAsia="zh-CN"/>
                <w14:textFill>
                  <w14:solidFill>
                    <w14:schemeClr w14:val="tx1"/>
                  </w14:solidFill>
                </w14:textFill>
              </w:rPr>
              <w:t>Page 6, Study outcomes, paragraph 5</w:t>
            </w:r>
          </w:p>
          <w:p>
            <w:pPr>
              <w:rPr>
                <w:rFonts w:ascii="Arial" w:hAnsi="Arial" w:cs="Arial"/>
                <w:sz w:val="22"/>
                <w:szCs w:val="22"/>
              </w:rPr>
            </w:pPr>
            <w:r>
              <w:rPr>
                <w:rFonts w:ascii="Times New Roman" w:hAnsi="Times New Roman" w:eastAsia="宋体" w:cs="Times New Roman"/>
                <w:shd w:val="clear" w:color="auto" w:fill="FFFFFF"/>
              </w:rPr>
              <w:t xml:space="preserve">If the two </w:t>
            </w:r>
            <w:r>
              <w:rPr>
                <w:rFonts w:ascii="Times New Roman" w:hAnsi="Times New Roman" w:cs="Times New Roman"/>
              </w:rPr>
              <w:t>radiologists</w:t>
            </w:r>
            <w:r>
              <w:rPr>
                <w:rFonts w:ascii="Times New Roman" w:hAnsi="Times New Roman" w:eastAsia="宋体" w:cs="Times New Roman"/>
                <w:shd w:val="clear" w:color="auto" w:fill="FFFFFF"/>
              </w:rPr>
              <w:t xml:space="preserve"> reached different conclusions, the results will be rechecked and discussed to reach a consensus.</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p>
        </w:tc>
        <w:tc>
          <w:tcPr>
            <w:tcW w:w="610" w:type="dxa"/>
            <w:shd w:val="clear" w:color="auto" w:fill="FFFFFF"/>
          </w:tcPr>
          <w:p>
            <w:pPr>
              <w:rPr>
                <w:rFonts w:ascii="Arial" w:hAnsi="Arial" w:cs="Arial"/>
                <w:sz w:val="22"/>
                <w:szCs w:val="22"/>
              </w:rPr>
            </w:pPr>
            <w:r>
              <w:rPr>
                <w:rFonts w:ascii="Arial" w:hAnsi="Arial" w:cs="Arial"/>
                <w:sz w:val="22"/>
                <w:szCs w:val="22"/>
              </w:rPr>
              <w:t>18b</w:t>
            </w:r>
          </w:p>
        </w:tc>
        <w:tc>
          <w:tcPr>
            <w:tcW w:w="6415" w:type="dxa"/>
            <w:shd w:val="clear" w:color="auto" w:fill="FFFFFF"/>
          </w:tcPr>
          <w:p>
            <w:pPr>
              <w:rPr>
                <w:rFonts w:ascii="Arial" w:hAnsi="Arial" w:cs="Arial"/>
                <w:sz w:val="22"/>
                <w:szCs w:val="22"/>
              </w:rPr>
            </w:pPr>
            <w:r>
              <w:rPr>
                <w:rFonts w:ascii="Arial" w:hAnsi="Arial" w:cs="Arial"/>
                <w:sz w:val="22"/>
                <w:szCs w:val="22"/>
              </w:rPr>
              <w:t>Plans to promote participant retention and complete follow-up, including list of any outcome data to be collected for participants who discontinue or deviate from intervention protocols</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hint="eastAsia" w:ascii="Arial" w:hAnsi="Arial" w:cs="Arial"/>
                <w:sz w:val="22"/>
                <w:szCs w:val="22"/>
              </w:rPr>
              <w:t xml:space="preserve">We </w:t>
            </w:r>
            <w:r>
              <w:rPr>
                <w:rFonts w:ascii="Arial" w:hAnsi="Arial" w:cs="Arial"/>
                <w:sz w:val="22"/>
                <w:szCs w:val="22"/>
              </w:rPr>
              <w:t xml:space="preserve">will </w:t>
            </w:r>
            <w:r>
              <w:rPr>
                <w:rFonts w:hint="eastAsia" w:ascii="Arial" w:hAnsi="Arial" w:cs="Arial"/>
                <w:sz w:val="22"/>
                <w:szCs w:val="22"/>
              </w:rPr>
              <w:t xml:space="preserve">give </w:t>
            </w:r>
            <w:r>
              <w:rPr>
                <w:rFonts w:ascii="Arial" w:hAnsi="Arial" w:cs="Arial"/>
                <w:sz w:val="22"/>
                <w:szCs w:val="22"/>
              </w:rPr>
              <w:t>participants</w:t>
            </w:r>
            <w:r>
              <w:rPr>
                <w:rFonts w:hint="eastAsia" w:ascii="Arial" w:hAnsi="Arial" w:cs="Arial"/>
                <w:sz w:val="22"/>
                <w:szCs w:val="22"/>
              </w:rPr>
              <w:t xml:space="preserve"> </w:t>
            </w:r>
            <w:r>
              <w:rPr>
                <w:rFonts w:ascii="Arial" w:hAnsi="Arial" w:cs="Arial"/>
                <w:sz w:val="22"/>
                <w:szCs w:val="22"/>
              </w:rPr>
              <w:t xml:space="preserve">the </w:t>
            </w:r>
            <w:r>
              <w:rPr>
                <w:rFonts w:hint="eastAsia" w:ascii="Arial" w:hAnsi="Arial" w:cs="Arial"/>
                <w:sz w:val="22"/>
                <w:szCs w:val="22"/>
              </w:rPr>
              <w:t xml:space="preserve">treatment </w:t>
            </w:r>
            <w:r>
              <w:rPr>
                <w:rFonts w:ascii="Arial" w:hAnsi="Arial" w:cs="Arial"/>
                <w:sz w:val="22"/>
                <w:szCs w:val="22"/>
              </w:rPr>
              <w:t>and f</w:t>
            </w:r>
            <w:r>
              <w:rPr>
                <w:rFonts w:hint="eastAsia" w:ascii="Arial" w:hAnsi="Arial" w:cs="Arial"/>
                <w:sz w:val="22"/>
                <w:szCs w:val="22"/>
              </w:rPr>
              <w:t xml:space="preserve">ollow-up schedule. The </w:t>
            </w:r>
            <w:r>
              <w:rPr>
                <w:rFonts w:ascii="Arial" w:hAnsi="Arial" w:cs="Arial"/>
                <w:sz w:val="22"/>
                <w:szCs w:val="22"/>
              </w:rPr>
              <w:t>participants</w:t>
            </w:r>
            <w:r>
              <w:rPr>
                <w:rFonts w:hint="eastAsia" w:ascii="Arial" w:hAnsi="Arial" w:cs="Arial"/>
                <w:sz w:val="22"/>
                <w:szCs w:val="22"/>
              </w:rPr>
              <w:t xml:space="preserve"> </w:t>
            </w:r>
            <w:r>
              <w:rPr>
                <w:rFonts w:ascii="Arial" w:hAnsi="Arial" w:cs="Arial"/>
                <w:sz w:val="22"/>
                <w:szCs w:val="22"/>
              </w:rPr>
              <w:t>who discontinue or deviate from intervention protocols</w:t>
            </w:r>
            <w:r>
              <w:rPr>
                <w:rFonts w:hint="eastAsia" w:ascii="Arial" w:hAnsi="Arial" w:cs="Arial"/>
                <w:sz w:val="22"/>
                <w:szCs w:val="22"/>
              </w:rPr>
              <w:t xml:space="preserve"> </w:t>
            </w:r>
            <w:r>
              <w:rPr>
                <w:rFonts w:ascii="Arial" w:hAnsi="Arial" w:cs="Arial"/>
                <w:sz w:val="22"/>
                <w:szCs w:val="22"/>
              </w:rPr>
              <w:t>w</w:t>
            </w:r>
            <w:r>
              <w:rPr>
                <w:rFonts w:hint="eastAsia" w:ascii="Arial" w:hAnsi="Arial" w:cs="Arial"/>
                <w:sz w:val="22"/>
                <w:szCs w:val="22"/>
              </w:rPr>
              <w:t>ill</w:t>
            </w:r>
            <w:r>
              <w:rPr>
                <w:rFonts w:ascii="Arial" w:hAnsi="Arial" w:cs="Arial"/>
                <w:sz w:val="22"/>
                <w:szCs w:val="22"/>
              </w:rPr>
              <w:t xml:space="preserve"> also be</w:t>
            </w:r>
            <w:r>
              <w:rPr>
                <w:rFonts w:hint="eastAsia" w:ascii="Arial" w:hAnsi="Arial" w:cs="Arial"/>
                <w:sz w:val="22"/>
                <w:szCs w:val="22"/>
              </w:rPr>
              <w:t xml:space="preserve"> given corresponding treatment and follow-up measures.</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Data management</w:t>
            </w:r>
          </w:p>
        </w:tc>
        <w:tc>
          <w:tcPr>
            <w:tcW w:w="610" w:type="dxa"/>
            <w:shd w:val="clear" w:color="auto" w:fill="FFFFFF"/>
          </w:tcPr>
          <w:p>
            <w:pPr>
              <w:rPr>
                <w:rFonts w:ascii="Arial" w:hAnsi="Arial" w:cs="Arial"/>
                <w:sz w:val="22"/>
                <w:szCs w:val="22"/>
              </w:rPr>
            </w:pPr>
            <w:r>
              <w:rPr>
                <w:rFonts w:ascii="Arial" w:hAnsi="Arial" w:cs="Arial"/>
                <w:sz w:val="22"/>
                <w:szCs w:val="22"/>
              </w:rPr>
              <w:t>19</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 xml:space="preserve">Plans for data entry, coding, security, and storage, including any </w:t>
            </w:r>
            <w:r>
              <w:rPr>
                <w:rFonts w:ascii="Arial" w:hAnsi="Arial" w:cs="Arial"/>
                <w:bCs/>
                <w:sz w:val="22"/>
                <w:szCs w:val="22"/>
              </w:rPr>
              <w:t>related processes to promote data quality</w:t>
            </w:r>
            <w:r>
              <w:rPr>
                <w:rFonts w:ascii="Arial" w:hAnsi="Arial" w:cs="Arial"/>
                <w:sz w:val="22"/>
                <w:szCs w:val="22"/>
              </w:rPr>
              <w:t xml:space="preserve"> (eg, double data entry</w:t>
            </w:r>
            <w:r>
              <w:rPr>
                <w:rFonts w:ascii="Arial" w:hAnsi="Arial" w:cs="Arial"/>
                <w:bCs/>
                <w:sz w:val="22"/>
                <w:szCs w:val="22"/>
              </w:rPr>
              <w:t>; range checks for data values</w:t>
            </w:r>
            <w:r>
              <w:rPr>
                <w:rFonts w:ascii="Arial" w:hAnsi="Arial" w:cs="Arial"/>
                <w:sz w:val="22"/>
                <w:szCs w:val="22"/>
              </w:rPr>
              <w:t>). Reference to where details of data management procedures can be found, if not in the protocol</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ascii="Arial" w:hAnsi="Arial" w:cs="Arial"/>
                <w:sz w:val="22"/>
                <w:szCs w:val="22"/>
              </w:rPr>
              <w:t>We will use double data entry to promote data quality.</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Statistical methods</w:t>
            </w:r>
          </w:p>
        </w:tc>
        <w:tc>
          <w:tcPr>
            <w:tcW w:w="610" w:type="dxa"/>
            <w:shd w:val="clear" w:color="auto" w:fill="FFFFFF"/>
          </w:tcPr>
          <w:p>
            <w:pPr>
              <w:rPr>
                <w:rFonts w:ascii="Arial" w:hAnsi="Arial" w:cs="Arial"/>
                <w:sz w:val="22"/>
                <w:szCs w:val="22"/>
              </w:rPr>
            </w:pPr>
            <w:r>
              <w:rPr>
                <w:rFonts w:ascii="Arial" w:hAnsi="Arial" w:cs="Arial"/>
                <w:sz w:val="22"/>
                <w:szCs w:val="22"/>
              </w:rPr>
              <w:t>20a</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Statistical methods for analysing primary and secondary outcomes. Reference to where other details of the statistical analysis plan can be found, if not in the protocol</w:t>
            </w:r>
          </w:p>
          <w:p>
            <w:pPr>
              <w:pStyle w:val="10"/>
              <w:spacing w:after="156" w:afterLines="50"/>
              <w:ind w:firstLine="0" w:firstLineChars="0"/>
              <w:rPr>
                <w:rFonts w:ascii="Arial" w:hAnsi="Arial" w:eastAsia="宋体" w:cs="Arial"/>
                <w:color w:val="000000" w:themeColor="text1"/>
                <w:sz w:val="22"/>
                <w:szCs w:val="22"/>
                <w:lang w:val="en-US" w:eastAsia="zh-CN"/>
                <w14:textFill>
                  <w14:solidFill>
                    <w14:schemeClr w14:val="tx1"/>
                  </w14:solidFill>
                </w14:textFill>
              </w:rPr>
            </w:pPr>
          </w:p>
          <w:p>
            <w:pPr>
              <w:pStyle w:val="10"/>
              <w:spacing w:after="156" w:afterLines="50"/>
              <w:ind w:firstLine="0" w:firstLineChars="0"/>
              <w:rPr>
                <w:rFonts w:ascii="Arial" w:hAnsi="Arial" w:cs="Arial"/>
                <w:sz w:val="22"/>
                <w:szCs w:val="22"/>
                <w:lang w:val="en-US"/>
              </w:rPr>
            </w:pPr>
            <w:r>
              <w:rPr>
                <w:rFonts w:hint="eastAsia" w:ascii="Arial" w:hAnsi="Arial" w:eastAsia="宋体" w:cs="Arial"/>
                <w:color w:val="000000" w:themeColor="text1"/>
                <w:sz w:val="22"/>
                <w:szCs w:val="22"/>
                <w:lang w:val="en-US" w:eastAsia="zh-CN"/>
                <w14:textFill>
                  <w14:solidFill>
                    <w14:schemeClr w14:val="tx1"/>
                  </w14:solidFill>
                </w14:textFill>
              </w:rPr>
              <w:t>Page 7, Statistical analysis</w:t>
            </w:r>
          </w:p>
          <w:p>
            <w:pPr>
              <w:pStyle w:val="10"/>
              <w:tabs>
                <w:tab w:val="left" w:pos="735"/>
              </w:tabs>
              <w:spacing w:after="163" w:afterLines="50"/>
              <w:ind w:left="0" w:leftChars="0" w:right="-5" w:firstLine="0" w:firstLineChars="0"/>
              <w:rPr>
                <w:rFonts w:ascii="Arial" w:hAnsi="Arial" w:cs="Arial"/>
                <w:sz w:val="22"/>
                <w:szCs w:val="22"/>
              </w:rPr>
            </w:pPr>
            <w:r>
              <w:rPr>
                <w:rFonts w:ascii="Times New Roman" w:hAnsi="Times New Roman" w:cs="Times New Roman"/>
                <w:color w:val="000000" w:themeColor="text1"/>
                <w:kern w:val="0"/>
                <w14:textFill>
                  <w14:solidFill>
                    <w14:schemeClr w14:val="tx1"/>
                  </w14:solidFill>
                </w14:textFill>
              </w:rPr>
              <w:t>Comparisons of categorical outcome measures such as response rate, survival rate, incidence of adverse effects</w:t>
            </w:r>
            <w:r>
              <w:rPr>
                <w:rFonts w:ascii="Times New Roman" w:hAnsi="Times New Roman" w:eastAsia="宋体" w:cs="Times New Roman"/>
                <w:color w:val="000000"/>
                <w:kern w:val="0"/>
              </w:rPr>
              <w:t>,</w:t>
            </w:r>
            <w:r>
              <w:rPr>
                <w:rFonts w:ascii="Times New Roman" w:hAnsi="Times New Roman" w:cs="Times New Roman"/>
                <w:color w:val="000000" w:themeColor="text1"/>
                <w:kern w:val="0"/>
                <w14:textFill>
                  <w14:solidFill>
                    <w14:schemeClr w14:val="tx1"/>
                  </w14:solidFill>
                </w14:textFill>
              </w:rPr>
              <w:t xml:space="preserve"> etc. will be computed using the chi-square test or Fisher’s exact test if any of the expected </w:t>
            </w:r>
            <w:r>
              <w:rPr>
                <w:rFonts w:ascii="Times New Roman" w:hAnsi="Times New Roman" w:eastAsia="宋体" w:cs="Times New Roman"/>
                <w:color w:val="000000"/>
                <w:kern w:val="0"/>
              </w:rPr>
              <w:t>values</w:t>
            </w:r>
            <w:r>
              <w:rPr>
                <w:rFonts w:ascii="Times New Roman" w:hAnsi="Times New Roman" w:cs="Times New Roman"/>
                <w:color w:val="000000" w:themeColor="text1"/>
                <w:kern w:val="0"/>
                <w14:textFill>
                  <w14:solidFill>
                    <w14:schemeClr w14:val="tx1"/>
                  </w14:solidFill>
                </w14:textFill>
              </w:rPr>
              <w:t xml:space="preserve"> in the contingency table </w:t>
            </w:r>
            <w:r>
              <w:rPr>
                <w:rFonts w:ascii="Times New Roman" w:hAnsi="Times New Roman" w:eastAsia="宋体" w:cs="Times New Roman"/>
                <w:color w:val="000000"/>
                <w:kern w:val="0"/>
              </w:rPr>
              <w:t>are</w:t>
            </w:r>
            <w:r>
              <w:rPr>
                <w:rFonts w:ascii="Times New Roman" w:hAnsi="Times New Roman" w:cs="Times New Roman"/>
                <w:color w:val="000000" w:themeColor="text1"/>
                <w:kern w:val="0"/>
                <w14:textFill>
                  <w14:solidFill>
                    <w14:schemeClr w14:val="tx1"/>
                  </w14:solidFill>
                </w14:textFill>
              </w:rPr>
              <w:t xml:space="preserve"> less than 5. Kaplan-</w:t>
            </w:r>
            <w:r>
              <w:rPr>
                <w:rFonts w:ascii="Times New Roman" w:hAnsi="Times New Roman" w:eastAsia="宋体" w:cs="Times New Roman"/>
                <w:color w:val="000000"/>
                <w:kern w:val="0"/>
              </w:rPr>
              <w:t>Meier</w:t>
            </w:r>
            <w:r>
              <w:rPr>
                <w:rFonts w:ascii="Times New Roman" w:hAnsi="Times New Roman" w:cs="Times New Roman"/>
                <w:color w:val="000000" w:themeColor="text1"/>
                <w:kern w:val="0"/>
                <w14:textFill>
                  <w14:solidFill>
                    <w14:schemeClr w14:val="tx1"/>
                  </w14:solidFill>
                </w14:textFill>
              </w:rPr>
              <w:t xml:space="preserve"> survival analysis will be used for 2-year</w:t>
            </w:r>
            <w:r>
              <w:rPr>
                <w:rFonts w:hint="eastAsia" w:ascii="Times New Roman" w:hAnsi="Times New Roman" w:cs="Times New Roman"/>
                <w:color w:val="000000" w:themeColor="text1"/>
                <w:kern w:val="0"/>
                <w14:textFill>
                  <w14:solidFill>
                    <w14:schemeClr w14:val="tx1"/>
                  </w14:solidFill>
                </w14:textFill>
              </w:rPr>
              <w:t xml:space="preserve"> and </w:t>
            </w:r>
            <w:r>
              <w:rPr>
                <w:rFonts w:ascii="Times New Roman" w:hAnsi="Times New Roman" w:cs="Times New Roman"/>
                <w:color w:val="000000" w:themeColor="text1"/>
                <w:kern w:val="0"/>
                <w14:textFill>
                  <w14:solidFill>
                    <w14:schemeClr w14:val="tx1"/>
                  </w14:solidFill>
                </w14:textFill>
              </w:rPr>
              <w:t xml:space="preserve">5-year overall survival and </w:t>
            </w:r>
            <w:r>
              <w:rPr>
                <w:rFonts w:hint="eastAsia" w:ascii="Times New Roman" w:hAnsi="Times New Roman" w:cs="Times New Roman"/>
                <w:color w:val="000000" w:themeColor="text1"/>
                <w:kern w:val="0"/>
                <w14:textFill>
                  <w14:solidFill>
                    <w14:schemeClr w14:val="tx1"/>
                  </w14:solidFill>
                </w14:textFill>
              </w:rPr>
              <w:t xml:space="preserve">disease-free survival </w:t>
            </w:r>
            <w:r>
              <w:rPr>
                <w:rFonts w:ascii="Times New Roman" w:hAnsi="Times New Roman" w:eastAsia="宋体" w:cs="Times New Roman"/>
                <w:color w:val="000000"/>
                <w:kern w:val="0"/>
              </w:rPr>
              <w:t>comparisons</w:t>
            </w:r>
            <w:r>
              <w:rPr>
                <w:rFonts w:ascii="Times New Roman" w:hAnsi="Times New Roman" w:cs="Times New Roman"/>
                <w:color w:val="000000" w:themeColor="text1"/>
                <w:kern w:val="0"/>
                <w14:textFill>
                  <w14:solidFill>
                    <w14:schemeClr w14:val="tx1"/>
                  </w14:solidFill>
                </w14:textFill>
              </w:rPr>
              <w:t xml:space="preserve">. Relative risks, or odds ratios, with their corresponding 95% confidence intervals will be analyzed by </w:t>
            </w:r>
            <w:r>
              <w:t>multivariable</w:t>
            </w:r>
            <w:r>
              <w:rPr>
                <w:rFonts w:ascii="Times New Roman" w:hAnsi="Times New Roman" w:cs="Times New Roman"/>
                <w:color w:val="000000" w:themeColor="text1"/>
                <w:kern w:val="0"/>
                <w14:textFill>
                  <w14:solidFill>
                    <w14:schemeClr w14:val="tx1"/>
                  </w14:solidFill>
                </w14:textFill>
              </w:rPr>
              <w:t xml:space="preserve"> logistic regression. A P-value of &lt;0.05 </w:t>
            </w:r>
            <w:r>
              <w:rPr>
                <w:rFonts w:ascii="Times New Roman" w:hAnsi="Times New Roman" w:eastAsia="宋体" w:cs="Times New Roman"/>
                <w:color w:val="000000"/>
                <w:kern w:val="0"/>
              </w:rPr>
              <w:t>was</w:t>
            </w:r>
            <w:r>
              <w:rPr>
                <w:rFonts w:ascii="Times New Roman" w:hAnsi="Times New Roman" w:cs="Times New Roman"/>
                <w:color w:val="000000" w:themeColor="text1"/>
                <w:kern w:val="0"/>
                <w14:textFill>
                  <w14:solidFill>
                    <w14:schemeClr w14:val="tx1"/>
                  </w14:solidFill>
                </w14:textFill>
              </w:rPr>
              <w:t xml:space="preserve"> considered significant.</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p>
        </w:tc>
        <w:tc>
          <w:tcPr>
            <w:tcW w:w="610" w:type="dxa"/>
            <w:shd w:val="clear" w:color="auto" w:fill="FFFFFF"/>
          </w:tcPr>
          <w:p>
            <w:pPr>
              <w:rPr>
                <w:rFonts w:ascii="Arial" w:hAnsi="Arial" w:cs="Arial"/>
                <w:sz w:val="22"/>
                <w:szCs w:val="22"/>
              </w:rPr>
            </w:pPr>
            <w:r>
              <w:rPr>
                <w:rFonts w:ascii="Arial" w:hAnsi="Arial" w:cs="Arial"/>
                <w:sz w:val="22"/>
                <w:szCs w:val="22"/>
              </w:rPr>
              <w:t>20b</w:t>
            </w:r>
          </w:p>
        </w:tc>
        <w:tc>
          <w:tcPr>
            <w:tcW w:w="6415" w:type="dxa"/>
            <w:shd w:val="clear" w:color="auto" w:fill="FFFFFF"/>
          </w:tcPr>
          <w:p>
            <w:pPr>
              <w:rPr>
                <w:rFonts w:ascii="Arial" w:hAnsi="Arial" w:cs="Arial"/>
                <w:sz w:val="22"/>
                <w:szCs w:val="22"/>
              </w:rPr>
            </w:pPr>
            <w:r>
              <w:rPr>
                <w:rFonts w:ascii="Arial" w:hAnsi="Arial" w:cs="Arial"/>
                <w:sz w:val="22"/>
                <w:szCs w:val="22"/>
              </w:rPr>
              <w:t>Methods for any additional analyses (eg, subgroup and adjusted analyses)</w:t>
            </w:r>
          </w:p>
          <w:p>
            <w:pPr>
              <w:rPr>
                <w:rFonts w:ascii="Arial" w:hAnsi="Arial" w:cs="Arial"/>
                <w:sz w:val="22"/>
                <w:szCs w:val="22"/>
              </w:rPr>
            </w:pPr>
          </w:p>
          <w:p>
            <w:pPr>
              <w:pStyle w:val="10"/>
              <w:spacing w:after="156" w:afterLines="50"/>
              <w:ind w:firstLine="0" w:firstLineChars="0"/>
              <w:rPr>
                <w:rFonts w:ascii="Arial" w:hAnsi="Arial" w:cs="Arial"/>
                <w:sz w:val="22"/>
                <w:szCs w:val="22"/>
              </w:rPr>
            </w:pPr>
            <w:r>
              <w:rPr>
                <w:rFonts w:hint="eastAsia" w:ascii="Arial" w:hAnsi="Arial" w:eastAsia="宋体" w:cs="Arial"/>
                <w:color w:val="000000" w:themeColor="text1"/>
                <w:sz w:val="22"/>
                <w:szCs w:val="22"/>
                <w:lang w:val="en-US" w:eastAsia="zh-CN"/>
                <w14:textFill>
                  <w14:solidFill>
                    <w14:schemeClr w14:val="tx1"/>
                  </w14:solidFill>
                </w14:textFill>
              </w:rPr>
              <w:t>Page 7, Statistical analysis</w:t>
            </w:r>
          </w:p>
          <w:p>
            <w:pPr>
              <w:rPr>
                <w:rFonts w:ascii="Arial" w:hAnsi="Arial" w:cs="Arial"/>
                <w:sz w:val="22"/>
                <w:szCs w:val="22"/>
              </w:rPr>
            </w:pPr>
            <w:r>
              <w:rPr>
                <w:rFonts w:ascii="Times New Roman" w:hAnsi="Times New Roman" w:cs="Times New Roman"/>
                <w:color w:val="000000" w:themeColor="text1"/>
                <w:kern w:val="0"/>
                <w14:textFill>
                  <w14:solidFill>
                    <w14:schemeClr w14:val="tx1"/>
                  </w14:solidFill>
                </w14:textFill>
              </w:rPr>
              <w:t xml:space="preserve">Baseline characteristics (age, tumor size, </w:t>
            </w:r>
            <w:r>
              <w:rPr>
                <w:rFonts w:hint="eastAsia" w:ascii="Times New Roman" w:hAnsi="Times New Roman" w:cs="Times New Roman"/>
                <w:color w:val="000000" w:themeColor="text1"/>
                <w:kern w:val="0"/>
                <w14:textFill>
                  <w14:solidFill>
                    <w14:schemeClr w14:val="tx1"/>
                  </w14:solidFill>
                </w14:textFill>
              </w:rPr>
              <w:t xml:space="preserve">tumor </w:t>
            </w:r>
            <w:r>
              <w:rPr>
                <w:rFonts w:ascii="Times New Roman" w:hAnsi="Times New Roman" w:cs="Times New Roman"/>
                <w:color w:val="000000" w:themeColor="text1"/>
                <w:kern w:val="0"/>
                <w14:textFill>
                  <w14:solidFill>
                    <w14:schemeClr w14:val="tx1"/>
                  </w14:solidFill>
                </w14:textFill>
              </w:rPr>
              <w:t>stage, etc</w:t>
            </w:r>
            <w:r>
              <w:rPr>
                <w:rFonts w:ascii="Times New Roman" w:hAnsi="Times New Roman" w:eastAsia="宋体" w:cs="Times New Roman"/>
                <w:color w:val="000000"/>
                <w:kern w:val="0"/>
              </w:rPr>
              <w:t>.</w:t>
            </w:r>
            <w:r>
              <w:rPr>
                <w:rFonts w:ascii="Times New Roman" w:hAnsi="Times New Roman" w:cs="Times New Roman"/>
                <w:color w:val="000000" w:themeColor="text1"/>
                <w:kern w:val="0"/>
                <w14:textFill>
                  <w14:solidFill>
                    <w14:schemeClr w14:val="tx1"/>
                  </w14:solidFill>
                </w14:textFill>
              </w:rPr>
              <w:t>) for both treatment groups will be compared to ensure comparability of the patient populations to rule out selection bias. Means and standard deviations will be used to report continuous variables, and proportions will be used to report categorical variables.</w:t>
            </w:r>
            <w:r>
              <w:rPr>
                <w:color w:val="000000" w:themeColor="text1"/>
                <w14:textFill>
                  <w14:solidFill>
                    <w14:schemeClr w14:val="tx1"/>
                  </w14:solidFill>
                </w14:textFill>
              </w:rPr>
              <w:t xml:space="preserve"> </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p>
        </w:tc>
        <w:tc>
          <w:tcPr>
            <w:tcW w:w="610" w:type="dxa"/>
            <w:shd w:val="clear" w:color="auto" w:fill="FFFFFF"/>
          </w:tcPr>
          <w:p>
            <w:pPr>
              <w:rPr>
                <w:rFonts w:ascii="Arial" w:hAnsi="Arial" w:cs="Arial"/>
                <w:sz w:val="22"/>
                <w:szCs w:val="22"/>
              </w:rPr>
            </w:pPr>
            <w:r>
              <w:rPr>
                <w:rFonts w:ascii="Arial" w:hAnsi="Arial" w:cs="Arial"/>
                <w:sz w:val="22"/>
                <w:szCs w:val="22"/>
              </w:rPr>
              <w:t>20c</w:t>
            </w:r>
          </w:p>
        </w:tc>
        <w:tc>
          <w:tcPr>
            <w:tcW w:w="6415" w:type="dxa"/>
            <w:shd w:val="clear" w:color="auto" w:fill="FFFFFF"/>
          </w:tcPr>
          <w:p>
            <w:pPr>
              <w:rPr>
                <w:rFonts w:ascii="Arial" w:hAnsi="Arial" w:cs="Arial"/>
                <w:sz w:val="22"/>
                <w:szCs w:val="22"/>
              </w:rPr>
            </w:pPr>
            <w:r>
              <w:rPr>
                <w:rFonts w:ascii="Arial" w:hAnsi="Arial" w:cs="Arial"/>
                <w:sz w:val="22"/>
                <w:szCs w:val="22"/>
              </w:rPr>
              <w:t>Definition of analysis population relating to protocol non-adherence (eg, as randomised analysis), and any statistical methods to handle missing data (eg, multiple imputation)</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ascii="Arial" w:hAnsi="Arial" w:cs="Arial"/>
                <w:sz w:val="22"/>
                <w:szCs w:val="22"/>
              </w:rPr>
              <w:t>I</w:t>
            </w:r>
            <w:r>
              <w:rPr>
                <w:rFonts w:hint="eastAsia" w:ascii="Arial" w:hAnsi="Arial" w:cs="Arial"/>
                <w:sz w:val="22"/>
                <w:szCs w:val="22"/>
              </w:rPr>
              <w:t xml:space="preserve">n this study, for missing data, </w:t>
            </w:r>
            <w:r>
              <w:rPr>
                <w:rFonts w:ascii="Arial" w:hAnsi="Arial" w:cs="Arial"/>
                <w:sz w:val="22"/>
                <w:szCs w:val="22"/>
              </w:rPr>
              <w:t>multiple imputation will be</w:t>
            </w:r>
            <w:r>
              <w:rPr>
                <w:rFonts w:hint="eastAsia" w:ascii="Arial" w:hAnsi="Arial" w:cs="Arial"/>
                <w:sz w:val="22"/>
                <w:szCs w:val="22"/>
              </w:rPr>
              <w:t xml:space="preserve"> used</w:t>
            </w:r>
            <w:r>
              <w:rPr>
                <w:rFonts w:ascii="Arial" w:hAnsi="Arial" w:cs="Arial"/>
                <w:sz w:val="22"/>
                <w:szCs w:val="22"/>
              </w:rPr>
              <w:t>.</w:t>
            </w:r>
          </w:p>
        </w:tc>
      </w:tr>
      <w:tr>
        <w:tblPrEx>
          <w:shd w:val="clear" w:color="auto" w:fill="FFFFFF"/>
          <w:tblCellMar>
            <w:top w:w="0" w:type="dxa"/>
            <w:left w:w="56" w:type="dxa"/>
            <w:bottom w:w="0" w:type="dxa"/>
            <w:right w:w="56" w:type="dxa"/>
          </w:tblCellMar>
        </w:tblPrEx>
        <w:trPr>
          <w:cantSplit/>
          <w:trHeight w:val="259" w:hRule="atLeast"/>
        </w:trPr>
        <w:tc>
          <w:tcPr>
            <w:tcW w:w="8783" w:type="dxa"/>
            <w:gridSpan w:val="3"/>
            <w:shd w:val="clear" w:color="auto" w:fill="FFFFFF"/>
            <w:tcMar>
              <w:top w:w="85" w:type="dxa"/>
              <w:bottom w:w="85" w:type="dxa"/>
            </w:tcMar>
          </w:tcPr>
          <w:p>
            <w:pPr>
              <w:rPr>
                <w:rFonts w:ascii="Arial" w:hAnsi="Arial" w:cs="Arial"/>
                <w:sz w:val="22"/>
                <w:szCs w:val="22"/>
              </w:rPr>
            </w:pPr>
            <w:r>
              <w:rPr>
                <w:rFonts w:ascii="Arial" w:hAnsi="Arial" w:cs="Arial"/>
                <w:b/>
                <w:sz w:val="22"/>
                <w:szCs w:val="22"/>
              </w:rPr>
              <w:t>Methods: Monitoring</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Data monitoring</w:t>
            </w:r>
          </w:p>
        </w:tc>
        <w:tc>
          <w:tcPr>
            <w:tcW w:w="610" w:type="dxa"/>
            <w:shd w:val="clear" w:color="auto" w:fill="FFFFFF"/>
          </w:tcPr>
          <w:p>
            <w:pPr>
              <w:rPr>
                <w:rFonts w:ascii="Arial" w:hAnsi="Arial" w:cs="Arial"/>
                <w:sz w:val="22"/>
                <w:szCs w:val="22"/>
              </w:rPr>
            </w:pPr>
            <w:r>
              <w:rPr>
                <w:rFonts w:ascii="Arial" w:hAnsi="Arial" w:cs="Arial"/>
                <w:sz w:val="22"/>
                <w:szCs w:val="22"/>
              </w:rPr>
              <w:t>21a</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hint="eastAsia" w:ascii="Arial" w:hAnsi="Arial" w:cs="Arial"/>
                <w:sz w:val="22"/>
                <w:szCs w:val="22"/>
              </w:rPr>
              <w:t xml:space="preserve">We use </w:t>
            </w:r>
            <w:r>
              <w:rPr>
                <w:rFonts w:ascii="Arial" w:hAnsi="Arial" w:cs="Arial"/>
                <w:sz w:val="22"/>
                <w:szCs w:val="22"/>
              </w:rPr>
              <w:t>R</w:t>
            </w:r>
            <w:r>
              <w:rPr>
                <w:rFonts w:hint="eastAsia" w:ascii="Arial" w:hAnsi="Arial" w:cs="Arial"/>
                <w:sz w:val="22"/>
                <w:szCs w:val="22"/>
              </w:rPr>
              <w:t>es</w:t>
            </w:r>
            <w:r>
              <w:rPr>
                <w:rFonts w:ascii="Arial" w:hAnsi="Arial" w:cs="Arial"/>
                <w:sz w:val="22"/>
                <w:szCs w:val="22"/>
              </w:rPr>
              <w:t>M</w:t>
            </w:r>
            <w:r>
              <w:rPr>
                <w:rFonts w:hint="eastAsia" w:ascii="Arial" w:hAnsi="Arial" w:cs="Arial"/>
                <w:sz w:val="22"/>
                <w:szCs w:val="22"/>
              </w:rPr>
              <w:t>an as data monitor</w:t>
            </w:r>
            <w:r>
              <w:rPr>
                <w:rFonts w:ascii="Arial" w:hAnsi="Arial" w:cs="Arial"/>
                <w:sz w:val="22"/>
                <w:szCs w:val="22"/>
              </w:rPr>
              <w:t xml:space="preserve"> system.</w:t>
            </w:r>
          </w:p>
        </w:tc>
      </w:tr>
      <w:tr>
        <w:tblPrEx>
          <w:shd w:val="clear" w:color="auto" w:fill="FFFFFF"/>
          <w:tblCellMar>
            <w:top w:w="0" w:type="dxa"/>
            <w:left w:w="56" w:type="dxa"/>
            <w:bottom w:w="0" w:type="dxa"/>
            <w:right w:w="56" w:type="dxa"/>
          </w:tblCellMar>
        </w:tblPrEx>
        <w:trPr>
          <w:cantSplit/>
          <w:trHeight w:val="491" w:hRule="atLeast"/>
        </w:trPr>
        <w:tc>
          <w:tcPr>
            <w:tcW w:w="1758" w:type="dxa"/>
            <w:shd w:val="clear" w:color="auto" w:fill="FFFFFF"/>
            <w:tcMar>
              <w:top w:w="85" w:type="dxa"/>
              <w:bottom w:w="85" w:type="dxa"/>
            </w:tcMar>
          </w:tcPr>
          <w:p>
            <w:pPr>
              <w:rPr>
                <w:rFonts w:ascii="Arial" w:hAnsi="Arial" w:cs="Arial"/>
                <w:sz w:val="22"/>
                <w:szCs w:val="22"/>
              </w:rPr>
            </w:pPr>
          </w:p>
        </w:tc>
        <w:tc>
          <w:tcPr>
            <w:tcW w:w="610" w:type="dxa"/>
            <w:shd w:val="clear" w:color="auto" w:fill="FFFFFF"/>
          </w:tcPr>
          <w:p>
            <w:pPr>
              <w:rPr>
                <w:rFonts w:ascii="Arial" w:hAnsi="Arial" w:cs="Arial"/>
                <w:sz w:val="22"/>
                <w:szCs w:val="22"/>
              </w:rPr>
            </w:pPr>
            <w:r>
              <w:rPr>
                <w:rFonts w:ascii="Arial" w:hAnsi="Arial" w:cs="Arial"/>
                <w:sz w:val="22"/>
                <w:szCs w:val="22"/>
              </w:rPr>
              <w:t>21b</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Description of any interim analyses and stopping guidelines, including who will have access to these interim results and make the final decision to terminate the trial</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ascii="Arial" w:hAnsi="Arial" w:cs="Arial"/>
                <w:sz w:val="22"/>
                <w:szCs w:val="22"/>
              </w:rPr>
              <w:t>The monitor of the trial will have access to these interim results and make the final decision to terminate the trial.</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Harms</w:t>
            </w:r>
          </w:p>
        </w:tc>
        <w:tc>
          <w:tcPr>
            <w:tcW w:w="610" w:type="dxa"/>
            <w:shd w:val="clear" w:color="auto" w:fill="FFFFFF"/>
          </w:tcPr>
          <w:p>
            <w:pPr>
              <w:rPr>
                <w:rFonts w:ascii="Arial" w:hAnsi="Arial" w:cs="Arial"/>
                <w:sz w:val="22"/>
                <w:szCs w:val="22"/>
              </w:rPr>
            </w:pPr>
            <w:r>
              <w:rPr>
                <w:rFonts w:ascii="Arial" w:hAnsi="Arial" w:cs="Arial"/>
                <w:sz w:val="22"/>
                <w:szCs w:val="22"/>
              </w:rPr>
              <w:t>22</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Plans for collecting, assessing, reporting, and managing solicited and spontaneously reported adverse events and other unintended effects of trial interventions or trial conduct</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hint="eastAsia" w:ascii="Arial" w:hAnsi="Arial" w:cs="Arial"/>
                <w:sz w:val="22"/>
                <w:szCs w:val="22"/>
              </w:rPr>
              <w:t xml:space="preserve">All adverse events should be followed up until they are properly resolved or the condition is stable. Serious adverse events </w:t>
            </w:r>
            <w:r>
              <w:rPr>
                <w:rFonts w:ascii="Arial" w:hAnsi="Arial" w:cs="Arial"/>
                <w:sz w:val="22"/>
                <w:szCs w:val="22"/>
              </w:rPr>
              <w:t>will be</w:t>
            </w:r>
            <w:r>
              <w:rPr>
                <w:rFonts w:hint="eastAsia" w:ascii="Arial" w:hAnsi="Arial" w:cs="Arial"/>
                <w:sz w:val="22"/>
                <w:szCs w:val="22"/>
              </w:rPr>
              <w:t xml:space="preserve"> followed up every day until the adverse events were relieved.</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Auditing</w:t>
            </w:r>
          </w:p>
        </w:tc>
        <w:tc>
          <w:tcPr>
            <w:tcW w:w="610" w:type="dxa"/>
            <w:shd w:val="clear" w:color="auto" w:fill="FFFFFF"/>
          </w:tcPr>
          <w:p>
            <w:pPr>
              <w:rPr>
                <w:rFonts w:ascii="Arial" w:hAnsi="Arial" w:cs="Arial"/>
                <w:sz w:val="22"/>
                <w:szCs w:val="22"/>
              </w:rPr>
            </w:pPr>
            <w:r>
              <w:rPr>
                <w:rFonts w:ascii="Arial" w:hAnsi="Arial" w:cs="Arial"/>
                <w:sz w:val="22"/>
                <w:szCs w:val="22"/>
              </w:rPr>
              <w:t>23</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Frequency and procedures for auditing trial conduct, if any, and whether the process will be independent from investigators and the sponsor</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ascii="Arial" w:hAnsi="Arial" w:cs="Arial"/>
                <w:sz w:val="22"/>
                <w:szCs w:val="22"/>
              </w:rPr>
              <w:t>We don’t have auditing trial conduct.</w:t>
            </w:r>
          </w:p>
        </w:tc>
      </w:tr>
      <w:tr>
        <w:tblPrEx>
          <w:tblCellMar>
            <w:top w:w="0" w:type="dxa"/>
            <w:left w:w="56" w:type="dxa"/>
            <w:bottom w:w="0" w:type="dxa"/>
            <w:right w:w="56" w:type="dxa"/>
          </w:tblCellMar>
        </w:tblPrEx>
        <w:trPr>
          <w:cantSplit/>
          <w:trHeight w:val="259" w:hRule="atLeast"/>
        </w:trPr>
        <w:tc>
          <w:tcPr>
            <w:tcW w:w="8783" w:type="dxa"/>
            <w:gridSpan w:val="3"/>
            <w:shd w:val="clear" w:color="auto" w:fill="auto"/>
            <w:tcMar>
              <w:top w:w="85" w:type="dxa"/>
              <w:bottom w:w="85" w:type="dxa"/>
            </w:tcMar>
          </w:tcPr>
          <w:p>
            <w:pPr>
              <w:pStyle w:val="9"/>
              <w:rPr>
                <w:rFonts w:ascii="Arial" w:hAnsi="Arial" w:cs="Arial"/>
                <w:sz w:val="22"/>
                <w:szCs w:val="22"/>
              </w:rPr>
            </w:pPr>
            <w:r>
              <w:rPr>
                <w:rFonts w:ascii="Arial" w:hAnsi="Arial" w:cs="Arial"/>
                <w:sz w:val="22"/>
                <w:szCs w:val="22"/>
              </w:rPr>
              <w:t>Ethics and dissemination</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Research ethics approval</w:t>
            </w:r>
          </w:p>
        </w:tc>
        <w:tc>
          <w:tcPr>
            <w:tcW w:w="610" w:type="dxa"/>
            <w:shd w:val="clear" w:color="auto" w:fill="auto"/>
          </w:tcPr>
          <w:p>
            <w:pPr>
              <w:rPr>
                <w:rFonts w:ascii="Arial" w:hAnsi="Arial" w:cs="Arial"/>
                <w:sz w:val="22"/>
                <w:szCs w:val="22"/>
              </w:rPr>
            </w:pPr>
            <w:r>
              <w:rPr>
                <w:rFonts w:ascii="Arial" w:hAnsi="Arial" w:cs="Arial"/>
                <w:sz w:val="22"/>
                <w:szCs w:val="22"/>
              </w:rPr>
              <w:t>24</w:t>
            </w:r>
          </w:p>
        </w:tc>
        <w:tc>
          <w:tcPr>
            <w:tcW w:w="6415" w:type="dxa"/>
            <w:shd w:val="clear" w:color="auto" w:fill="auto"/>
            <w:tcMar>
              <w:top w:w="85" w:type="dxa"/>
              <w:bottom w:w="85" w:type="dxa"/>
            </w:tcMar>
          </w:tcPr>
          <w:p>
            <w:pPr>
              <w:rPr>
                <w:rFonts w:ascii="Arial" w:hAnsi="Arial" w:cs="Arial"/>
                <w:sz w:val="22"/>
                <w:szCs w:val="22"/>
              </w:rPr>
            </w:pPr>
            <w:r>
              <w:rPr>
                <w:rFonts w:ascii="Arial" w:hAnsi="Arial" w:cs="Arial"/>
                <w:sz w:val="22"/>
                <w:szCs w:val="22"/>
              </w:rPr>
              <w:t>Plans for seeking research ethics committee/institutional review board (REC/IRB) approval</w:t>
            </w:r>
          </w:p>
          <w:p>
            <w:pPr>
              <w:pStyle w:val="10"/>
              <w:spacing w:after="156" w:afterLines="50"/>
              <w:ind w:firstLine="0" w:firstLineChars="0"/>
              <w:rPr>
                <w:rFonts w:ascii="Arial" w:hAnsi="Arial" w:eastAsia="宋体" w:cs="Arial"/>
                <w:color w:val="000000" w:themeColor="text1"/>
                <w:sz w:val="22"/>
                <w:szCs w:val="22"/>
                <w:lang w:val="en-US" w:eastAsia="zh-CN"/>
                <w14:textFill>
                  <w14:solidFill>
                    <w14:schemeClr w14:val="tx1"/>
                  </w14:solidFill>
                </w14:textFill>
              </w:rPr>
            </w:pPr>
          </w:p>
          <w:p>
            <w:pPr>
              <w:pStyle w:val="10"/>
              <w:spacing w:after="156" w:afterLines="50"/>
              <w:ind w:firstLine="0" w:firstLineChars="0"/>
              <w:rPr>
                <w:rFonts w:ascii="Arial" w:hAnsi="Arial" w:cs="Arial"/>
                <w:sz w:val="22"/>
                <w:szCs w:val="22"/>
                <w:lang w:val="en-US"/>
              </w:rPr>
            </w:pPr>
            <w:r>
              <w:rPr>
                <w:rFonts w:hint="eastAsia" w:ascii="Arial" w:hAnsi="Arial" w:eastAsia="宋体" w:cs="Arial"/>
                <w:color w:val="000000" w:themeColor="text1"/>
                <w:sz w:val="22"/>
                <w:szCs w:val="22"/>
                <w:lang w:val="en-US" w:eastAsia="zh-CN"/>
                <w14:textFill>
                  <w14:solidFill>
                    <w14:schemeClr w14:val="tx1"/>
                  </w14:solidFill>
                </w14:textFill>
              </w:rPr>
              <w:t>Page 3, Methods, pagagraph1 (Ethical approval)</w:t>
            </w:r>
          </w:p>
          <w:p>
            <w:pPr>
              <w:rPr>
                <w:rFonts w:ascii="Arial" w:hAnsi="Arial" w:cs="Arial"/>
                <w:sz w:val="22"/>
                <w:szCs w:val="22"/>
              </w:rPr>
            </w:pPr>
            <w:r>
              <w:rPr>
                <w:rFonts w:ascii="Times New Roman" w:hAnsi="Times New Roman" w:cs="Times New Roman"/>
                <w:bCs/>
                <w:color w:val="000000" w:themeColor="text1"/>
                <w14:textFill>
                  <w14:solidFill>
                    <w14:schemeClr w14:val="tx1"/>
                  </w14:solidFill>
                </w14:textFill>
              </w:rPr>
              <w:t>The study protocol was approved by Shanghai Jiaotong University School of Medicine affiliated with Ruijin Hospital Ethics Committee (N-2018-239).</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Protocol amendments</w:t>
            </w:r>
          </w:p>
        </w:tc>
        <w:tc>
          <w:tcPr>
            <w:tcW w:w="610" w:type="dxa"/>
            <w:shd w:val="clear" w:color="auto" w:fill="auto"/>
          </w:tcPr>
          <w:p>
            <w:pPr>
              <w:rPr>
                <w:rFonts w:ascii="Arial" w:hAnsi="Arial" w:cs="Arial"/>
                <w:sz w:val="22"/>
                <w:szCs w:val="22"/>
              </w:rPr>
            </w:pPr>
            <w:r>
              <w:rPr>
                <w:rFonts w:ascii="Arial" w:hAnsi="Arial" w:cs="Arial"/>
                <w:sz w:val="22"/>
                <w:szCs w:val="22"/>
              </w:rPr>
              <w:t>25</w:t>
            </w:r>
          </w:p>
        </w:tc>
        <w:tc>
          <w:tcPr>
            <w:tcW w:w="6415" w:type="dxa"/>
            <w:shd w:val="clear" w:color="auto" w:fill="auto"/>
            <w:tcMar>
              <w:top w:w="85" w:type="dxa"/>
              <w:bottom w:w="85" w:type="dxa"/>
            </w:tcMar>
          </w:tcPr>
          <w:p>
            <w:pPr>
              <w:rPr>
                <w:rFonts w:ascii="Arial" w:hAnsi="Arial" w:cs="Arial"/>
                <w:sz w:val="22"/>
                <w:szCs w:val="22"/>
              </w:rPr>
            </w:pPr>
            <w:r>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p>
            <w:pPr>
              <w:rPr>
                <w:rFonts w:ascii="Arial" w:hAnsi="Arial" w:eastAsia="宋体" w:cs="Arial"/>
                <w:color w:val="FF0000"/>
                <w:sz w:val="22"/>
                <w:szCs w:val="22"/>
                <w:lang w:val="en-US" w:eastAsia="zh-CN"/>
              </w:rPr>
            </w:pPr>
            <w:r>
              <w:rPr>
                <w:rFonts w:hint="eastAsia" w:ascii="Arial" w:hAnsi="Arial" w:eastAsia="宋体" w:cs="Arial"/>
                <w:sz w:val="22"/>
                <w:szCs w:val="22"/>
                <w:lang w:val="en-US" w:eastAsia="zh-CN"/>
              </w:rPr>
              <w:t>N/A</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Consent or assent</w:t>
            </w:r>
          </w:p>
        </w:tc>
        <w:tc>
          <w:tcPr>
            <w:tcW w:w="610" w:type="dxa"/>
            <w:shd w:val="clear" w:color="auto" w:fill="auto"/>
          </w:tcPr>
          <w:p>
            <w:pPr>
              <w:rPr>
                <w:rFonts w:ascii="Arial" w:hAnsi="Arial" w:cs="Arial"/>
                <w:sz w:val="22"/>
                <w:szCs w:val="22"/>
              </w:rPr>
            </w:pPr>
            <w:r>
              <w:rPr>
                <w:rFonts w:ascii="Arial" w:hAnsi="Arial" w:cs="Arial"/>
                <w:sz w:val="22"/>
                <w:szCs w:val="22"/>
              </w:rPr>
              <w:t>26a</w:t>
            </w:r>
          </w:p>
        </w:tc>
        <w:tc>
          <w:tcPr>
            <w:tcW w:w="6415" w:type="dxa"/>
            <w:shd w:val="clear" w:color="auto" w:fill="auto"/>
            <w:tcMar>
              <w:top w:w="85" w:type="dxa"/>
              <w:bottom w:w="85" w:type="dxa"/>
            </w:tcMar>
          </w:tcPr>
          <w:p>
            <w:pPr>
              <w:rPr>
                <w:rFonts w:ascii="Arial" w:hAnsi="Arial" w:cs="Arial"/>
                <w:sz w:val="22"/>
                <w:szCs w:val="22"/>
              </w:rPr>
            </w:pPr>
            <w:r>
              <w:rPr>
                <w:rFonts w:ascii="Arial" w:hAnsi="Arial" w:cs="Arial"/>
                <w:sz w:val="22"/>
                <w:szCs w:val="22"/>
              </w:rPr>
              <w:t>Who will obtain informed consent or assent from potential trial participants or authorised surrogates, and how (see Item 32)</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pStyle w:val="10"/>
              <w:spacing w:after="156" w:afterLines="50"/>
              <w:ind w:firstLine="0" w:firstLineChars="0"/>
              <w:rPr>
                <w:rFonts w:ascii="Arial" w:hAnsi="Arial" w:cs="Arial"/>
                <w:sz w:val="22"/>
                <w:szCs w:val="22"/>
              </w:rPr>
            </w:pPr>
            <w:r>
              <w:rPr>
                <w:color w:val="000000" w:themeColor="text1"/>
                <w14:textFill>
                  <w14:solidFill>
                    <w14:schemeClr w14:val="tx1"/>
                  </w14:solidFill>
                </w14:textFill>
              </w:rPr>
              <w:t xml:space="preserve">Written informed consent was obtained from each patient before enrollment and before initiation of any procedure by special personal who has GCP </w:t>
            </w:r>
            <w:r>
              <w:rPr>
                <w:bCs/>
                <w:color w:val="000000" w:themeColor="text1"/>
                <w14:textFill>
                  <w14:solidFill>
                    <w14:schemeClr w14:val="tx1"/>
                  </w14:solidFill>
                </w14:textFill>
              </w:rPr>
              <w:t>certificate in this clinical trail group.</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p>
        </w:tc>
        <w:tc>
          <w:tcPr>
            <w:tcW w:w="610" w:type="dxa"/>
            <w:shd w:val="clear" w:color="auto" w:fill="auto"/>
          </w:tcPr>
          <w:p>
            <w:pPr>
              <w:rPr>
                <w:rFonts w:ascii="Arial" w:hAnsi="Arial" w:cs="Arial"/>
                <w:sz w:val="22"/>
                <w:szCs w:val="22"/>
              </w:rPr>
            </w:pPr>
            <w:r>
              <w:rPr>
                <w:rFonts w:ascii="Arial" w:hAnsi="Arial" w:cs="Arial"/>
                <w:sz w:val="22"/>
                <w:szCs w:val="22"/>
              </w:rPr>
              <w:t>26b</w:t>
            </w:r>
          </w:p>
        </w:tc>
        <w:tc>
          <w:tcPr>
            <w:tcW w:w="6415" w:type="dxa"/>
            <w:shd w:val="clear" w:color="auto" w:fill="auto"/>
            <w:tcMar>
              <w:top w:w="85" w:type="dxa"/>
              <w:bottom w:w="85" w:type="dxa"/>
            </w:tcMar>
          </w:tcPr>
          <w:p>
            <w:pPr>
              <w:rPr>
                <w:rFonts w:ascii="Arial" w:hAnsi="Arial" w:cs="Arial"/>
                <w:sz w:val="22"/>
                <w:szCs w:val="22"/>
              </w:rPr>
            </w:pPr>
            <w:r>
              <w:rPr>
                <w:rFonts w:ascii="Arial" w:hAnsi="Arial" w:cs="Arial"/>
                <w:sz w:val="22"/>
                <w:szCs w:val="22"/>
              </w:rPr>
              <w:t>Additional consent provisions for collection and use of participant data and biological specimens in ancillary studies, if applicable</w:t>
            </w:r>
          </w:p>
          <w:p>
            <w:pPr>
              <w:rPr>
                <w:rFonts w:ascii="Arial" w:hAnsi="Arial" w:cs="Arial"/>
                <w:sz w:val="22"/>
                <w:szCs w:val="22"/>
              </w:rPr>
            </w:pPr>
          </w:p>
          <w:p>
            <w:pPr>
              <w:rPr>
                <w:rFonts w:ascii="Arial" w:hAnsi="Arial" w:cs="Arial"/>
                <w:sz w:val="22"/>
                <w:szCs w:val="22"/>
              </w:rPr>
            </w:pPr>
            <w:r>
              <w:rPr>
                <w:rFonts w:hint="eastAsia" w:ascii="Arial" w:hAnsi="Arial" w:cs="Arial"/>
                <w:sz w:val="22"/>
                <w:szCs w:val="22"/>
              </w:rPr>
              <w:t>Informed Consent</w:t>
            </w:r>
          </w:p>
          <w:p>
            <w:pPr>
              <w:rPr>
                <w:rFonts w:ascii="Arial" w:hAnsi="Arial" w:cs="Arial"/>
                <w:sz w:val="22"/>
                <w:szCs w:val="22"/>
              </w:rPr>
            </w:pPr>
            <w:r>
              <w:rPr>
                <w:rFonts w:ascii="Arial" w:hAnsi="Arial" w:cs="Arial"/>
                <w:sz w:val="22"/>
                <w:szCs w:val="22"/>
              </w:rPr>
              <w:t>“</w:t>
            </w:r>
            <w:r>
              <w:rPr>
                <w:rFonts w:hint="eastAsia"/>
                <w:lang w:val="en-US" w:eastAsia="zh-CN"/>
              </w:rPr>
              <w:t>We need to collect and preserve your tissue and blood samples for future research on molecular markers.</w:t>
            </w:r>
            <w:r>
              <w:rPr>
                <w:rFonts w:ascii="Arial" w:hAnsi="Arial" w:cs="Arial"/>
                <w:sz w:val="22"/>
                <w:szCs w:val="22"/>
              </w:rPr>
              <w:t>”</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Confidentiality</w:t>
            </w:r>
          </w:p>
        </w:tc>
        <w:tc>
          <w:tcPr>
            <w:tcW w:w="610" w:type="dxa"/>
            <w:shd w:val="clear" w:color="auto" w:fill="auto"/>
          </w:tcPr>
          <w:p>
            <w:pPr>
              <w:rPr>
                <w:rFonts w:ascii="Arial" w:hAnsi="Arial" w:cs="Arial"/>
                <w:sz w:val="22"/>
                <w:szCs w:val="22"/>
              </w:rPr>
            </w:pPr>
            <w:r>
              <w:rPr>
                <w:rFonts w:ascii="Arial" w:hAnsi="Arial" w:cs="Arial"/>
                <w:sz w:val="22"/>
                <w:szCs w:val="22"/>
              </w:rPr>
              <w:t>27</w:t>
            </w:r>
          </w:p>
        </w:tc>
        <w:tc>
          <w:tcPr>
            <w:tcW w:w="6415" w:type="dxa"/>
            <w:shd w:val="clear" w:color="auto" w:fill="auto"/>
            <w:tcMar>
              <w:top w:w="85" w:type="dxa"/>
              <w:bottom w:w="85" w:type="dxa"/>
            </w:tcMar>
          </w:tcPr>
          <w:p>
            <w:pPr>
              <w:rPr>
                <w:rFonts w:ascii="Arial" w:hAnsi="Arial" w:cs="Arial"/>
                <w:sz w:val="22"/>
                <w:szCs w:val="22"/>
              </w:rPr>
            </w:pPr>
            <w:r>
              <w:rPr>
                <w:rFonts w:ascii="Arial" w:hAnsi="Arial" w:cs="Arial"/>
                <w:sz w:val="22"/>
                <w:szCs w:val="22"/>
              </w:rPr>
              <w:t>How personal information about potential and enrolled participants will be collected, shared, and maintained in order to protect confidentiality before, during, and after the trial</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hint="eastAsia" w:ascii="Arial" w:hAnsi="Arial" w:cs="Arial"/>
                <w:sz w:val="22"/>
                <w:szCs w:val="22"/>
              </w:rPr>
              <w:t>The information of the subjects is kept strictly confidential, including relevant forms, records, samples and the privacy of the subjects. No research information shall be disclosed to unauthorized third parties without approval.</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Declaration of interests</w:t>
            </w:r>
          </w:p>
        </w:tc>
        <w:tc>
          <w:tcPr>
            <w:tcW w:w="610" w:type="dxa"/>
            <w:shd w:val="clear" w:color="auto" w:fill="auto"/>
          </w:tcPr>
          <w:p>
            <w:pPr>
              <w:rPr>
                <w:rFonts w:ascii="Arial" w:hAnsi="Arial" w:cs="Arial"/>
                <w:sz w:val="22"/>
                <w:szCs w:val="22"/>
              </w:rPr>
            </w:pPr>
            <w:r>
              <w:rPr>
                <w:rFonts w:ascii="Arial" w:hAnsi="Arial" w:cs="Arial"/>
                <w:sz w:val="22"/>
                <w:szCs w:val="22"/>
              </w:rPr>
              <w:t>28</w:t>
            </w:r>
          </w:p>
        </w:tc>
        <w:tc>
          <w:tcPr>
            <w:tcW w:w="6415" w:type="dxa"/>
            <w:shd w:val="clear" w:color="auto" w:fill="auto"/>
            <w:tcMar>
              <w:top w:w="85" w:type="dxa"/>
              <w:bottom w:w="85" w:type="dxa"/>
            </w:tcMar>
          </w:tcPr>
          <w:p>
            <w:pPr>
              <w:rPr>
                <w:rFonts w:ascii="Arial" w:hAnsi="Arial" w:cs="Arial"/>
                <w:sz w:val="22"/>
                <w:szCs w:val="22"/>
              </w:rPr>
            </w:pPr>
            <w:r>
              <w:rPr>
                <w:rFonts w:ascii="Arial" w:hAnsi="Arial" w:cs="Arial"/>
                <w:sz w:val="22"/>
                <w:szCs w:val="22"/>
              </w:rPr>
              <w:t>Financial and other competing interests for principal investigators for the overall trial and each study site</w:t>
            </w:r>
          </w:p>
          <w:p>
            <w:pPr>
              <w:pStyle w:val="10"/>
              <w:spacing w:after="156" w:afterLines="50"/>
              <w:ind w:firstLine="0" w:firstLineChars="0"/>
              <w:rPr>
                <w:rFonts w:eastAsia="SwrbfjAdvTTb5929f4c"/>
                <w:color w:val="131413"/>
                <w:lang w:val="en-US" w:bidi="ar"/>
              </w:rPr>
            </w:pPr>
            <w:r>
              <w:rPr>
                <w:rFonts w:hint="eastAsia" w:ascii="Arial" w:hAnsi="Arial" w:eastAsia="宋体" w:cs="Arial"/>
                <w:color w:val="000000" w:themeColor="text1"/>
                <w:sz w:val="22"/>
                <w:szCs w:val="22"/>
                <w:lang w:val="en-US" w:eastAsia="zh-CN"/>
                <w14:textFill>
                  <w14:solidFill>
                    <w14:schemeClr w14:val="tx1"/>
                  </w14:solidFill>
                </w14:textFill>
              </w:rPr>
              <w:t>Page 10, Competing interests</w:t>
            </w:r>
          </w:p>
          <w:p>
            <w:pPr>
              <w:widowControl/>
              <w:spacing w:after="164"/>
              <w:jc w:val="left"/>
              <w:rPr>
                <w:rFonts w:ascii="Arial" w:hAnsi="Arial" w:cs="Arial"/>
                <w:sz w:val="22"/>
                <w:szCs w:val="22"/>
              </w:rPr>
            </w:pPr>
            <w:r>
              <w:rPr>
                <w:rFonts w:ascii="Times New Roman" w:hAnsi="Times New Roman" w:eastAsia="SwrbfjAdvTTb5929f4c" w:cs="Times New Roman"/>
                <w:color w:val="131413"/>
                <w:kern w:val="0"/>
                <w:lang w:bidi="ar"/>
              </w:rPr>
              <w:t>The authors declare that they have no competing interests.</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Access to data</w:t>
            </w:r>
          </w:p>
        </w:tc>
        <w:tc>
          <w:tcPr>
            <w:tcW w:w="610" w:type="dxa"/>
            <w:shd w:val="clear" w:color="auto" w:fill="FFFFFF"/>
          </w:tcPr>
          <w:p>
            <w:pPr>
              <w:rPr>
                <w:rFonts w:ascii="Arial" w:hAnsi="Arial" w:cs="Arial"/>
                <w:sz w:val="22"/>
                <w:szCs w:val="22"/>
              </w:rPr>
            </w:pPr>
            <w:r>
              <w:rPr>
                <w:rFonts w:ascii="Arial" w:hAnsi="Arial" w:cs="Arial"/>
                <w:sz w:val="22"/>
                <w:szCs w:val="22"/>
              </w:rPr>
              <w:t>29</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Statement of who will have access to the final trial dataset, and disclosure of contractual agreements that limit such access for investigators</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hint="eastAsia" w:ascii="Arial" w:hAnsi="Arial" w:cs="Arial"/>
                <w:sz w:val="22"/>
                <w:szCs w:val="22"/>
              </w:rPr>
              <w:t xml:space="preserve">The results and intellectual property rights are </w:t>
            </w:r>
            <w:r>
              <w:rPr>
                <w:rFonts w:hint="eastAsia" w:ascii="Arial" w:hAnsi="Arial" w:eastAsia="宋体" w:cs="Arial"/>
                <w:sz w:val="22"/>
                <w:szCs w:val="22"/>
                <w:lang w:val="en-US" w:eastAsia="zh-CN"/>
              </w:rPr>
              <w:t>s</w:t>
            </w:r>
            <w:r>
              <w:rPr>
                <w:rFonts w:hint="eastAsia" w:ascii="Arial" w:hAnsi="Arial" w:cs="Arial"/>
                <w:sz w:val="22"/>
                <w:szCs w:val="22"/>
              </w:rPr>
              <w:t>hared among the research cent</w:t>
            </w:r>
            <w:r>
              <w:rPr>
                <w:rFonts w:hint="eastAsia" w:ascii="Arial" w:hAnsi="Arial" w:eastAsia="宋体" w:cs="Arial"/>
                <w:sz w:val="22"/>
                <w:szCs w:val="22"/>
                <w:lang w:val="en-US" w:eastAsia="zh-CN"/>
              </w:rPr>
              <w:t>er</w:t>
            </w:r>
            <w:r>
              <w:rPr>
                <w:rFonts w:hint="eastAsia" w:ascii="Arial" w:hAnsi="Arial" w:cs="Arial"/>
                <w:sz w:val="22"/>
                <w:szCs w:val="22"/>
              </w:rPr>
              <w:t>s.</w:t>
            </w:r>
          </w:p>
        </w:tc>
      </w:tr>
      <w:tr>
        <w:tblPrEx>
          <w:shd w:val="clear" w:color="auto" w:fill="FFFFFF"/>
          <w:tblCellMar>
            <w:top w:w="0" w:type="dxa"/>
            <w:left w:w="56" w:type="dxa"/>
            <w:bottom w:w="0" w:type="dxa"/>
            <w:right w:w="56" w:type="dxa"/>
          </w:tblCellMar>
        </w:tblPrEx>
        <w:trPr>
          <w:cantSplit/>
          <w:trHeight w:val="259" w:hRule="atLeast"/>
        </w:trPr>
        <w:tc>
          <w:tcPr>
            <w:tcW w:w="1758" w:type="dxa"/>
            <w:shd w:val="clear" w:color="auto" w:fill="FFFFFF"/>
            <w:tcMar>
              <w:top w:w="85" w:type="dxa"/>
              <w:bottom w:w="85" w:type="dxa"/>
            </w:tcMar>
          </w:tcPr>
          <w:p>
            <w:pPr>
              <w:rPr>
                <w:rFonts w:ascii="Arial" w:hAnsi="Arial" w:cs="Arial"/>
                <w:sz w:val="22"/>
                <w:szCs w:val="22"/>
              </w:rPr>
            </w:pPr>
            <w:r>
              <w:rPr>
                <w:rFonts w:ascii="Arial" w:hAnsi="Arial" w:cs="Arial"/>
                <w:sz w:val="22"/>
                <w:szCs w:val="22"/>
              </w:rPr>
              <w:t>Ancillary and post-trial care</w:t>
            </w:r>
          </w:p>
        </w:tc>
        <w:tc>
          <w:tcPr>
            <w:tcW w:w="610" w:type="dxa"/>
            <w:shd w:val="clear" w:color="auto" w:fill="FFFFFF"/>
          </w:tcPr>
          <w:p>
            <w:pPr>
              <w:rPr>
                <w:rFonts w:ascii="Arial" w:hAnsi="Arial" w:cs="Arial"/>
                <w:sz w:val="22"/>
                <w:szCs w:val="22"/>
              </w:rPr>
            </w:pPr>
            <w:r>
              <w:rPr>
                <w:rFonts w:ascii="Arial" w:hAnsi="Arial" w:cs="Arial"/>
                <w:sz w:val="22"/>
                <w:szCs w:val="22"/>
              </w:rPr>
              <w:t>30</w:t>
            </w:r>
          </w:p>
        </w:tc>
        <w:tc>
          <w:tcPr>
            <w:tcW w:w="6415" w:type="dxa"/>
            <w:shd w:val="clear" w:color="auto" w:fill="FFFFFF"/>
            <w:tcMar>
              <w:top w:w="85" w:type="dxa"/>
              <w:bottom w:w="85" w:type="dxa"/>
            </w:tcMar>
          </w:tcPr>
          <w:p>
            <w:pPr>
              <w:rPr>
                <w:rFonts w:ascii="Arial" w:hAnsi="Arial" w:cs="Arial"/>
                <w:sz w:val="22"/>
                <w:szCs w:val="22"/>
              </w:rPr>
            </w:pPr>
            <w:r>
              <w:rPr>
                <w:rFonts w:ascii="Arial" w:hAnsi="Arial" w:cs="Arial"/>
                <w:sz w:val="22"/>
                <w:szCs w:val="22"/>
              </w:rPr>
              <w:t>Provisions, if any, for ancillary and post-trial care, and for compensation to those who suffer harm from trial participation</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hint="eastAsia" w:ascii="Arial" w:hAnsi="Arial" w:cs="Arial"/>
                <w:sz w:val="22"/>
                <w:szCs w:val="22"/>
              </w:rPr>
              <w:t>Follow-up was conducted every 1 year after the end of the study. In case of recurrence or metastasis, individualized treatment plan and medical measures should be given in time.</w:t>
            </w:r>
            <w:r>
              <w:rPr>
                <w:rFonts w:ascii="Arial" w:hAnsi="Arial" w:cs="Arial"/>
                <w:sz w:val="22"/>
                <w:szCs w:val="22"/>
              </w:rPr>
              <w:t xml:space="preserve"> Those who suffer harm from trial participation will be treated instantly.</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Dissemination policy</w:t>
            </w:r>
          </w:p>
        </w:tc>
        <w:tc>
          <w:tcPr>
            <w:tcW w:w="610" w:type="dxa"/>
            <w:shd w:val="clear" w:color="auto" w:fill="auto"/>
          </w:tcPr>
          <w:p>
            <w:pPr>
              <w:rPr>
                <w:rFonts w:ascii="Arial" w:hAnsi="Arial" w:cs="Arial"/>
                <w:sz w:val="22"/>
                <w:szCs w:val="22"/>
              </w:rPr>
            </w:pPr>
            <w:r>
              <w:rPr>
                <w:rFonts w:ascii="Arial" w:hAnsi="Arial" w:cs="Arial"/>
                <w:sz w:val="22"/>
                <w:szCs w:val="22"/>
              </w:rPr>
              <w:t>31a</w:t>
            </w:r>
          </w:p>
        </w:tc>
        <w:tc>
          <w:tcPr>
            <w:tcW w:w="6415" w:type="dxa"/>
            <w:shd w:val="clear" w:color="auto" w:fill="auto"/>
            <w:tcMar>
              <w:top w:w="85" w:type="dxa"/>
              <w:bottom w:w="85" w:type="dxa"/>
            </w:tcMar>
          </w:tcPr>
          <w:p>
            <w:pPr>
              <w:rPr>
                <w:rFonts w:ascii="Arial" w:hAnsi="Arial" w:cs="Arial"/>
                <w:sz w:val="22"/>
                <w:szCs w:val="22"/>
              </w:rPr>
            </w:pPr>
            <w:r>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ascii="Arial" w:hAnsi="Arial" w:cs="Arial"/>
                <w:sz w:val="22"/>
                <w:szCs w:val="22"/>
              </w:rPr>
              <w:t>We will communicate trial results to the public via publication. We do not have publication restrictions.</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p>
        </w:tc>
        <w:tc>
          <w:tcPr>
            <w:tcW w:w="610" w:type="dxa"/>
            <w:shd w:val="clear" w:color="auto" w:fill="auto"/>
          </w:tcPr>
          <w:p>
            <w:pPr>
              <w:rPr>
                <w:rFonts w:ascii="Arial" w:hAnsi="Arial" w:cs="Arial"/>
                <w:sz w:val="22"/>
                <w:szCs w:val="22"/>
              </w:rPr>
            </w:pPr>
            <w:r>
              <w:rPr>
                <w:rFonts w:ascii="Arial" w:hAnsi="Arial" w:cs="Arial"/>
                <w:sz w:val="22"/>
                <w:szCs w:val="22"/>
              </w:rPr>
              <w:t>31b</w:t>
            </w:r>
          </w:p>
        </w:tc>
        <w:tc>
          <w:tcPr>
            <w:tcW w:w="6415" w:type="dxa"/>
            <w:shd w:val="clear" w:color="auto" w:fill="auto"/>
            <w:tcMar>
              <w:top w:w="85" w:type="dxa"/>
              <w:bottom w:w="85" w:type="dxa"/>
            </w:tcMar>
          </w:tcPr>
          <w:p>
            <w:pPr>
              <w:rPr>
                <w:rFonts w:ascii="Arial" w:hAnsi="Arial" w:cs="Arial"/>
                <w:sz w:val="22"/>
                <w:szCs w:val="22"/>
              </w:rPr>
            </w:pPr>
            <w:r>
              <w:rPr>
                <w:rFonts w:ascii="Arial" w:hAnsi="Arial" w:cs="Arial"/>
                <w:sz w:val="22"/>
                <w:szCs w:val="22"/>
              </w:rPr>
              <w:t>Authorship eligibility guidelines and any intended use of professional writers</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ascii="Arial" w:hAnsi="Arial" w:cs="Arial"/>
                <w:sz w:val="22"/>
                <w:szCs w:val="22"/>
              </w:rPr>
              <w:t>Who attribute to the clinical trial will be included as the author.</w:t>
            </w:r>
          </w:p>
        </w:tc>
      </w:tr>
      <w:tr>
        <w:tblPrEx>
          <w:tblCellMar>
            <w:top w:w="0" w:type="dxa"/>
            <w:left w:w="56" w:type="dxa"/>
            <w:bottom w:w="0" w:type="dxa"/>
            <w:right w:w="56" w:type="dxa"/>
          </w:tblCellMar>
        </w:tblPrEx>
        <w:trPr>
          <w:cantSplit/>
          <w:trHeight w:val="1634" w:hRule="atLeast"/>
        </w:trPr>
        <w:tc>
          <w:tcPr>
            <w:tcW w:w="1758" w:type="dxa"/>
            <w:shd w:val="clear" w:color="auto" w:fill="auto"/>
            <w:tcMar>
              <w:top w:w="85" w:type="dxa"/>
              <w:bottom w:w="85" w:type="dxa"/>
            </w:tcMar>
          </w:tcPr>
          <w:p>
            <w:pPr>
              <w:rPr>
                <w:rFonts w:ascii="Arial" w:hAnsi="Arial" w:cs="Arial"/>
                <w:sz w:val="22"/>
                <w:szCs w:val="22"/>
              </w:rPr>
            </w:pPr>
          </w:p>
        </w:tc>
        <w:tc>
          <w:tcPr>
            <w:tcW w:w="610" w:type="dxa"/>
            <w:shd w:val="clear" w:color="auto" w:fill="auto"/>
          </w:tcPr>
          <w:p>
            <w:pPr>
              <w:rPr>
                <w:rFonts w:ascii="Arial" w:hAnsi="Arial" w:cs="Arial"/>
                <w:sz w:val="22"/>
                <w:szCs w:val="22"/>
              </w:rPr>
            </w:pPr>
            <w:r>
              <w:rPr>
                <w:rFonts w:ascii="Arial" w:hAnsi="Arial" w:cs="Arial"/>
                <w:sz w:val="22"/>
                <w:szCs w:val="22"/>
              </w:rPr>
              <w:t>31c</w:t>
            </w:r>
          </w:p>
        </w:tc>
        <w:tc>
          <w:tcPr>
            <w:tcW w:w="6415" w:type="dxa"/>
            <w:shd w:val="clear" w:color="auto" w:fill="auto"/>
            <w:tcMar>
              <w:top w:w="85" w:type="dxa"/>
              <w:bottom w:w="85" w:type="dxa"/>
            </w:tcMar>
          </w:tcPr>
          <w:p>
            <w:pPr>
              <w:rPr>
                <w:rFonts w:ascii="Arial" w:hAnsi="Arial" w:cs="Arial"/>
                <w:sz w:val="22"/>
                <w:szCs w:val="22"/>
              </w:rPr>
            </w:pPr>
            <w:r>
              <w:rPr>
                <w:rFonts w:ascii="Arial" w:hAnsi="Arial" w:cs="Arial"/>
                <w:sz w:val="22"/>
                <w:szCs w:val="22"/>
              </w:rPr>
              <w:t>Plans, if any, for granting public access to the full protocol, participant-level dataset, and statistical code</w:t>
            </w:r>
          </w:p>
          <w:p>
            <w:pPr>
              <w:rPr>
                <w:rFonts w:ascii="Arial" w:hAnsi="Arial" w:eastAsia="宋体" w:cs="Arial"/>
                <w:sz w:val="22"/>
                <w:szCs w:val="22"/>
                <w:lang w:val="en-US" w:eastAsia="zh-CN"/>
              </w:rPr>
            </w:pPr>
            <w:r>
              <w:rPr>
                <w:rFonts w:hint="eastAsia" w:ascii="Arial" w:hAnsi="Arial" w:eastAsia="宋体" w:cs="Arial"/>
                <w:sz w:val="22"/>
                <w:szCs w:val="22"/>
                <w:lang w:val="en-US" w:eastAsia="zh-CN"/>
              </w:rPr>
              <w:t>N/A</w:t>
            </w:r>
          </w:p>
          <w:p>
            <w:pPr>
              <w:rPr>
                <w:rFonts w:ascii="Arial" w:hAnsi="Arial" w:cs="Arial"/>
                <w:sz w:val="22"/>
                <w:szCs w:val="22"/>
              </w:rPr>
            </w:pPr>
            <w:r>
              <w:rPr>
                <w:rFonts w:ascii="Arial" w:hAnsi="Arial" w:cs="Arial"/>
                <w:sz w:val="22"/>
                <w:szCs w:val="22"/>
              </w:rPr>
              <w:t>Public can access to the full protocol and can access for participant-level data</w:t>
            </w:r>
            <w:r>
              <w:rPr>
                <w:rFonts w:hint="eastAsia" w:ascii="Arial" w:hAnsi="Arial" w:eastAsia="宋体" w:cs="Arial"/>
                <w:sz w:val="22"/>
                <w:szCs w:val="22"/>
                <w:lang w:val="en-US" w:eastAsia="zh-CN"/>
              </w:rPr>
              <w:t>-</w:t>
            </w:r>
            <w:r>
              <w:rPr>
                <w:rFonts w:ascii="Arial" w:hAnsi="Arial" w:cs="Arial"/>
                <w:sz w:val="22"/>
                <w:szCs w:val="22"/>
              </w:rPr>
              <w:t xml:space="preserve">set from permission of </w:t>
            </w:r>
            <w:r>
              <w:rPr>
                <w:rFonts w:ascii="Arial" w:hAnsi="Arial" w:eastAsia="Times New Roman" w:cs="Arial"/>
                <w:sz w:val="22"/>
                <w:szCs w:val="22"/>
                <w:lang w:val="en-GB" w:eastAsia="en-US"/>
              </w:rPr>
              <w:t>corresponding author on reasonable request.</w:t>
            </w:r>
            <w:r>
              <w:rPr>
                <w:rFonts w:ascii="Arial" w:hAnsi="Arial" w:cs="Arial"/>
                <w:sz w:val="22"/>
                <w:szCs w:val="22"/>
              </w:rPr>
              <w:t xml:space="preserve"> </w:t>
            </w: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pStyle w:val="9"/>
              <w:rPr>
                <w:rFonts w:ascii="Arial" w:hAnsi="Arial" w:cs="Arial"/>
                <w:sz w:val="22"/>
                <w:szCs w:val="22"/>
              </w:rPr>
            </w:pPr>
            <w:r>
              <w:rPr>
                <w:rFonts w:ascii="Arial" w:hAnsi="Arial" w:cs="Arial"/>
                <w:sz w:val="22"/>
                <w:szCs w:val="22"/>
              </w:rPr>
              <w:t>Appendices</w:t>
            </w:r>
          </w:p>
        </w:tc>
        <w:tc>
          <w:tcPr>
            <w:tcW w:w="610" w:type="dxa"/>
            <w:shd w:val="clear" w:color="auto" w:fill="auto"/>
          </w:tcPr>
          <w:p>
            <w:pPr>
              <w:rPr>
                <w:rFonts w:ascii="Arial" w:hAnsi="Arial" w:cs="Arial"/>
                <w:sz w:val="22"/>
                <w:szCs w:val="22"/>
              </w:rPr>
            </w:pPr>
          </w:p>
        </w:tc>
        <w:tc>
          <w:tcPr>
            <w:tcW w:w="6415" w:type="dxa"/>
            <w:shd w:val="clear" w:color="auto" w:fill="auto"/>
          </w:tcPr>
          <w:p>
            <w:pPr>
              <w:rPr>
                <w:rFonts w:ascii="Arial" w:hAnsi="Arial" w:cs="Arial"/>
                <w:sz w:val="22"/>
                <w:szCs w:val="22"/>
              </w:rPr>
            </w:pPr>
          </w:p>
        </w:tc>
      </w:tr>
      <w:tr>
        <w:tblPrEx>
          <w:tblCellMar>
            <w:top w:w="0" w:type="dxa"/>
            <w:left w:w="56" w:type="dxa"/>
            <w:bottom w:w="0" w:type="dxa"/>
            <w:right w:w="56" w:type="dxa"/>
          </w:tblCellMar>
        </w:tblPrEx>
        <w:trPr>
          <w:cantSplit/>
          <w:trHeight w:val="259" w:hRule="atLeast"/>
        </w:trPr>
        <w:tc>
          <w:tcPr>
            <w:tcW w:w="1758" w:type="dxa"/>
            <w:shd w:val="clear" w:color="auto" w:fill="auto"/>
            <w:tcMar>
              <w:top w:w="85" w:type="dxa"/>
              <w:bottom w:w="85" w:type="dxa"/>
            </w:tcMar>
          </w:tcPr>
          <w:p>
            <w:pPr>
              <w:rPr>
                <w:rFonts w:ascii="Arial" w:hAnsi="Arial" w:cs="Arial"/>
                <w:sz w:val="22"/>
                <w:szCs w:val="22"/>
              </w:rPr>
            </w:pPr>
            <w:r>
              <w:rPr>
                <w:rFonts w:ascii="Arial" w:hAnsi="Arial" w:cs="Arial"/>
                <w:sz w:val="22"/>
                <w:szCs w:val="22"/>
              </w:rPr>
              <w:t>Informed consent materials</w:t>
            </w:r>
          </w:p>
        </w:tc>
        <w:tc>
          <w:tcPr>
            <w:tcW w:w="610" w:type="dxa"/>
            <w:shd w:val="clear" w:color="auto" w:fill="auto"/>
          </w:tcPr>
          <w:p>
            <w:pPr>
              <w:rPr>
                <w:rFonts w:ascii="Arial" w:hAnsi="Arial" w:cs="Arial"/>
                <w:sz w:val="24"/>
                <w:szCs w:val="24"/>
              </w:rPr>
            </w:pPr>
            <w:r>
              <w:rPr>
                <w:rFonts w:ascii="Arial" w:hAnsi="Arial" w:cs="Arial"/>
                <w:sz w:val="24"/>
                <w:szCs w:val="24"/>
              </w:rPr>
              <w:t>32</w:t>
            </w:r>
          </w:p>
        </w:tc>
        <w:tc>
          <w:tcPr>
            <w:tcW w:w="6415" w:type="dxa"/>
            <w:shd w:val="clear" w:color="auto" w:fill="auto"/>
            <w:tcMar>
              <w:top w:w="85" w:type="dxa"/>
              <w:bottom w:w="85" w:type="dxa"/>
            </w:tcMar>
          </w:tcPr>
          <w:p>
            <w:pPr>
              <w:rPr>
                <w:rFonts w:hAnsi="Arial" w:cs="Arial" w:asciiTheme="minorHAnsi"/>
                <w:sz w:val="24"/>
                <w:szCs w:val="24"/>
              </w:rPr>
            </w:pPr>
            <w:r>
              <w:rPr>
                <w:rFonts w:hAnsi="Arial" w:cs="Arial" w:asciiTheme="minorHAnsi"/>
                <w:sz w:val="24"/>
                <w:szCs w:val="24"/>
              </w:rPr>
              <w:t>Model consent form and other related documentation given to participants and authorised surrogates</w:t>
            </w:r>
          </w:p>
          <w:p>
            <w:pPr>
              <w:pStyle w:val="10"/>
              <w:spacing w:after="156" w:afterLines="50"/>
              <w:ind w:firstLine="0" w:firstLineChars="0"/>
              <w:rPr>
                <w:rFonts w:hAnsi="Arial" w:cs="Arial" w:asciiTheme="minorHAnsi"/>
                <w:sz w:val="24"/>
                <w:szCs w:val="24"/>
                <w:lang w:val="en-US"/>
              </w:rPr>
            </w:pPr>
            <w:r>
              <w:rPr>
                <w:rFonts w:hint="eastAsia" w:ascii="Arial" w:hAnsi="Arial" w:eastAsia="宋体" w:cs="Arial"/>
                <w:color w:val="000000" w:themeColor="text1"/>
                <w:sz w:val="24"/>
                <w:szCs w:val="24"/>
                <w:lang w:val="en-US" w:eastAsia="zh-CN"/>
                <w14:textFill>
                  <w14:solidFill>
                    <w14:schemeClr w14:val="tx1"/>
                  </w14:solidFill>
                </w14:textFill>
              </w:rPr>
              <w:t>Page 4 , Inclusion criteria</w:t>
            </w:r>
          </w:p>
          <w:p>
            <w:pPr>
              <w:rPr>
                <w:rFonts w:hAnsi="Arial" w:cs="Arial" w:asciiTheme="minorHAnsi"/>
                <w:sz w:val="24"/>
                <w:szCs w:val="24"/>
              </w:rPr>
            </w:pPr>
            <w:r>
              <w:rPr>
                <w:rFonts w:asciiTheme="minorHAnsi"/>
                <w:sz w:val="24"/>
                <w:szCs w:val="24"/>
              </w:rPr>
              <w:t>We have i</w:t>
            </w:r>
            <w:r>
              <w:rPr>
                <w:rFonts w:hint="eastAsia" w:asciiTheme="minorHAnsi"/>
                <w:sz w:val="24"/>
                <w:szCs w:val="24"/>
              </w:rPr>
              <w:t xml:space="preserve">nformed </w:t>
            </w:r>
            <w:r>
              <w:rPr>
                <w:rFonts w:asciiTheme="minorHAnsi"/>
                <w:sz w:val="24"/>
                <w:szCs w:val="24"/>
              </w:rPr>
              <w:t>c</w:t>
            </w:r>
            <w:r>
              <w:rPr>
                <w:rFonts w:hint="eastAsia" w:asciiTheme="minorHAnsi"/>
                <w:sz w:val="24"/>
                <w:szCs w:val="24"/>
              </w:rPr>
              <w:t>onsent</w:t>
            </w:r>
            <w:r>
              <w:rPr>
                <w:rFonts w:asciiTheme="minorHAnsi"/>
                <w:sz w:val="24"/>
                <w:szCs w:val="24"/>
              </w:rPr>
              <w:t xml:space="preserve"> for this clinical trial.</w:t>
            </w:r>
          </w:p>
        </w:tc>
      </w:tr>
      <w:tr>
        <w:tblPrEx>
          <w:tblCellMar>
            <w:top w:w="0" w:type="dxa"/>
            <w:left w:w="56" w:type="dxa"/>
            <w:bottom w:w="0" w:type="dxa"/>
            <w:right w:w="56" w:type="dxa"/>
          </w:tblCellMar>
        </w:tblPrEx>
        <w:trPr>
          <w:cantSplit/>
          <w:trHeight w:val="259" w:hRule="atLeast"/>
        </w:trPr>
        <w:tc>
          <w:tcPr>
            <w:tcW w:w="1758" w:type="dxa"/>
            <w:tcBorders>
              <w:bottom w:val="single" w:color="auto" w:sz="4" w:space="0"/>
            </w:tcBorders>
            <w:shd w:val="clear" w:color="auto" w:fill="auto"/>
            <w:tcMar>
              <w:top w:w="85" w:type="dxa"/>
              <w:bottom w:w="85" w:type="dxa"/>
            </w:tcMar>
          </w:tcPr>
          <w:p>
            <w:pPr>
              <w:rPr>
                <w:rFonts w:ascii="Arial" w:hAnsi="Arial" w:cs="Arial"/>
                <w:sz w:val="22"/>
                <w:szCs w:val="22"/>
              </w:rPr>
            </w:pPr>
            <w:r>
              <w:rPr>
                <w:rFonts w:ascii="Arial" w:hAnsi="Arial" w:cs="Arial"/>
                <w:sz w:val="22"/>
                <w:szCs w:val="22"/>
              </w:rPr>
              <w:t>Biological specimens</w:t>
            </w:r>
          </w:p>
        </w:tc>
        <w:tc>
          <w:tcPr>
            <w:tcW w:w="610" w:type="dxa"/>
            <w:tcBorders>
              <w:bottom w:val="single" w:color="auto" w:sz="4" w:space="0"/>
            </w:tcBorders>
            <w:shd w:val="clear" w:color="auto" w:fill="auto"/>
          </w:tcPr>
          <w:p>
            <w:pPr>
              <w:rPr>
                <w:rFonts w:ascii="Arial" w:hAnsi="Arial" w:cs="Arial"/>
                <w:sz w:val="22"/>
                <w:szCs w:val="22"/>
              </w:rPr>
            </w:pPr>
            <w:r>
              <w:rPr>
                <w:rFonts w:ascii="Arial" w:hAnsi="Arial" w:cs="Arial"/>
                <w:sz w:val="22"/>
                <w:szCs w:val="22"/>
              </w:rPr>
              <w:t>33</w:t>
            </w:r>
          </w:p>
        </w:tc>
        <w:tc>
          <w:tcPr>
            <w:tcW w:w="6415" w:type="dxa"/>
            <w:tcBorders>
              <w:bottom w:val="single" w:color="auto" w:sz="4" w:space="0"/>
            </w:tcBorders>
            <w:shd w:val="clear" w:color="auto" w:fill="auto"/>
            <w:tcMar>
              <w:top w:w="85" w:type="dxa"/>
              <w:bottom w:w="85" w:type="dxa"/>
            </w:tcMar>
          </w:tcPr>
          <w:p>
            <w:pPr>
              <w:rPr>
                <w:rFonts w:ascii="Arial" w:hAnsi="Arial" w:cs="Arial"/>
                <w:sz w:val="22"/>
                <w:szCs w:val="22"/>
              </w:rPr>
            </w:pPr>
            <w:r>
              <w:rPr>
                <w:rFonts w:ascii="Arial" w:hAnsi="Arial" w:cs="Arial"/>
                <w:sz w:val="22"/>
                <w:szCs w:val="22"/>
              </w:rPr>
              <w:t>Plans for collection, laboratory evaluation, and storage of biological specimens for genetic or molecular analysis in the current trial and for future use in ancillary studies, if applicable</w:t>
            </w:r>
          </w:p>
          <w:p>
            <w:pPr>
              <w:pStyle w:val="10"/>
              <w:spacing w:after="156" w:afterLines="50"/>
              <w:ind w:firstLine="0" w:firstLineChars="0"/>
              <w:rPr>
                <w:rFonts w:ascii="Arial" w:hAnsi="Arial" w:cs="Arial"/>
                <w:sz w:val="22"/>
                <w:szCs w:val="22"/>
                <w:lang w:val="en-US"/>
              </w:rPr>
            </w:pPr>
            <w:r>
              <w:rPr>
                <w:rFonts w:hint="eastAsia" w:ascii="Arial" w:hAnsi="Arial" w:eastAsia="宋体" w:cs="Arial"/>
                <w:color w:val="000000" w:themeColor="text1"/>
                <w:sz w:val="22"/>
                <w:szCs w:val="22"/>
                <w:lang w:val="en-US" w:eastAsia="zh-CN"/>
                <w14:textFill>
                  <w14:solidFill>
                    <w14:schemeClr w14:val="tx1"/>
                  </w14:solidFill>
                </w14:textFill>
              </w:rPr>
              <w:t>Page 6 , Study outcomes, paragraph 4 (Quaternary endpoint)</w:t>
            </w:r>
          </w:p>
          <w:p>
            <w:pPr>
              <w:rPr>
                <w:rFonts w:ascii="Arial" w:hAnsi="Arial" w:cs="Arial"/>
                <w:sz w:val="22"/>
                <w:szCs w:val="22"/>
              </w:rPr>
            </w:pPr>
            <w:r>
              <w:rPr>
                <w:rFonts w:ascii="Times New Roman" w:hAnsi="Times New Roman" w:cs="Times New Roman"/>
              </w:rPr>
              <w:t>By collecting tissue and blood samples, including samples from recurrent tumors, before and after NACT and before and after CCRT</w:t>
            </w:r>
            <w:r>
              <w:t xml:space="preserve"> (if there is residual tumor available after treatment)</w:t>
            </w:r>
            <w:r>
              <w:rPr>
                <w:rFonts w:ascii="Times New Roman" w:hAnsi="Times New Roman" w:cs="Times New Roman"/>
              </w:rPr>
              <w:t xml:space="preserve">, we intend to compare differences in gene expression </w:t>
            </w:r>
            <w:r>
              <w:rPr>
                <w:rFonts w:ascii="Times New Roman" w:hAnsi="Times New Roman" w:eastAsia="宋体" w:cs="Times New Roman"/>
              </w:rPr>
              <w:t>profiles</w:t>
            </w:r>
            <w:r>
              <w:rPr>
                <w:rFonts w:ascii="Times New Roman" w:hAnsi="Times New Roman" w:cs="Times New Roman"/>
              </w:rPr>
              <w:t xml:space="preserve"> in responding and </w:t>
            </w:r>
            <w:r>
              <w:rPr>
                <w:rFonts w:ascii="Times New Roman" w:hAnsi="Times New Roman" w:eastAsia="宋体" w:cs="Times New Roman"/>
              </w:rPr>
              <w:t>nonresponding</w:t>
            </w:r>
            <w:r>
              <w:rPr>
                <w:rFonts w:ascii="Times New Roman" w:hAnsi="Times New Roman" w:cs="Times New Roman"/>
              </w:rPr>
              <w:t xml:space="preserve"> subgroups in each treatment arm.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00500000000000000"/>
    <w:charset w:val="00"/>
    <w:family w:val="auto"/>
    <w:pitch w:val="default"/>
    <w:sig w:usb0="00000000" w:usb1="00000000" w:usb2="00000000" w:usb3="00000000" w:csb0="00000001" w:csb1="00000000"/>
  </w:font>
  <w:font w:name="AdvTT5235d5a9">
    <w:altName w:val="Segoe Print"/>
    <w:panose1 w:val="00000000000000000000"/>
    <w:charset w:val="00"/>
    <w:family w:val="roman"/>
    <w:pitch w:val="default"/>
    <w:sig w:usb0="00000000" w:usb1="00000000" w:usb2="00000000" w:usb3="00000000" w:csb0="00000001" w:csb1="00000000"/>
  </w:font>
  <w:font w:name="SwrbfjAdvTTb5929f4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5F54"/>
    <w:rsid w:val="0024364D"/>
    <w:rsid w:val="00264B34"/>
    <w:rsid w:val="00281568"/>
    <w:rsid w:val="00477398"/>
    <w:rsid w:val="007147D7"/>
    <w:rsid w:val="008A5F54"/>
    <w:rsid w:val="00934842"/>
    <w:rsid w:val="00A20C8A"/>
    <w:rsid w:val="0A1F5997"/>
    <w:rsid w:val="0EC83280"/>
    <w:rsid w:val="21AE2773"/>
    <w:rsid w:val="21B760C0"/>
    <w:rsid w:val="227A555D"/>
    <w:rsid w:val="2E8E7378"/>
    <w:rsid w:val="70656984"/>
    <w:rsid w:val="73DE87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qFormat/>
    <w:uiPriority w:val="0"/>
    <w:pPr>
      <w:spacing w:line="240" w:lineRule="auto"/>
    </w:pPr>
    <w:rPr>
      <w:rFonts w:ascii="宋体" w:eastAsia="宋体"/>
      <w:sz w:val="18"/>
      <w:szCs w:val="18"/>
    </w:rPr>
  </w:style>
  <w:style w:type="paragraph" w:styleId="3">
    <w:name w:val="Normal (Web)"/>
    <w:basedOn w:val="1"/>
    <w:qFormat/>
    <w:uiPriority w:val="0"/>
    <w:pPr>
      <w:spacing w:before="100" w:beforeAutospacing="1" w:after="100" w:afterAutospacing="1"/>
    </w:pPr>
  </w:style>
  <w:style w:type="paragraph" w:customStyle="1" w:styleId="6">
    <w:name w:val="TableTitle"/>
    <w:basedOn w:val="1"/>
    <w:qFormat/>
    <w:uiPriority w:val="0"/>
  </w:style>
  <w:style w:type="paragraph" w:customStyle="1" w:styleId="7">
    <w:name w:val="TableHeader"/>
    <w:basedOn w:val="8"/>
    <w:qFormat/>
    <w:uiPriority w:val="0"/>
    <w:pPr>
      <w:spacing w:before="120" w:line="240" w:lineRule="auto"/>
      <w:ind w:firstLine="0"/>
    </w:pPr>
    <w:rPr>
      <w:b/>
    </w:rPr>
  </w:style>
  <w:style w:type="paragraph" w:customStyle="1" w:styleId="8">
    <w:name w:val="Para"/>
    <w:basedOn w:val="1"/>
    <w:qFormat/>
    <w:uiPriority w:val="0"/>
    <w:pPr>
      <w:spacing w:line="360" w:lineRule="auto"/>
      <w:ind w:firstLine="288"/>
    </w:pPr>
  </w:style>
  <w:style w:type="paragraph" w:customStyle="1" w:styleId="9">
    <w:name w:val="TableSubHead"/>
    <w:basedOn w:val="7"/>
    <w:qFormat/>
    <w:uiPriority w:val="0"/>
  </w:style>
  <w:style w:type="paragraph" w:customStyle="1" w:styleId="10">
    <w:name w:val="列出段落1"/>
    <w:basedOn w:val="1"/>
    <w:qFormat/>
    <w:uiPriority w:val="34"/>
    <w:pPr>
      <w:ind w:firstLine="420" w:firstLineChars="200"/>
    </w:pPr>
  </w:style>
  <w:style w:type="character" w:customStyle="1" w:styleId="11">
    <w:name w:val="批注框文本字符"/>
    <w:basedOn w:val="5"/>
    <w:link w:val="2"/>
    <w:qFormat/>
    <w:uiPriority w:val="0"/>
    <w:rPr>
      <w:rFonts w:ascii="宋体"/>
      <w:sz w:val="18"/>
      <w:szCs w:val="18"/>
      <w:lang w:val="en-GB"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3283</Words>
  <Characters>18714</Characters>
  <Lines>155</Lines>
  <Paragraphs>43</Paragraphs>
  <TotalTime>1</TotalTime>
  <ScaleCrop>false</ScaleCrop>
  <LinksUpToDate>false</LinksUpToDate>
  <CharactersWithSpaces>21954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HP-PC</dc:creator>
  <cp:lastModifiedBy>李菁</cp:lastModifiedBy>
  <dcterms:modified xsi:type="dcterms:W3CDTF">2020-11-15T15:34:10Z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