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Supplementary Table 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1.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 Baseline characteristics of participants in PSM cohort.</w:t>
      </w:r>
    </w:p>
    <w:tbl>
      <w:tblPr>
        <w:tblStyle w:val="3"/>
        <w:tblW w:w="827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701"/>
        <w:gridCol w:w="1701"/>
        <w:gridCol w:w="1701"/>
        <w:gridCol w:w="899"/>
      </w:tblGrid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1701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Non-AF</w:t>
            </w:r>
          </w:p>
        </w:tc>
        <w:tc>
          <w:tcPr>
            <w:tcW w:w="1701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New-onset AF</w:t>
            </w:r>
          </w:p>
        </w:tc>
        <w:tc>
          <w:tcPr>
            <w:tcW w:w="899" w:type="dxa"/>
            <w:vMerge w:val="restart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P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376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282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94</w:t>
            </w:r>
          </w:p>
        </w:tc>
        <w:tc>
          <w:tcPr>
            <w:tcW w:w="899" w:type="dxa"/>
            <w:vMerge w:val="continue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Male (%)</w:t>
            </w:r>
          </w:p>
        </w:tc>
        <w:tc>
          <w:tcPr>
            <w:tcW w:w="1701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 (77.9%)</w:t>
            </w:r>
          </w:p>
        </w:tc>
        <w:tc>
          <w:tcPr>
            <w:tcW w:w="1701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 (78.7%)</w:t>
            </w:r>
          </w:p>
        </w:tc>
        <w:tc>
          <w:tcPr>
            <w:tcW w:w="1701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 (75.5%)</w:t>
            </w:r>
          </w:p>
        </w:tc>
        <w:tc>
          <w:tcPr>
            <w:tcW w:w="899" w:type="dxa"/>
            <w:tcBorders>
              <w:top w:val="single" w:color="auto" w:sz="4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0.615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Age，years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 ±10.2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58.2±10.4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BMI, kg/m2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25.7±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0.775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Clinical history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Previous MI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 (22.3%)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 (19.9%)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(29.8%)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0.063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Previous PCI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(23.9%)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 (19.9%)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 (36.2%)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Previous CABG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(3.2%)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(2.8%)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(4.3%)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0.735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Comorbidity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Hypertension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 (63.6%)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 (61.7%)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 (69.1%)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Hyperlipidemia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 (67.6%)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 (68.1%)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 (66.0%)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0.799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Diabetes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 (33.5%)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 (33.7%)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 (33.0%)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CVD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 (11.7%)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 (11.0%)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(13.8%)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0.578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PAD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 (9.8%)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 (7.8%)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(16.0%)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Anemia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 (10.6%)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(9.9%)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(12.8%)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0.562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 xml:space="preserve"> COPD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 (58.5%)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 (62.1%)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(47.9%)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Smoking 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 (63.6%)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 (61.7%)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 (69.1%)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Clinical presentation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0.157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ACS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235 (62.5%)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182 (64.5%)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53 (56.4%)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416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CCS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141 (27.5%)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100 (35.5%)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41 (43.6%)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LVEF &lt; 40%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(2.1%)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(2.1%)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(2.1%)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Laboratory</w:t>
            </w: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 w:eastAsia="zh-CN"/>
              </w:rPr>
              <w:t xml:space="preserve"> results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HbA1C, 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0.833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hsCRP, mg/L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0.975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LDL, mmol/L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0.944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HDL, mmol/L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 ±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1.1± 0.3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0.336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Lpa, mg/L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184 (83-400)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172 (80-349)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225 (88-554)</w:t>
            </w:r>
          </w:p>
        </w:tc>
        <w:tc>
          <w:tcPr>
            <w:tcW w:w="899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0.183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268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eGFR &lt; 60</w:t>
            </w:r>
          </w:p>
        </w:tc>
        <w:tc>
          <w:tcPr>
            <w:tcW w:w="1701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(3.2%)</w:t>
            </w:r>
          </w:p>
        </w:tc>
        <w:tc>
          <w:tcPr>
            <w:tcW w:w="1701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(3.2%)</w:t>
            </w:r>
          </w:p>
        </w:tc>
        <w:tc>
          <w:tcPr>
            <w:tcW w:w="1701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(3.2%)</w:t>
            </w:r>
          </w:p>
        </w:tc>
        <w:tc>
          <w:tcPr>
            <w:tcW w:w="899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 xml:space="preserve">ACS, acute coronary syndrome; AF, atrial fibrillation; BMI, body mass index; CABG, coronary artery bypass graft; CCS, chronic coronary syndrome; </w:t>
      </w:r>
      <w:r>
        <w:rPr>
          <w:rFonts w:hint="eastAsia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>COPD</w:t>
      </w:r>
      <w: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 xml:space="preserve">, chronic obstructive pulmonary disease; </w:t>
      </w:r>
      <w:r>
        <w:rPr>
          <w:rFonts w:hint="eastAsia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>CVD</w:t>
      </w:r>
      <w: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>, cerebrovascular disease; eGFR, estimated Glomerular Filtration Rate; HbA1c, glycosylated hemoglobin A1c; HDL, high density lipoprotein; hsCRP, high-sensitivity C-reactive protein; LDL, low density lipoprotein; LVEF, left ventricular ejection fraction; MI, myocardial infarction; PA</w:t>
      </w:r>
      <w:r>
        <w:rPr>
          <w:rFonts w:hint="eastAsia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>D</w:t>
      </w:r>
      <w: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>, peripheral arterial disease; PCI, percutaneous coronary intervention; PSM, propensity score matching.</w:t>
      </w:r>
    </w:p>
    <w:p>
      <w:pP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Supplementary Table 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2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.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ercutaneous coronary intervention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rocedure data 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in PSM cohort.</w:t>
      </w:r>
    </w:p>
    <w:tbl>
      <w:tblPr>
        <w:tblStyle w:val="3"/>
        <w:tblW w:w="856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0"/>
        <w:gridCol w:w="1701"/>
        <w:gridCol w:w="1701"/>
        <w:gridCol w:w="1701"/>
        <w:gridCol w:w="1004"/>
      </w:tblGrid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1701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Non-AF</w:t>
            </w:r>
          </w:p>
        </w:tc>
        <w:tc>
          <w:tcPr>
            <w:tcW w:w="1701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New-onset AF</w:t>
            </w:r>
          </w:p>
        </w:tc>
        <w:tc>
          <w:tcPr>
            <w:tcW w:w="1004" w:type="dxa"/>
            <w:vMerge w:val="restart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P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376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282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94</w:t>
            </w:r>
          </w:p>
        </w:tc>
        <w:tc>
          <w:tcPr>
            <w:tcW w:w="1004" w:type="dxa"/>
            <w:vMerge w:val="continue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PCI data</w:t>
            </w:r>
          </w:p>
        </w:tc>
        <w:tc>
          <w:tcPr>
            <w:tcW w:w="1701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120" w:firstLineChars="5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Emergency PCI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-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 xml:space="preserve"> IABP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宋体" w:cs="Times New Roman Regular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 w:val="24"/>
                <w:szCs w:val="24"/>
                <w:lang w:val="en-US" w:eastAsia="zh-CN"/>
              </w:rPr>
              <w:t xml:space="preserve"> (0.5%)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2(0.7%)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LM stenosis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 (6.6%)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 (6.0%)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(8.5%)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Multivessel disease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 (71.5%)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 (69.1%)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 (78.7%)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0.099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Syntax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10 (6-17)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10 (7-18)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9 (5-16)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0.156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TIMI 0 before PCI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 (16.0%)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 (16.7%)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(13.8%)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0.626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No. of Stents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1(1-2)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1(1-2)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1(1-2)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0.812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Discharge therapy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DAPT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364 (96.8%)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273 (96.8%)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91 (96.8%)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Beta-blocker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 (90.2%)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 (91.1%)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 (87.2%)</w:t>
            </w:r>
          </w:p>
        </w:tc>
        <w:tc>
          <w:tcPr>
            <w:tcW w:w="1004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0.368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460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  Statins</w:t>
            </w:r>
          </w:p>
        </w:tc>
        <w:tc>
          <w:tcPr>
            <w:tcW w:w="1701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 (97.6%)</w:t>
            </w:r>
          </w:p>
        </w:tc>
        <w:tc>
          <w:tcPr>
            <w:tcW w:w="1701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 (97.9%)</w:t>
            </w:r>
          </w:p>
        </w:tc>
        <w:tc>
          <w:tcPr>
            <w:tcW w:w="1701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 (96.8%)</w:t>
            </w:r>
          </w:p>
        </w:tc>
        <w:tc>
          <w:tcPr>
            <w:tcW w:w="1004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0.846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AF, atrial fibrillation;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DAPT, dual antiplatelet therapy;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LM, left main;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IABP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, intra-aortic balloon pump;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PCI, percutaneous coronary intervention;</w:t>
      </w:r>
      <w:r>
        <w:rPr>
          <w:rFonts w:hint="default" w:ascii="Times New Roman Regular" w:hAnsi="Times New Roman Regular" w:eastAsia="Times New Roman Regular" w:cs="Times New Roman Regular"/>
          <w:color w:val="000000"/>
          <w:kern w:val="0"/>
          <w:sz w:val="24"/>
          <w:szCs w:val="24"/>
          <w:lang w:val="en-US" w:eastAsia="zh-CN" w:bidi="ar"/>
        </w:rPr>
        <w:t xml:space="preserve"> PSM, propensity score matching.</w:t>
      </w:r>
    </w:p>
    <w:p>
      <w:pP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Supplementary Table 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3. Other 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c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linical 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o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utcomes 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d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 xml:space="preserve">uring 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f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ollow-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u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p</w:t>
      </w: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.</w:t>
      </w:r>
    </w:p>
    <w:tbl>
      <w:tblPr>
        <w:tblStyle w:val="3"/>
        <w:tblW w:w="8647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1330"/>
        <w:gridCol w:w="1325"/>
        <w:gridCol w:w="1825"/>
        <w:gridCol w:w="825"/>
      </w:tblGrid>
      <w:tr>
        <w:trPr>
          <w:trHeight w:val="336" w:hRule="atLeast"/>
        </w:trPr>
        <w:tc>
          <w:tcPr>
            <w:tcW w:w="334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132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Non-AF</w:t>
            </w:r>
          </w:p>
        </w:tc>
        <w:tc>
          <w:tcPr>
            <w:tcW w:w="1825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New-onset AF</w:t>
            </w:r>
          </w:p>
        </w:tc>
        <w:tc>
          <w:tcPr>
            <w:tcW w:w="825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P</w:t>
            </w: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8367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8273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n= 94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kern w:val="0"/>
                <w:sz w:val="24"/>
                <w:szCs w:val="24"/>
                <w:lang w:val="en-US" w:eastAsia="zh-CN" w:bidi="ar"/>
              </w:rPr>
              <w:t>Acute myocardial infarction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33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(1.1%)</w:t>
            </w:r>
          </w:p>
        </w:tc>
        <w:tc>
          <w:tcPr>
            <w:tcW w:w="13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 (1.1%)</w:t>
            </w:r>
          </w:p>
        </w:tc>
        <w:tc>
          <w:tcPr>
            <w:tcW w:w="18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(1.1%)</w:t>
            </w:r>
          </w:p>
        </w:tc>
        <w:tc>
          <w:tcPr>
            <w:tcW w:w="82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Revascularization (%)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 (8.9%)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 (8.9%)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(3.2%)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0.078</w:t>
            </w: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Death (%)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 (0.8%)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 (0.8%)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 (0.0%)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0.76</w:t>
            </w:r>
          </w:p>
        </w:tc>
      </w:tr>
      <w:tr>
        <w:trPr>
          <w:trHeight w:val="336" w:hRule="atLeast"/>
        </w:trPr>
        <w:tc>
          <w:tcPr>
            <w:tcW w:w="33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Stroke (%)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 (1.5%)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 (1.4%)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(5.3%)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Supplementary Table 4</w:t>
      </w:r>
      <w:r>
        <w:rPr>
          <w:rFonts w:hint="eastAsia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.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4" w:space="0"/>
          <w:bottom w:val="single" w:color="auto" w:sz="12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4964"/>
        <w:gridCol w:w="856"/>
      </w:tblGrid>
      <w:tr>
        <w:trPr>
          <w:jc w:val="center"/>
        </w:trPr>
        <w:tc>
          <w:tcPr>
            <w:tcW w:w="2737" w:type="dxa"/>
            <w:tcBorders>
              <w:left w:val="nil"/>
              <w:bottom w:val="single" w:color="auto" w:sz="6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Model</w:t>
            </w:r>
          </w:p>
        </w:tc>
        <w:tc>
          <w:tcPr>
            <w:tcW w:w="4964" w:type="dxa"/>
            <w:tcBorders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Variables</w:t>
            </w:r>
          </w:p>
        </w:tc>
        <w:tc>
          <w:tcPr>
            <w:tcW w:w="856" w:type="dxa"/>
            <w:tcBorders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Points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The POAF Score</w:t>
            </w:r>
          </w:p>
        </w:tc>
        <w:tc>
          <w:tcPr>
            <w:tcW w:w="496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Age 60–69 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Age 70–79 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2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Age ≥ 80 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2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Chronic obstructive pulmonary disease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eGFR &lt; 15 mL/min/1.73 m2 or dialysis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Emergency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Preoperative intra-aortic balloon pump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Left ventricular ejection fraction &lt; 30%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Valve surgery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The CHA2DS2-VASc Score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Congestive heart failure/left ventricular dysfunction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Hypertension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Age ≥ 75 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Diabetes mellitus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Stroke/transient ischemic attack/thromboembolism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Vascular disease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Age 65–74 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Sex category (female)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The Atrial Fibrillation Risk Index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Age (y)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: males &gt;60, females &gt;66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Weight (kg)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: males &gt;76, females &gt;64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Height (cm)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: males &gt;176, females &gt;168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  <w:tr>
        <w:trPr>
          <w:jc w:val="center"/>
        </w:trPr>
        <w:tc>
          <w:tcPr>
            <w:tcW w:w="273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4964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</w:rPr>
              <w:t>Peripheral vascular disease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  <w:vertAlign w:val="baseline"/>
                <w:lang w:val="en-US"/>
              </w:rPr>
              <w:t>1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eGFR, estimated glomerular filtration rate; POAF, postoperative atrial fibrillation.</w:t>
      </w:r>
    </w:p>
    <w:p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br w:type="page"/>
      </w:r>
    </w:p>
    <w:p>
      <w:pPr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Supplementary 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able 5. Comparison of POAF, CHA2DS2-VASc, and AFRI Scores between two patient groups.</w:t>
      </w:r>
    </w:p>
    <w:tbl>
      <w:tblPr>
        <w:tblStyle w:val="3"/>
        <w:tblW w:w="853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0"/>
        <w:gridCol w:w="1220"/>
        <w:gridCol w:w="1395"/>
        <w:gridCol w:w="1960"/>
        <w:gridCol w:w="1096"/>
      </w:tblGrid>
      <w:tr>
        <w:trPr>
          <w:trHeight w:val="170" w:hRule="atLeast"/>
          <w:tblCellSpacing w:w="0" w:type="dxa"/>
          <w:jc w:val="center"/>
        </w:trPr>
        <w:tc>
          <w:tcPr>
            <w:tcW w:w="2860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Overall</w:t>
            </w:r>
          </w:p>
        </w:tc>
        <w:tc>
          <w:tcPr>
            <w:tcW w:w="1395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Non-AF</w:t>
            </w:r>
          </w:p>
        </w:tc>
        <w:tc>
          <w:tcPr>
            <w:tcW w:w="1960" w:type="dxa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New-onset AF</w:t>
            </w:r>
          </w:p>
        </w:tc>
        <w:tc>
          <w:tcPr>
            <w:tcW w:w="1096" w:type="dxa"/>
            <w:vMerge w:val="restart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P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860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n= 8367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n= 8273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n= 94</w:t>
            </w:r>
          </w:p>
        </w:tc>
        <w:tc>
          <w:tcPr>
            <w:tcW w:w="1096" w:type="dxa"/>
            <w:vMerge w:val="continue"/>
            <w:tcBorders>
              <w:top w:val="single" w:color="000000" w:sz="18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860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POAF sore</w:t>
            </w:r>
          </w:p>
        </w:tc>
        <w:tc>
          <w:tcPr>
            <w:tcW w:w="1220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 (0-1)</w:t>
            </w:r>
          </w:p>
        </w:tc>
        <w:tc>
          <w:tcPr>
            <w:tcW w:w="1395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 (0-1)</w:t>
            </w:r>
          </w:p>
        </w:tc>
        <w:tc>
          <w:tcPr>
            <w:tcW w:w="1960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 (0-1)</w:t>
            </w:r>
          </w:p>
        </w:tc>
        <w:tc>
          <w:tcPr>
            <w:tcW w:w="1096" w:type="dxa"/>
            <w:tcBorders>
              <w:top w:val="single" w:color="auto" w:sz="6" w:space="0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&lt;0.001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8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</w:rPr>
              <w:t>CHA2DS2-VASc score</w:t>
            </w: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3 (2-3)</w:t>
            </w: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3 (2-3)</w:t>
            </w:r>
          </w:p>
        </w:tc>
        <w:tc>
          <w:tcPr>
            <w:tcW w:w="1960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3 (2-4)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0.012</w:t>
            </w:r>
          </w:p>
        </w:tc>
      </w:tr>
      <w:tr>
        <w:trPr>
          <w:trHeight w:val="170" w:hRule="atLeast"/>
          <w:tblCellSpacing w:w="0" w:type="dxa"/>
          <w:jc w:val="center"/>
        </w:trPr>
        <w:tc>
          <w:tcPr>
            <w:tcW w:w="2860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AFRI</w:t>
            </w:r>
          </w:p>
        </w:tc>
        <w:tc>
          <w:tcPr>
            <w:tcW w:w="1220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 (0-2)</w:t>
            </w:r>
          </w:p>
        </w:tc>
        <w:tc>
          <w:tcPr>
            <w:tcW w:w="1395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 (0-2)</w:t>
            </w:r>
          </w:p>
        </w:tc>
        <w:tc>
          <w:tcPr>
            <w:tcW w:w="1960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1 (1-2)</w:t>
            </w:r>
          </w:p>
        </w:tc>
        <w:tc>
          <w:tcPr>
            <w:tcW w:w="1096" w:type="dxa"/>
            <w:tcBorders>
              <w:top w:val="nil"/>
              <w:bottom w:val="single" w:color="auto" w:sz="12" w:space="0"/>
            </w:tcBorders>
            <w:shd w:val="clear" w:color="auto" w:fill="auto"/>
            <w:tcMar>
              <w:top w:w="20" w:type="dxa"/>
              <w:left w:w="20" w:type="dxa"/>
              <w:bottom w:w="72" w:type="dxa"/>
              <w:right w:w="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color w:val="000000"/>
                <w:sz w:val="24"/>
                <w:szCs w:val="24"/>
                <w:lang w:val="en-US"/>
              </w:rPr>
              <w:t>0.008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AF, atrial fibrillation.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br w:type="page"/>
      </w:r>
    </w:p>
    <w:p>
      <w:pP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480685" cy="3876675"/>
            <wp:effectExtent l="0" t="0" r="5715" b="952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Supplementary figure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1. The variance inflation factors for variables with P &lt; 0.2 in the univariate Cox regression.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br w:type="page"/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drawing>
          <wp:inline distT="0" distB="0" distL="114300" distR="114300">
            <wp:extent cx="5483225" cy="2741930"/>
            <wp:effectExtent l="0" t="0" r="3175" b="1270"/>
            <wp:docPr id="2" name="图片 2" descr="comp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omp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DengXian" w:cs="Times New Roman Regular"/>
          <w:kern w:val="2"/>
          <w:sz w:val="24"/>
          <w:szCs w:val="24"/>
          <w:lang w:val="en-US" w:eastAsia="zh-CN" w:bidi="ar"/>
        </w:rPr>
        <w:t>Supplementary figure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2. 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baseline"/>
          <w:lang w:val="en-US" w:eastAsia="zh-CN"/>
        </w:rPr>
        <w:t xml:space="preserve">Association between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age &gt; 56.5 years old, PCI history,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baseline"/>
          <w:lang w:val="en-US" w:eastAsia="zh-CN"/>
        </w:rPr>
        <w:t xml:space="preserve">and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n</w:t>
      </w:r>
      <w:bookmarkStart w:id="0" w:name="_GoBack"/>
      <w:bookmarkEnd w:id="0"/>
      <w:r>
        <w:rPr>
          <w:rFonts w:hint="default" w:ascii="Times New Roman Regular" w:hAnsi="Times New Roman Regular" w:eastAsia="Times New Roman Regular" w:cs="Times New Roman Regular"/>
          <w:color w:val="000000"/>
          <w:sz w:val="24"/>
          <w:szCs w:val="24"/>
          <w:lang w:val="en-US"/>
        </w:rPr>
        <w:t xml:space="preserve">ew-onset </w:t>
      </w:r>
      <w:r>
        <w:rPr>
          <w:rFonts w:hint="default" w:ascii="Times New Roman" w:hAnsi="Times New Roman" w:cs="Times New Roman" w:eastAsiaTheme="minorEastAsia"/>
          <w:sz w:val="24"/>
          <w:szCs w:val="24"/>
          <w:vertAlign w:val="baseline"/>
          <w:lang w:val="en-US" w:eastAsia="zh-CN"/>
        </w:rPr>
        <w:t>atrial fibrillation in the competing risk model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>.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D4682"/>
    <w:rsid w:val="327D4682"/>
    <w:rsid w:val="567F8825"/>
    <w:rsid w:val="5E6FB43A"/>
    <w:rsid w:val="6F96B5F9"/>
    <w:rsid w:val="7FFFFFF0"/>
    <w:rsid w:val="B5FF77C3"/>
    <w:rsid w:val="BDFFB5D5"/>
    <w:rsid w:val="C7FFDD20"/>
    <w:rsid w:val="DBBEBD6F"/>
    <w:rsid w:val="DDF71D54"/>
    <w:rsid w:val="F75CD32B"/>
    <w:rsid w:val="FB3FAC1E"/>
    <w:rsid w:val="FDFC17C2"/>
    <w:rsid w:val="FF6EDAA2"/>
    <w:rsid w:val="FF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2025-03-24T04:50:00Z</dcterms:created>
  <dc:creator>苏省</dc:creator>
  <cp:lastModifiedBy>苏省</cp:lastModifiedBy>
  <dcterms:modified xsi:type="dcterms:W3CDTF">2025-06-07T14:27:08Z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74ED124D4B6AC52108B2DE67A977D1CA_41</vt:lpwstr>
  </property>
</Properties>
</file>