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FC38" w14:textId="7C7390F5" w:rsidR="00CD66E9" w:rsidRPr="00B34016" w:rsidRDefault="00CD66E9" w:rsidP="00CD66E9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B34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Supplemental material</w:t>
      </w:r>
    </w:p>
    <w:p w14:paraId="30E6386D" w14:textId="77777777" w:rsidR="00CD66E9" w:rsidRPr="00B34016" w:rsidRDefault="00CD66E9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14:paraId="54F060F0" w14:textId="27DBA8C4" w:rsidR="00A533A0" w:rsidRPr="00B34016" w:rsidRDefault="00A533A0" w:rsidP="0037583E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4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Metabolomic methods </w:t>
      </w:r>
    </w:p>
    <w:p w14:paraId="477B0F47" w14:textId="77777777" w:rsidR="00A533A0" w:rsidRPr="00B34016" w:rsidRDefault="00A533A0" w:rsidP="0037583E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73194606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Widely targeted UPLC-MS/MS-based metabolic profiling</w:t>
      </w:r>
      <w:bookmarkEnd w:id="0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5FD2988" w14:textId="10096C93" w:rsidR="00A533A0" w:rsidRPr="00B34016" w:rsidRDefault="00835A32" w:rsidP="00B34016">
      <w:pPr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4016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erum samples were thawed at 4 °C; then, 100 </w:t>
      </w:r>
      <w:proofErr w:type="spellStart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>μL</w:t>
      </w:r>
      <w:proofErr w:type="spellEnd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of each serum sample was extracted with 300 </w:t>
      </w:r>
      <w:proofErr w:type="spellStart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>μL</w:t>
      </w:r>
      <w:proofErr w:type="spellEnd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of methanol. The mixture was vortexed</w:t>
      </w:r>
      <w:bookmarkStart w:id="1" w:name="OLE_LINK27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and centrifuged (12000 rpm, *4 °C, *10 min</w:t>
      </w:r>
      <w:bookmarkEnd w:id="1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); hereafter, the </w:t>
      </w:r>
      <w:bookmarkStart w:id="2" w:name="OLE_LINK24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>supernatant</w:t>
      </w:r>
      <w:bookmarkEnd w:id="2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was extracted into new centrifuge tubes and centrifuged (12000 rpm, *4 °C, *3 min) again. </w:t>
      </w:r>
      <w:bookmarkStart w:id="3" w:name="OLE_LINK1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The extracted supernatant was transferred into the </w:t>
      </w:r>
      <w:bookmarkStart w:id="4" w:name="_Hlk66880896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>UPLC (Shim-pack UFLC SHIMADZU CBM30A) – MS/MS (Applied Biosystems 6500 QTRAP)</w:t>
      </w:r>
      <w:bookmarkStart w:id="5" w:name="_Hlk66880088"/>
      <w:bookmarkEnd w:id="4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system</w:t>
      </w:r>
      <w:bookmarkEnd w:id="5"/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for analysis. </w:t>
      </w:r>
      <w:r w:rsidR="0035540F" w:rsidRPr="00B34016">
        <w:rPr>
          <w:rFonts w:ascii="Times New Roman" w:hAnsi="Times New Roman" w:cs="Times New Roman"/>
          <w:color w:val="000000"/>
          <w:sz w:val="24"/>
          <w:szCs w:val="24"/>
        </w:rPr>
        <w:t>Q</w:t>
      </w:r>
      <w:r w:rsidR="00A533A0" w:rsidRPr="00B34016">
        <w:rPr>
          <w:rFonts w:ascii="Times New Roman" w:hAnsi="Times New Roman" w:cs="Times New Roman"/>
          <w:color w:val="000000"/>
          <w:sz w:val="24"/>
          <w:szCs w:val="24"/>
        </w:rPr>
        <w:t>uality control (QC) samples were obtained by mixing an equal volume of serum samples and pretreated as described above.</w:t>
      </w:r>
    </w:p>
    <w:p w14:paraId="0C2F2BCA" w14:textId="624C50C1" w:rsidR="00A533A0" w:rsidRPr="00B34016" w:rsidRDefault="00A533A0" w:rsidP="00B34016">
      <w:pPr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73197372"/>
      <w:bookmarkEnd w:id="3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A Waters ACQUITY UPLC system coupled with </w:t>
      </w:r>
      <w:bookmarkStart w:id="7" w:name="OLE_LINK28"/>
      <w:bookmarkStart w:id="8" w:name="OLE_LINK29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electrospray </w:t>
      </w:r>
      <w:bookmarkStart w:id="9" w:name="OLE_LINK32"/>
      <w:r w:rsidRPr="00B34016">
        <w:rPr>
          <w:rFonts w:ascii="Times New Roman" w:hAnsi="Times New Roman" w:cs="Times New Roman"/>
          <w:color w:val="000000"/>
          <w:sz w:val="24"/>
          <w:szCs w:val="24"/>
        </w:rPr>
        <w:t>ionization</w:t>
      </w:r>
      <w:bookmarkEnd w:id="7"/>
      <w:bookmarkEnd w:id="8"/>
      <w:bookmarkEnd w:id="9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(ESI)-mass spectrometer was used for separation and metabolic analysis.</w:t>
      </w:r>
      <w:r w:rsidRPr="00B34016">
        <w:rPr>
          <w:rFonts w:ascii="Times New Roman" w:hAnsi="Times New Roman" w:cs="Times New Roman"/>
          <w:sz w:val="24"/>
          <w:szCs w:val="24"/>
        </w:rPr>
        <w:t xml:space="preserve"> </w:t>
      </w:r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The injection volume was 2 </w:t>
      </w: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μL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, the column temperature was set to 40 °C with the flow rate of 0.35 mL/min. The chromatography columns in the positive and </w:t>
      </w:r>
      <w:bookmarkStart w:id="10" w:name="OLE_LINK45"/>
      <w:r w:rsidRPr="00B34016">
        <w:rPr>
          <w:rFonts w:ascii="Times New Roman" w:hAnsi="Times New Roman" w:cs="Times New Roman"/>
          <w:color w:val="000000"/>
          <w:sz w:val="24"/>
          <w:szCs w:val="24"/>
        </w:rPr>
        <w:t>negative ion modes</w:t>
      </w:r>
      <w:bookmarkEnd w:id="10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were </w:t>
      </w:r>
      <w:r w:rsidR="00AE0C79" w:rsidRPr="00B34016">
        <w:rPr>
          <w:rFonts w:ascii="Times New Roman" w:hAnsi="Times New Roman" w:cs="Times New Roman"/>
          <w:color w:val="000000"/>
          <w:sz w:val="24"/>
          <w:szCs w:val="24"/>
        </w:rPr>
        <w:t>HSS</w:t>
      </w:r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C18 and </w:t>
      </w:r>
      <w:r w:rsidR="00AE0C79" w:rsidRPr="00B34016">
        <w:rPr>
          <w:rFonts w:ascii="Times New Roman" w:hAnsi="Times New Roman" w:cs="Times New Roman"/>
          <w:color w:val="000000"/>
          <w:sz w:val="24"/>
          <w:szCs w:val="24"/>
        </w:rPr>
        <w:t>HSS</w:t>
      </w:r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T3, respectively. Ultra-pure water and acetonitrile (both containing 0.04% formic acid) were utilized as mobile phases A and B. The starting composition was 5% B, which was increased to 95% at 11.0 min</w:t>
      </w:r>
      <w:bookmarkStart w:id="11" w:name="OLE_LINK30"/>
      <w:bookmarkStart w:id="12" w:name="OLE_LINK31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for a 1.0 min wash</w:t>
      </w:r>
      <w:bookmarkEnd w:id="11"/>
      <w:bookmarkEnd w:id="12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, followed by returning to 5% B in 0.1 min and held until 14 min for a re-equilibration step. For metabolite analysis, the ESI temperature was 500 °C. The mass spectrometry voltage was 5.5 kV. The curtain gas was 25 psi. The parameter of collision-activated dissociation was high. In the triple quadrupole, each ion pair was scanned based on the optimized </w:t>
      </w: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declustering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potential and collision energy.</w:t>
      </w:r>
      <w:bookmarkEnd w:id="6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The quality control (QC) samples were inserted into the analysis sequence every </w:t>
      </w:r>
      <w:r w:rsidR="00FA03DE" w:rsidRPr="00B3401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samples and analyzed to evaluate the analytical quality. The principal component analysis (PCA) model with DM, DR, and QC samples was utilized to assess the robustness of the detection system</w:t>
      </w:r>
      <w:r w:rsidR="002E76EC"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(Figure S4A)</w:t>
      </w:r>
      <w:r w:rsidRPr="00B340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0F0334" w14:textId="77777777" w:rsidR="0037583E" w:rsidRDefault="0037583E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br w:type="page"/>
      </w:r>
    </w:p>
    <w:p w14:paraId="3CA01023" w14:textId="705E92DC" w:rsidR="0037583E" w:rsidRPr="00B34016" w:rsidRDefault="0037583E" w:rsidP="0037583E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401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Biological Interpretation methods</w:t>
      </w:r>
    </w:p>
    <w:p w14:paraId="7215ED82" w14:textId="77777777" w:rsidR="0037583E" w:rsidRPr="00B34016" w:rsidRDefault="0037583E" w:rsidP="0037583E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3" w:name="_Hlk74502596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Chemical Similarity Enrichment Analysis</w:t>
      </w:r>
      <w:bookmarkEnd w:id="13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ChemRICH</w:t>
      </w:r>
      <w:proofErr w:type="spellEnd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C1296D9" w14:textId="3B5A0E0A" w:rsidR="0037583E" w:rsidRPr="00B34016" w:rsidRDefault="0037583E" w:rsidP="0037583E">
      <w:pPr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ChemRICH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is a novel pathway mapping tool based on chemical similarity. In </w:t>
      </w: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ChemRICH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14" w:name="OLE_LINK68"/>
      <w:bookmarkStart w:id="15" w:name="OLE_LINK70"/>
      <w:r w:rsidRPr="00B34016">
        <w:rPr>
          <w:rFonts w:ascii="Times New Roman" w:hAnsi="Times New Roman" w:cs="Times New Roman"/>
          <w:color w:val="000000"/>
          <w:sz w:val="24"/>
          <w:szCs w:val="24"/>
        </w:rPr>
        <w:t>chemical ontologies and structural similarities</w:t>
      </w:r>
      <w:bookmarkEnd w:id="14"/>
      <w:bookmarkEnd w:id="15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were applied to cluster metabolites instead of determination by pre-defined metabolic pathway database. Self-contained Kolmogorov-Smirnov (KS) test was performed to calculate the enrichment p-values of identified metabolite clusters, which were generally applied to </w:t>
      </w:r>
      <w:bookmarkStart w:id="16" w:name="OLE_LINK6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determine whether a cluster was represented more than expected by chance. </w:t>
      </w:r>
    </w:p>
    <w:p w14:paraId="4CB1C396" w14:textId="77777777" w:rsidR="0037583E" w:rsidRPr="00B34016" w:rsidRDefault="0037583E" w:rsidP="0037583E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_Hlk73547680"/>
      <w:bookmarkEnd w:id="16"/>
    </w:p>
    <w:p w14:paraId="5D595D58" w14:textId="428D959F" w:rsidR="0037583E" w:rsidRPr="00B34016" w:rsidRDefault="0037583E" w:rsidP="0037583E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34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MetaMapp</w:t>
      </w:r>
      <w:bookmarkEnd w:id="17"/>
      <w:proofErr w:type="spellEnd"/>
    </w:p>
    <w:p w14:paraId="5E083BEC" w14:textId="4F9347BF" w:rsidR="00947EFD" w:rsidRPr="00B34016" w:rsidRDefault="0037583E" w:rsidP="0037583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MetaMapp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was applied for integrating information from metabolite pathways (KEGG reactant pair database), chemical structures and mass spectral similarity. The metabolites’ encoded chemical structures of </w:t>
      </w: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MetaMapp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were retrieved from the </w:t>
      </w:r>
      <w:bookmarkStart w:id="18" w:name="OLE_LINK90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PubChem compound </w:t>
      </w:r>
      <w:bookmarkEnd w:id="18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database </w:t>
      </w:r>
      <w:bookmarkStart w:id="19" w:name="OLE_LINK91"/>
      <w:r w:rsidRPr="00B34016">
        <w:rPr>
          <w:rFonts w:ascii="Times New Roman" w:hAnsi="Times New Roman" w:cs="Times New Roman"/>
          <w:color w:val="000000"/>
          <w:sz w:val="24"/>
          <w:szCs w:val="24"/>
        </w:rPr>
        <w:t>according to compound identifiers and the NCBI Batch Entrez Utility</w:t>
      </w:r>
      <w:bookmarkEnd w:id="19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. The similarity among encoded structures in the </w:t>
      </w: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MetaMapp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was assessed by </w:t>
      </w:r>
      <w:proofErr w:type="spellStart"/>
      <w:r w:rsidRPr="00B34016">
        <w:rPr>
          <w:rFonts w:ascii="Times New Roman" w:hAnsi="Times New Roman" w:cs="Times New Roman"/>
          <w:color w:val="000000"/>
          <w:sz w:val="24"/>
          <w:szCs w:val="24"/>
        </w:rPr>
        <w:t>Tanimoto</w:t>
      </w:r>
      <w:proofErr w:type="spellEnd"/>
      <w:r w:rsidRPr="00B34016">
        <w:rPr>
          <w:rFonts w:ascii="Times New Roman" w:hAnsi="Times New Roman" w:cs="Times New Roman"/>
          <w:color w:val="000000"/>
          <w:sz w:val="24"/>
          <w:szCs w:val="24"/>
        </w:rPr>
        <w:t xml:space="preserve"> chemical similarity coefficient (range 0.0 to 1.0), which was represented by the size and 0.7 was defined as the threshold of the similarity among metabolites</w:t>
      </w:r>
      <w:r w:rsidR="003A28F9" w:rsidRPr="00B340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47EFD" w:rsidRPr="00B34016">
        <w:rPr>
          <w:rFonts w:ascii="宋体" w:eastAsia="宋体" w:hAnsi="宋体" w:cs="宋体"/>
          <w:kern w:val="0"/>
          <w:sz w:val="24"/>
          <w:szCs w:val="24"/>
        </w:rPr>
        <w:br w:type="page"/>
      </w:r>
    </w:p>
    <w:p w14:paraId="04EDC3A7" w14:textId="4FE15DE2" w:rsidR="00A96EDE" w:rsidRPr="00FE055D" w:rsidRDefault="001D7518" w:rsidP="00A96EDE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28742F5" wp14:editId="040AB2F3">
            <wp:extent cx="5274310" cy="256413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796C4" w14:textId="713A077A" w:rsidR="00A96EDE" w:rsidRPr="0037020C" w:rsidRDefault="00A96EDE" w:rsidP="00A96EDE">
      <w:pPr>
        <w:widowControl/>
        <w:jc w:val="left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3B7030">
        <w:rPr>
          <w:rFonts w:ascii="Times New Roman" w:hAnsi="Times New Roman"/>
          <w:b/>
          <w:bCs/>
          <w:sz w:val="24"/>
          <w:szCs w:val="24"/>
        </w:rPr>
        <w:t>.</w:t>
      </w:r>
      <w:r w:rsidRPr="0037020C">
        <w:rPr>
          <w:rFonts w:ascii="Times New Roman" w:hAnsi="Times New Roman"/>
          <w:sz w:val="24"/>
          <w:szCs w:val="24"/>
        </w:rPr>
        <w:t xml:space="preserve"> </w:t>
      </w:r>
      <w:r w:rsidRPr="0037020C">
        <w:rPr>
          <w:rFonts w:ascii="Times New Roman" w:eastAsia="宋体" w:hAnsi="Times New Roman"/>
          <w:color w:val="000000"/>
          <w:kern w:val="0"/>
          <w:sz w:val="24"/>
          <w:szCs w:val="24"/>
        </w:rPr>
        <w:t>The flowchart of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the</w:t>
      </w:r>
      <w:r w:rsidRPr="0037020C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study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design</w:t>
      </w:r>
      <w:r w:rsidRPr="0037020C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</w:t>
      </w:r>
    </w:p>
    <w:p w14:paraId="76DFA069" w14:textId="38A2FA6D" w:rsidR="00A96EDE" w:rsidRPr="00236121" w:rsidRDefault="00A96EDE" w:rsidP="00A96EDE">
      <w:pPr>
        <w:widowControl/>
        <w:jc w:val="left"/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Abbreviations: T2DM: type 2 diabetes mellitus; DM: </w:t>
      </w:r>
      <w:r w:rsidR="00AF4649"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T2DM</w:t>
      </w: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 without diabetic retinopathy; DR: </w:t>
      </w:r>
      <w:r w:rsidR="00AF4649"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T2DM with </w:t>
      </w: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diabetic retinopathy; BMI: body mass index; HbA1c: glycated hemoglobin.</w:t>
      </w:r>
    </w:p>
    <w:p w14:paraId="64F683D0" w14:textId="77777777" w:rsidR="00A96EDE" w:rsidRPr="00A96EDE" w:rsidRDefault="00A96EDE">
      <w:pPr>
        <w:widowControl/>
        <w:jc w:val="left"/>
      </w:pPr>
    </w:p>
    <w:p w14:paraId="7901B91A" w14:textId="1305EA34" w:rsidR="00A96EDE" w:rsidRPr="00A96EDE" w:rsidRDefault="00A96EDE">
      <w:pPr>
        <w:widowControl/>
        <w:jc w:val="left"/>
      </w:pPr>
      <w:r>
        <w:br w:type="page"/>
      </w:r>
    </w:p>
    <w:p w14:paraId="1B091D11" w14:textId="684D4FF8" w:rsidR="00A13874" w:rsidRDefault="00A13874">
      <w:r>
        <w:rPr>
          <w:noProof/>
        </w:rPr>
        <w:lastRenderedPageBreak/>
        <w:drawing>
          <wp:inline distT="0" distB="0" distL="0" distR="0" wp14:anchorId="5A3378A0" wp14:editId="52323D80">
            <wp:extent cx="5264785" cy="62693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626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1D87E" w14:textId="20F542BF" w:rsidR="00220946" w:rsidRPr="00CC2258" w:rsidRDefault="007E56AF" w:rsidP="00836F8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A96E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36F8A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6F8A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Box plots and kernel density plots before and after </w:t>
      </w:r>
      <w:r w:rsidR="00B939D8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variable transformation</w:t>
      </w:r>
      <w:r w:rsidR="00836F8A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The density plots are based on all samples. Selected methods: Log10 </w:t>
      </w:r>
      <w:r w:rsidR="00257084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transformation</w:t>
      </w:r>
      <w:r w:rsidR="00836F8A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Pareto </w:t>
      </w:r>
      <w:r w:rsidR="00257084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="00836F8A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caling</w:t>
      </w:r>
      <w:r w:rsidR="00186841" w:rsidRPr="0018684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(mean-centered and divided by the square root of the standard deviation of each variable)</w:t>
      </w:r>
      <w:r w:rsidR="00836F8A"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07BF3246" w14:textId="77777777" w:rsidR="00220946" w:rsidRDefault="00220946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</w:rPr>
        <w:br w:type="page"/>
      </w:r>
    </w:p>
    <w:p w14:paraId="273C68AD" w14:textId="440A6095" w:rsidR="00AD5CE4" w:rsidRDefault="00AB21F7" w:rsidP="00AD5CE4">
      <w:r>
        <w:rPr>
          <w:noProof/>
        </w:rPr>
        <w:lastRenderedPageBreak/>
        <w:drawing>
          <wp:inline distT="0" distB="0" distL="0" distR="0" wp14:anchorId="262E9ECA" wp14:editId="73489F0B">
            <wp:extent cx="5256530" cy="310515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86C72" w14:textId="4384FAD3" w:rsidR="00AD5CE4" w:rsidRPr="00CC2258" w:rsidRDefault="00AD5CE4" w:rsidP="00AD5CE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20" w:name="OLE_LINK11"/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20"/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DAG illustrating modeling variables selection. 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Potential confounders evaluated were DoD, SBP, and insulin first. We choose the above three </w:t>
      </w:r>
      <w:r w:rsidRPr="00CC225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otential confounders and MAs for modeling</w:t>
      </w:r>
      <w:r w:rsidR="0026050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because the other potentially meaningful variables (P&lt;0.1) can be explained by the above variables</w:t>
      </w:r>
      <w:r w:rsidR="0026050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or the latter part of the event. T</w:t>
      </w:r>
      <w:r w:rsidRPr="00CC225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he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DAG was drawn with </w:t>
      </w:r>
      <w:proofErr w:type="spellStart"/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DAGitty</w:t>
      </w:r>
      <w:proofErr w:type="spellEnd"/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r w:rsidRPr="009273A7">
        <w:rPr>
          <w:rStyle w:val="a7"/>
          <w:rFonts w:ascii="Times New Roman" w:eastAsia="等线" w:hAnsi="Times New Roman" w:cs="Times New Roman"/>
          <w:sz w:val="24"/>
          <w:szCs w:val="24"/>
        </w:rPr>
        <w:t>http://www.dagitty.net/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Pr="00CC225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33B522B6" w14:textId="2E013411" w:rsidR="00AD5CE4" w:rsidRPr="00236121" w:rsidRDefault="00AD5CE4" w:rsidP="00AD5CE4">
      <w:pPr>
        <w:widowControl/>
        <w:jc w:val="left"/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>Abbreviations: DAG: Directed acyclic graph; D</w:t>
      </w:r>
      <w:r w:rsidR="00096099"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>O</w:t>
      </w:r>
      <w:r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 xml:space="preserve">D: </w:t>
      </w:r>
      <w:r w:rsidRPr="00236121">
        <w:rPr>
          <w:rFonts w:ascii="Times New Roman" w:eastAsia="宋体" w:hAnsi="Times New Roman" w:hint="eastAsia"/>
          <w:i/>
          <w:iCs/>
          <w:color w:val="000000"/>
          <w:kern w:val="0"/>
          <w:sz w:val="20"/>
          <w:szCs w:val="20"/>
        </w:rPr>
        <w:t>duration</w:t>
      </w:r>
      <w:r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 xml:space="preserve"> of diabetes; SBP: systolic blood pressure; MA: metabolite alterations</w:t>
      </w:r>
      <w:r w:rsidR="00A26C60"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 xml:space="preserve">; DR: T2DM </w:t>
      </w:r>
      <w:r w:rsidR="00A26C60" w:rsidRPr="00236121">
        <w:rPr>
          <w:rFonts w:ascii="Times New Roman" w:eastAsia="宋体" w:hAnsi="Times New Roman" w:hint="eastAsia"/>
          <w:i/>
          <w:iCs/>
          <w:color w:val="000000"/>
          <w:kern w:val="0"/>
          <w:sz w:val="20"/>
          <w:szCs w:val="20"/>
        </w:rPr>
        <w:t>with</w:t>
      </w:r>
      <w:r w:rsidR="00A26C60"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 xml:space="preserve"> diabetic retinopathy</w:t>
      </w:r>
      <w:r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>.</w:t>
      </w:r>
    </w:p>
    <w:p w14:paraId="61E088DA" w14:textId="77777777" w:rsidR="00AD5CE4" w:rsidRPr="00AD5CE4" w:rsidRDefault="00AD5CE4">
      <w:pPr>
        <w:widowControl/>
        <w:jc w:val="left"/>
      </w:pPr>
    </w:p>
    <w:p w14:paraId="56E4EBF1" w14:textId="77777777" w:rsidR="00AD5CE4" w:rsidRDefault="00AD5CE4">
      <w:pPr>
        <w:widowControl/>
        <w:jc w:val="left"/>
      </w:pPr>
    </w:p>
    <w:p w14:paraId="27744896" w14:textId="7DEF0D7A" w:rsidR="00AD5CE4" w:rsidRDefault="00AD5CE4">
      <w:pPr>
        <w:widowControl/>
        <w:jc w:val="left"/>
      </w:pPr>
      <w:r>
        <w:br w:type="page"/>
      </w:r>
    </w:p>
    <w:p w14:paraId="7D4DD0EC" w14:textId="2240B534" w:rsidR="00A13874" w:rsidRDefault="002E6FA4">
      <w:r>
        <w:rPr>
          <w:noProof/>
        </w:rPr>
        <w:lastRenderedPageBreak/>
        <w:drawing>
          <wp:inline distT="0" distB="0" distL="0" distR="0" wp14:anchorId="3B4F273E" wp14:editId="3D337FF9">
            <wp:extent cx="5259070" cy="157734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6AECD" w14:textId="1345DAB4" w:rsidR="00C1089A" w:rsidRPr="00CC2258" w:rsidRDefault="007E56AF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BB04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1089A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35AC6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(A) 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PCA score plot 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>of DM, DR</w:t>
      </w:r>
      <w:r w:rsidR="00601C8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and QC groups</w:t>
      </w:r>
      <w:r w:rsidR="00601C8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It shows the </w:t>
      </w:r>
      <w:r w:rsidR="00832533" w:rsidRPr="00CC2258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UPLC-MS/MS 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>platform</w:t>
      </w:r>
      <w:r w:rsidR="002E6FA4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using in the study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is relatively robust.</w:t>
      </w:r>
      <w:r w:rsidR="00D35AC6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(B)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PLS-DA score plot of 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>DM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vs. </w:t>
      </w:r>
      <w:r w:rsidR="00832533" w:rsidRPr="00CC2258">
        <w:rPr>
          <w:rFonts w:ascii="Times New Roman" w:hAnsi="Times New Roman" w:cs="Times New Roman"/>
          <w:color w:val="000000"/>
          <w:sz w:val="24"/>
          <w:szCs w:val="24"/>
        </w:rPr>
        <w:t>DR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E6FA4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It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shows a clear separation of metabolites between </w:t>
      </w:r>
      <w:r w:rsidR="002E6FA4" w:rsidRPr="00CC2258">
        <w:rPr>
          <w:rFonts w:ascii="Times New Roman" w:hAnsi="Times New Roman" w:cs="Times New Roman"/>
          <w:color w:val="000000"/>
          <w:sz w:val="24"/>
          <w:szCs w:val="24"/>
        </w:rPr>
        <w:t>DM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patients and </w:t>
      </w:r>
      <w:r w:rsidR="002E6FA4" w:rsidRPr="00CC2258">
        <w:rPr>
          <w:rFonts w:ascii="Times New Roman" w:hAnsi="Times New Roman" w:cs="Times New Roman"/>
          <w:color w:val="000000"/>
          <w:sz w:val="24"/>
          <w:szCs w:val="24"/>
        </w:rPr>
        <w:t>DR patients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E6FA4" w:rsidRPr="00CC2258">
        <w:rPr>
          <w:rFonts w:ascii="Times New Roman" w:hAnsi="Times New Roman" w:cs="Times New Roman"/>
          <w:color w:val="000000"/>
          <w:sz w:val="24"/>
          <w:szCs w:val="24"/>
        </w:rPr>
        <w:t>The model was established using three principal components. Cumulative R2 archived 90.2%, Q2 achieved 77.9%, and accuracy achieved 97.2% with permutation test p-values less than 0.001</w:t>
      </w:r>
      <w:r w:rsidR="0043027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692B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shown in </w:t>
      </w:r>
      <w:r w:rsidR="005E692B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picture (C)</w:t>
      </w:r>
      <w:r w:rsidR="002E6FA4" w:rsidRPr="00CC22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E692B" w:rsidRPr="00CC225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Red: </w:t>
      </w:r>
      <w:r w:rsidR="005E692B" w:rsidRPr="00CC2258">
        <w:rPr>
          <w:rFonts w:ascii="Times New Roman" w:hAnsi="Times New Roman" w:cs="Times New Roman"/>
          <w:color w:val="000000"/>
          <w:sz w:val="24"/>
          <w:szCs w:val="24"/>
        </w:rPr>
        <w:t>DM patients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; Green: </w:t>
      </w:r>
      <w:r w:rsidR="005E692B" w:rsidRPr="00CC2258">
        <w:rPr>
          <w:rFonts w:ascii="Times New Roman" w:hAnsi="Times New Roman" w:cs="Times New Roman"/>
          <w:color w:val="000000"/>
          <w:sz w:val="24"/>
          <w:szCs w:val="24"/>
        </w:rPr>
        <w:t>DR patients; Black: QC samples</w:t>
      </w:r>
      <w:r w:rsidR="00D35AC6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1089A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The explained variances are shown in brackets. </w:t>
      </w:r>
    </w:p>
    <w:p w14:paraId="5E9CC131" w14:textId="078A5015" w:rsidR="00C1089A" w:rsidRPr="00236121" w:rsidRDefault="00C1089A" w:rsidP="00C1089A">
      <w:pPr>
        <w:tabs>
          <w:tab w:val="left" w:pos="969"/>
        </w:tabs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Abbreviations: </w:t>
      </w:r>
      <w:r w:rsidR="005E692B"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PCA: Principal component analysis; PLS-DA: Partial least square–discriminant analysis; </w:t>
      </w: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DM: diabetes mellitus; DR: diabetic retinopathy; QC: quality control</w:t>
      </w:r>
      <w:r w:rsidR="005E692B"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; UPLC-MS/MS: ultra-performance liquid chromatography-tandem mass spectrometry</w:t>
      </w: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.</w:t>
      </w:r>
    </w:p>
    <w:p w14:paraId="19502EFC" w14:textId="2B613C02" w:rsidR="001D0A8D" w:rsidRDefault="001D0A8D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7E6798E" w14:textId="77777777" w:rsidR="001D0A8D" w:rsidRDefault="001D0A8D" w:rsidP="001D0A8D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1D978E2A" wp14:editId="5A35AF42">
            <wp:extent cx="5269865" cy="1997710"/>
            <wp:effectExtent l="0" t="0" r="698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237D9" w14:textId="14D430CF" w:rsidR="001D0A8D" w:rsidRDefault="001D0A8D" w:rsidP="001D0A8D">
      <w:pPr>
        <w:widowControl/>
        <w:jc w:val="left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DD04C4">
        <w:rPr>
          <w:rFonts w:ascii="Times New Roman" w:eastAsia="宋体" w:hAnsi="Times New Roman"/>
          <w:b/>
          <w:bCs/>
          <w:color w:val="000000"/>
          <w:kern w:val="0"/>
          <w:sz w:val="24"/>
          <w:szCs w:val="24"/>
        </w:rPr>
        <w:t>Figure S</w:t>
      </w:r>
      <w:r>
        <w:rPr>
          <w:rFonts w:ascii="Times New Roman" w:eastAsia="宋体" w:hAnsi="Times New Roman"/>
          <w:b/>
          <w:bCs/>
          <w:color w:val="000000"/>
          <w:kern w:val="0"/>
          <w:sz w:val="24"/>
          <w:szCs w:val="24"/>
        </w:rPr>
        <w:t>5</w:t>
      </w:r>
      <w:r w:rsidRPr="00DD04C4">
        <w:rPr>
          <w:rFonts w:ascii="Times New Roman" w:eastAsia="宋体" w:hAnsi="Times New Roman"/>
          <w:color w:val="000000"/>
          <w:kern w:val="0"/>
          <w:sz w:val="24"/>
          <w:szCs w:val="24"/>
        </w:rPr>
        <w:t>. Feature selection using the LASSO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-based</w:t>
      </w:r>
      <w:r w:rsidRPr="00DD04C4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logistic regression model. </w:t>
      </w:r>
      <w:r w:rsidRPr="00DD04C4">
        <w:rPr>
          <w:rFonts w:ascii="Times New Roman" w:eastAsia="宋体" w:hAnsi="Times New Roman"/>
          <w:b/>
          <w:bCs/>
          <w:color w:val="000000"/>
          <w:kern w:val="0"/>
          <w:sz w:val="24"/>
          <w:szCs w:val="24"/>
        </w:rPr>
        <w:t>(A)</w:t>
      </w:r>
      <w:r w:rsidRPr="00DD04C4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LASSO coefficient profiles of the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25</w:t>
      </w:r>
      <w:r w:rsidRPr="00DD04C4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differentially expressed metabolites. </w:t>
      </w:r>
      <w:r w:rsidRPr="00DD04C4">
        <w:rPr>
          <w:rFonts w:ascii="Times New Roman" w:eastAsia="宋体" w:hAnsi="Times New Roman"/>
          <w:b/>
          <w:bCs/>
          <w:color w:val="000000"/>
          <w:kern w:val="0"/>
          <w:sz w:val="24"/>
          <w:szCs w:val="24"/>
        </w:rPr>
        <w:t>(B)</w:t>
      </w:r>
      <w:r w:rsidRPr="00DD04C4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Tuning parameter (λ) selection in the LASSO model used 10-fold cross-validation via minimum criteria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</w:p>
    <w:p w14:paraId="0EB52B98" w14:textId="77777777" w:rsidR="001D0A8D" w:rsidRPr="00236121" w:rsidRDefault="001D0A8D" w:rsidP="001D0A8D">
      <w:pPr>
        <w:tabs>
          <w:tab w:val="left" w:pos="969"/>
        </w:tabs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Abbreviations: LASSO: least absolute shrinkage and selection operator.</w:t>
      </w:r>
    </w:p>
    <w:p w14:paraId="57561CB1" w14:textId="77777777" w:rsidR="001D0A8D" w:rsidRDefault="001D0A8D" w:rsidP="001D0A8D">
      <w:pPr>
        <w:widowControl/>
        <w:jc w:val="left"/>
      </w:pPr>
      <w:r>
        <w:br w:type="page"/>
      </w:r>
    </w:p>
    <w:p w14:paraId="21D89640" w14:textId="4A747D16" w:rsidR="00220946" w:rsidRDefault="00085BFC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6330005" wp14:editId="15FA9D62">
            <wp:extent cx="5269230" cy="370459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8E547" w14:textId="5A578DC7" w:rsidR="003F4B38" w:rsidRPr="00CC2258" w:rsidRDefault="003F4B38" w:rsidP="00CC225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1D0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C2258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(A) 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Heatmap for intensities of all 89 </w:t>
      </w:r>
      <w:bookmarkStart w:id="21" w:name="OLE_LINK12"/>
      <w:r w:rsidR="00DD04C4" w:rsidRPr="00DD04C4">
        <w:rPr>
          <w:rFonts w:ascii="Times New Roman" w:eastAsia="宋体" w:hAnsi="Times New Roman"/>
          <w:color w:val="000000"/>
          <w:kern w:val="0"/>
          <w:sz w:val="24"/>
          <w:szCs w:val="24"/>
        </w:rPr>
        <w:t>differentially expressed metabolites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between DM and DR patients</w:t>
      </w:r>
      <w:bookmarkEnd w:id="21"/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with</w:t>
      </w:r>
      <w:r w:rsidR="005F3590" w:rsidRPr="005F3590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5F3590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q value </w:t>
      </w:r>
      <w:r w:rsidR="005F3590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less than </w:t>
      </w:r>
      <w:r w:rsidR="005F3590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0.05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, fold change value </w:t>
      </w:r>
      <w:r w:rsidR="00FA6D93">
        <w:rPr>
          <w:rFonts w:ascii="Times New Roman" w:eastAsia="宋体" w:hAnsi="Times New Roman"/>
          <w:color w:val="000000"/>
          <w:kern w:val="0"/>
          <w:sz w:val="24"/>
          <w:szCs w:val="24"/>
        </w:rPr>
        <w:t>greater than</w:t>
      </w:r>
      <w:r w:rsidR="00FA6D93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1.2 </w:t>
      </w:r>
      <w:r w:rsidR="003F7500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or </w:t>
      </w:r>
      <w:r w:rsidR="00FA6D93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less than </w:t>
      </w:r>
      <w:r w:rsidR="003F7500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0.8 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and</w:t>
      </w:r>
      <w:r w:rsidR="005F3590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VIP </w:t>
      </w:r>
      <w:r w:rsidR="005F3590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greater than </w:t>
      </w:r>
      <w:r w:rsidR="005F3590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1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Euclidean distance metric and Ward’s clustering method </w:t>
      </w:r>
      <w:r w:rsidR="00601C88">
        <w:rPr>
          <w:rFonts w:ascii="Times New Roman" w:eastAsia="宋体" w:hAnsi="Times New Roman"/>
          <w:color w:val="000000"/>
          <w:kern w:val="0"/>
          <w:sz w:val="24"/>
          <w:szCs w:val="24"/>
        </w:rPr>
        <w:t>were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applied for the hierarchical clustering of patients. Red represents increased intensities and blue</w:t>
      </w:r>
      <w:r w:rsidR="00601C88" w:rsidRPr="00601C8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601C8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represents</w:t>
      </w:r>
      <w:r w:rsidR="007C4716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decreased intensities. Metabolites of the same category are expressed together.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258"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(B)</w:t>
      </w:r>
      <w:r w:rsidR="00CC2258"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Volcano plot with metabolites that were significantly altered in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>DR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patients compared to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>DM patients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The </w:t>
      </w:r>
      <w:r w:rsidR="00E12B67" w:rsidRPr="00E12B67">
        <w:rPr>
          <w:rFonts w:ascii="Times New Roman" w:eastAsia="宋体" w:hAnsi="Times New Roman"/>
          <w:color w:val="000000"/>
          <w:kern w:val="0"/>
          <w:sz w:val="24"/>
          <w:szCs w:val="24"/>
        </w:rPr>
        <w:t>fuchsia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dots represent metabolites above the threshold. The further the metabolite’s position away from the (0, 0), the more significant the metabolite is. </w:t>
      </w:r>
      <w:r w:rsidR="00601C88">
        <w:rPr>
          <w:rFonts w:ascii="Times New Roman" w:eastAsia="宋体" w:hAnsi="Times New Roman"/>
          <w:color w:val="000000"/>
          <w:kern w:val="0"/>
          <w:sz w:val="24"/>
          <w:szCs w:val="24"/>
        </w:rPr>
        <w:t>The v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olcano plot visualizes the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>-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log10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transformed q 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value and log2 fold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changes. Metabolites with </w:t>
      </w:r>
      <w:r w:rsidR="00601C8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q 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value less than 0.05 and a fold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change greater than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>1.2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or less than </w:t>
      </w:r>
      <w:r w:rsidR="00E12B6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0.8 </w:t>
      </w:r>
      <w:r w:rsidR="00CC2258" w:rsidRPr="00CC2258">
        <w:rPr>
          <w:rFonts w:ascii="Times New Roman" w:eastAsia="宋体" w:hAnsi="Times New Roman"/>
          <w:color w:val="000000"/>
          <w:kern w:val="0"/>
          <w:sz w:val="24"/>
          <w:szCs w:val="24"/>
        </w:rPr>
        <w:t>are highlighted and labeled.</w:t>
      </w:r>
    </w:p>
    <w:p w14:paraId="3AE09F7F" w14:textId="3EDF4063" w:rsidR="003F4B38" w:rsidRPr="00236121" w:rsidRDefault="003F4B38" w:rsidP="003F4B38">
      <w:pPr>
        <w:tabs>
          <w:tab w:val="left" w:pos="969"/>
        </w:tabs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Abbreviations: DM: diabetes mellitus group; DR: diabetic retinopathy group; QC: quality control group.</w:t>
      </w:r>
    </w:p>
    <w:p w14:paraId="76859D44" w14:textId="77777777" w:rsidR="001B2E98" w:rsidRDefault="001B2E98">
      <w:pPr>
        <w:widowControl/>
        <w:jc w:val="left"/>
      </w:pPr>
      <w:r>
        <w:br w:type="page"/>
      </w:r>
    </w:p>
    <w:p w14:paraId="3A1096A7" w14:textId="1C68587F" w:rsidR="0092063B" w:rsidRDefault="0092063B" w:rsidP="005F3590">
      <w:pPr>
        <w:widowControl/>
        <w:jc w:val="left"/>
      </w:pPr>
      <w:r w:rsidRPr="009517E2">
        <w:rPr>
          <w:noProof/>
        </w:rPr>
        <w:lastRenderedPageBreak/>
        <w:drawing>
          <wp:inline distT="0" distB="0" distL="0" distR="0" wp14:anchorId="3EBB7F54" wp14:editId="41B8675F">
            <wp:extent cx="5267325" cy="31432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0560B" w14:textId="708412A6" w:rsidR="0092063B" w:rsidRPr="00CC2258" w:rsidRDefault="0092063B" w:rsidP="0092063B">
      <w:pPr>
        <w:widowControl/>
        <w:jc w:val="left"/>
        <w:rPr>
          <w:rStyle w:val="jlqj4b"/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22" w:name="OLE_LINK160"/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9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KEGG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global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metabolic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network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highlighting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DR altered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pathway</w:t>
      </w:r>
      <w:r w:rsidR="00A934F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>raw p</w:t>
      </w:r>
      <w:r w:rsidR="00280C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value &lt; 0.05). The thickness of the line represents the number of enriched metabolites in the pathway. 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 w:rsidRPr="00CC225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he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KEGG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global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metabolic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network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was drawn with </w:t>
      </w:r>
      <w:bookmarkStart w:id="23" w:name="_Hlk66998875"/>
      <w:proofErr w:type="spellStart"/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iPath</w:t>
      </w:r>
      <w:proofErr w:type="spellEnd"/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r w:rsidRPr="00BF3150">
        <w:rPr>
          <w:rStyle w:val="a7"/>
          <w:rFonts w:ascii="Times New Roman" w:hAnsi="Times New Roman" w:cs="Times New Roman"/>
          <w:sz w:val="24"/>
          <w:szCs w:val="24"/>
        </w:rPr>
        <w:t>https://pathways.embl.de/</w:t>
      </w:r>
      <w:r w:rsidRPr="00CC2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Pr="00CC225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bookmarkEnd w:id="23"/>
    </w:p>
    <w:bookmarkEnd w:id="22"/>
    <w:p w14:paraId="55A1A183" w14:textId="77777777" w:rsidR="0092063B" w:rsidRPr="00236121" w:rsidRDefault="0092063B" w:rsidP="0092063B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 xml:space="preserve">Abbreviations: KEGG: Kyoto Encyclopedia of Genes and Genomes database; DR: </w:t>
      </w:r>
      <w:bookmarkStart w:id="24" w:name="OLE_LINK163"/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diabetic retinopathy</w:t>
      </w:r>
      <w:bookmarkEnd w:id="24"/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 xml:space="preserve">; </w:t>
      </w:r>
      <w:proofErr w:type="spellStart"/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iPath</w:t>
      </w:r>
      <w:proofErr w:type="spellEnd"/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: Interactive Pathways Explorer.</w:t>
      </w:r>
    </w:p>
    <w:p w14:paraId="5C74DBCF" w14:textId="77777777" w:rsidR="00067FA7" w:rsidRDefault="00067FA7">
      <w:pPr>
        <w:widowControl/>
        <w:jc w:val="left"/>
        <w:rPr>
          <w:rFonts w:ascii="Times New Roman" w:eastAsia="宋体" w:hAnsi="Times New Roman"/>
          <w:i/>
          <w:iCs/>
          <w:color w:val="000000"/>
          <w:kern w:val="0"/>
          <w:sz w:val="18"/>
          <w:szCs w:val="18"/>
        </w:rPr>
      </w:pPr>
      <w:r>
        <w:rPr>
          <w:rFonts w:ascii="Times New Roman" w:eastAsia="宋体" w:hAnsi="Times New Roman"/>
          <w:i/>
          <w:iCs/>
          <w:color w:val="000000"/>
          <w:kern w:val="0"/>
          <w:sz w:val="18"/>
          <w:szCs w:val="18"/>
        </w:rPr>
        <w:br w:type="page"/>
      </w:r>
    </w:p>
    <w:p w14:paraId="0A2184F8" w14:textId="77777777" w:rsidR="00067FA7" w:rsidRPr="00CC2258" w:rsidRDefault="00067FA7" w:rsidP="00067FA7">
      <w:pPr>
        <w:rPr>
          <w:sz w:val="24"/>
          <w:szCs w:val="24"/>
        </w:rPr>
      </w:pP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</w:t>
      </w:r>
      <w:r w:rsidRPr="00CC225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able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DR altered metabolic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pathway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>raw p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value &lt; 0.05) of KEGG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global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metabolic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58">
        <w:rPr>
          <w:rFonts w:ascii="Times New Roman" w:hAnsi="Times New Roman" w:cs="Times New Roman" w:hint="eastAsia"/>
          <w:color w:val="000000"/>
          <w:sz w:val="24"/>
          <w:szCs w:val="24"/>
        </w:rPr>
        <w:t>network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683"/>
        <w:gridCol w:w="1135"/>
        <w:gridCol w:w="1488"/>
      </w:tblGrid>
      <w:tr w:rsidR="00067FA7" w:rsidRPr="00236121" w14:paraId="7B6699C5" w14:textId="77777777" w:rsidTr="00314694">
        <w:trPr>
          <w:trHeight w:val="312"/>
        </w:trPr>
        <w:tc>
          <w:tcPr>
            <w:tcW w:w="342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2F6DFBB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Pathway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3F1E745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Hits</w:t>
            </w:r>
          </w:p>
        </w:tc>
        <w:tc>
          <w:tcPr>
            <w:tcW w:w="8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2420FD8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067FA7" w:rsidRPr="00236121" w14:paraId="186E16DA" w14:textId="77777777" w:rsidTr="00314694">
        <w:trPr>
          <w:trHeight w:val="312"/>
        </w:trPr>
        <w:tc>
          <w:tcPr>
            <w:tcW w:w="3421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A2625A3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Biosynthesis of unsaturated fatty acids</w:t>
            </w:r>
          </w:p>
        </w:tc>
        <w:tc>
          <w:tcPr>
            <w:tcW w:w="683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47E967D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96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575FFCB2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0.00000673</w:t>
            </w:r>
          </w:p>
        </w:tc>
      </w:tr>
      <w:tr w:rsidR="00067FA7" w:rsidRPr="00236121" w14:paraId="04B41C6B" w14:textId="77777777" w:rsidTr="00314694">
        <w:trPr>
          <w:trHeight w:val="312"/>
        </w:trPr>
        <w:tc>
          <w:tcPr>
            <w:tcW w:w="3421" w:type="pct"/>
            <w:shd w:val="clear" w:color="auto" w:fill="auto"/>
            <w:vAlign w:val="center"/>
            <w:hideMark/>
          </w:tcPr>
          <w:p w14:paraId="526F6909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Glycine, serine and threonine metabolism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171D4ED2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96" w:type="pct"/>
            <w:shd w:val="clear" w:color="auto" w:fill="auto"/>
            <w:vAlign w:val="center"/>
            <w:hideMark/>
          </w:tcPr>
          <w:p w14:paraId="5A658BE1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0.00447</w:t>
            </w:r>
          </w:p>
        </w:tc>
      </w:tr>
      <w:tr w:rsidR="00067FA7" w:rsidRPr="00236121" w14:paraId="3DC64FD4" w14:textId="77777777" w:rsidTr="00314694">
        <w:trPr>
          <w:trHeight w:val="312"/>
        </w:trPr>
        <w:tc>
          <w:tcPr>
            <w:tcW w:w="3421" w:type="pct"/>
            <w:shd w:val="clear" w:color="auto" w:fill="auto"/>
            <w:vAlign w:val="center"/>
            <w:hideMark/>
          </w:tcPr>
          <w:p w14:paraId="0CB2FB02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Thiamine metabolism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49542FCD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  <w:hideMark/>
          </w:tcPr>
          <w:p w14:paraId="3DBAAE87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0.00512</w:t>
            </w:r>
          </w:p>
        </w:tc>
      </w:tr>
      <w:tr w:rsidR="00067FA7" w:rsidRPr="00236121" w14:paraId="0A12C582" w14:textId="77777777" w:rsidTr="00314694">
        <w:trPr>
          <w:trHeight w:val="312"/>
        </w:trPr>
        <w:tc>
          <w:tcPr>
            <w:tcW w:w="3421" w:type="pct"/>
            <w:shd w:val="clear" w:color="auto" w:fill="auto"/>
            <w:vAlign w:val="center"/>
            <w:hideMark/>
          </w:tcPr>
          <w:p w14:paraId="7BF1493C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Tryptophan metabolism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72937F1A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96" w:type="pct"/>
            <w:shd w:val="clear" w:color="auto" w:fill="auto"/>
            <w:vAlign w:val="center"/>
            <w:hideMark/>
          </w:tcPr>
          <w:p w14:paraId="1F7FEF79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0.0138</w:t>
            </w:r>
          </w:p>
        </w:tc>
      </w:tr>
      <w:tr w:rsidR="00067FA7" w:rsidRPr="00236121" w14:paraId="147AE57E" w14:textId="77777777" w:rsidTr="00314694">
        <w:trPr>
          <w:trHeight w:val="312"/>
        </w:trPr>
        <w:tc>
          <w:tcPr>
            <w:tcW w:w="3421" w:type="pct"/>
            <w:shd w:val="clear" w:color="auto" w:fill="auto"/>
            <w:vAlign w:val="center"/>
          </w:tcPr>
          <w:p w14:paraId="0D2FC9D2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Fatty acid biosynthesis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D5E3C9A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347CC72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0.0214</w:t>
            </w:r>
          </w:p>
        </w:tc>
      </w:tr>
      <w:tr w:rsidR="00067FA7" w:rsidRPr="00236121" w14:paraId="6E47A3CA" w14:textId="77777777" w:rsidTr="00314694">
        <w:trPr>
          <w:trHeight w:val="312"/>
        </w:trPr>
        <w:tc>
          <w:tcPr>
            <w:tcW w:w="3421" w:type="pct"/>
            <w:shd w:val="clear" w:color="auto" w:fill="auto"/>
            <w:vAlign w:val="center"/>
            <w:hideMark/>
          </w:tcPr>
          <w:p w14:paraId="49C2CF77" w14:textId="77777777" w:rsidR="00067FA7" w:rsidRPr="00236121" w:rsidRDefault="00067FA7" w:rsidP="003146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alpha-Linolenic acid metabolism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519DE704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  <w:hideMark/>
          </w:tcPr>
          <w:p w14:paraId="31B455AD" w14:textId="77777777" w:rsidR="00067FA7" w:rsidRPr="00236121" w:rsidRDefault="00067FA7" w:rsidP="0031469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12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0.0305</w:t>
            </w:r>
          </w:p>
        </w:tc>
      </w:tr>
    </w:tbl>
    <w:p w14:paraId="4D636355" w14:textId="77777777" w:rsidR="00067FA7" w:rsidRPr="00236121" w:rsidRDefault="00067FA7" w:rsidP="00067FA7">
      <w:pPr>
        <w:widowControl/>
        <w:jc w:val="left"/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eastAsia="宋体" w:hAnsi="Times New Roman"/>
          <w:i/>
          <w:iCs/>
          <w:color w:val="000000"/>
          <w:kern w:val="0"/>
          <w:sz w:val="20"/>
          <w:szCs w:val="20"/>
        </w:rPr>
        <w:t>Abbreviations: KEGG: Kyoto Encyclopedia of Genes and Genomes database; DR: diabetic retinopathy.</w:t>
      </w:r>
    </w:p>
    <w:p w14:paraId="78E6A3E5" w14:textId="77777777" w:rsidR="00067FA7" w:rsidRDefault="00067FA7" w:rsidP="00067FA7">
      <w:pPr>
        <w:widowControl/>
        <w:jc w:val="left"/>
      </w:pPr>
      <w:r>
        <w:br w:type="page"/>
      </w:r>
    </w:p>
    <w:p w14:paraId="2DF531E2" w14:textId="4F2D1A21" w:rsidR="000A1879" w:rsidRPr="00580E81" w:rsidRDefault="00580E81" w:rsidP="000A1879">
      <w:pPr>
        <w:widowControl/>
        <w:jc w:val="left"/>
        <w:rPr>
          <w:rFonts w:ascii="Times New Roman" w:eastAsia="宋体" w:hAnsi="Times New Roman"/>
          <w:i/>
          <w:iCs/>
          <w:color w:val="000000"/>
          <w:kern w:val="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4583717" wp14:editId="1834F03C">
            <wp:extent cx="5274310" cy="70605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D28D1" w14:textId="6F5B65C2" w:rsidR="00C154BB" w:rsidRDefault="00580E81" w:rsidP="00C154BB">
      <w:pPr>
        <w:widowControl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D40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9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CC2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C2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54BB">
        <w:rPr>
          <w:rFonts w:ascii="Times New Roman" w:hAnsi="Times New Roman" w:cs="Times New Roman"/>
          <w:color w:val="000000"/>
          <w:sz w:val="24"/>
          <w:szCs w:val="24"/>
        </w:rPr>
        <w:t>PUFA</w:t>
      </w:r>
      <w:r w:rsidR="00C154BB">
        <w:rPr>
          <w:rFonts w:ascii="Times New Roman" w:hAnsi="Times New Roman" w:cs="Times New Roman" w:hint="eastAsia"/>
          <w:color w:val="000000"/>
          <w:sz w:val="24"/>
          <w:szCs w:val="24"/>
        </w:rPr>
        <w:t>s-derived</w:t>
      </w:r>
      <w:r w:rsidR="00C15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54BB" w:rsidRPr="00C154BB">
        <w:rPr>
          <w:rFonts w:ascii="Times New Roman" w:hAnsi="Times New Roman" w:cs="Times New Roman"/>
          <w:color w:val="000000"/>
          <w:sz w:val="24"/>
          <w:szCs w:val="24"/>
        </w:rPr>
        <w:t xml:space="preserve">cascade events involved in the pathogenesis of DR. </w:t>
      </w:r>
      <w:bookmarkStart w:id="25" w:name="OLE_LINK161"/>
      <w:bookmarkStart w:id="26" w:name="OLE_LINK162"/>
      <w:r w:rsidR="00C154BB" w:rsidRPr="00C154BB">
        <w:rPr>
          <w:rFonts w:ascii="Times New Roman" w:hAnsi="Times New Roman" w:cs="Times New Roman"/>
          <w:color w:val="000000"/>
          <w:sz w:val="24"/>
          <w:szCs w:val="24"/>
        </w:rPr>
        <w:t>Red text represents significant increase</w:t>
      </w:r>
      <w:bookmarkEnd w:id="25"/>
      <w:bookmarkEnd w:id="26"/>
      <w:r w:rsidR="00C154BB" w:rsidRPr="00C154BB">
        <w:rPr>
          <w:rFonts w:ascii="Times New Roman" w:hAnsi="Times New Roman" w:cs="Times New Roman"/>
          <w:color w:val="000000"/>
          <w:sz w:val="24"/>
          <w:szCs w:val="24"/>
        </w:rPr>
        <w:t>; green text represents significant decrease</w:t>
      </w:r>
      <w:r w:rsidR="00C154B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154BB" w:rsidRPr="00C154BB">
        <w:rPr>
          <w:rFonts w:ascii="Times New Roman" w:hAnsi="Times New Roman" w:cs="Times New Roman"/>
          <w:color w:val="000000"/>
          <w:sz w:val="24"/>
          <w:szCs w:val="24"/>
        </w:rPr>
        <w:t xml:space="preserve"> the dashed line represents inhibition</w:t>
      </w:r>
      <w:r w:rsidR="00C154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B3A9CC" w14:textId="21611C72" w:rsidR="00C154BB" w:rsidRPr="00236121" w:rsidRDefault="00C154BB" w:rsidP="00C154BB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</w:pPr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Abbreviations: PUFA</w:t>
      </w:r>
      <w:r w:rsidRPr="00236121">
        <w:rPr>
          <w:rFonts w:ascii="Times New Roman" w:hAnsi="Times New Roman" w:cs="Times New Roman" w:hint="eastAsia"/>
          <w:b w:val="0"/>
          <w:bCs w:val="0"/>
          <w:i/>
          <w:iCs/>
          <w:color w:val="000000"/>
          <w:kern w:val="0"/>
          <w:sz w:val="20"/>
          <w:szCs w:val="20"/>
        </w:rPr>
        <w:t>s</w:t>
      </w:r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: ploy unsaturated fatty acid</w:t>
      </w:r>
      <w:r w:rsidR="00EF1957"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; DR: diabetic retinopathy</w:t>
      </w:r>
      <w:r w:rsidRPr="00236121">
        <w:rPr>
          <w:rFonts w:ascii="Times New Roman" w:hAnsi="Times New Roman" w:cs="Times New Roman"/>
          <w:b w:val="0"/>
          <w:bCs w:val="0"/>
          <w:i/>
          <w:iCs/>
          <w:color w:val="000000"/>
          <w:kern w:val="0"/>
          <w:sz w:val="20"/>
          <w:szCs w:val="20"/>
        </w:rPr>
        <w:t>.</w:t>
      </w:r>
    </w:p>
    <w:p w14:paraId="5DFB02C1" w14:textId="71EFD57C" w:rsidR="00EC04A7" w:rsidRPr="00A35C05" w:rsidRDefault="00EC04A7" w:rsidP="00EC04A7">
      <w:pPr>
        <w:widowControl/>
        <w:jc w:val="left"/>
      </w:pPr>
    </w:p>
    <w:sectPr w:rsidR="00EC04A7" w:rsidRPr="00A35C05" w:rsidSect="00D74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79620" w14:textId="77777777" w:rsidR="00245726" w:rsidRDefault="00245726" w:rsidP="00A13874">
      <w:r>
        <w:separator/>
      </w:r>
    </w:p>
  </w:endnote>
  <w:endnote w:type="continuationSeparator" w:id="0">
    <w:p w14:paraId="32C950A9" w14:textId="77777777" w:rsidR="00245726" w:rsidRDefault="00245726" w:rsidP="00A1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0A1DD" w14:textId="77777777" w:rsidR="00245726" w:rsidRDefault="00245726" w:rsidP="00A13874">
      <w:r>
        <w:separator/>
      </w:r>
    </w:p>
  </w:footnote>
  <w:footnote w:type="continuationSeparator" w:id="0">
    <w:p w14:paraId="400BFAF3" w14:textId="77777777" w:rsidR="00245726" w:rsidRDefault="00245726" w:rsidP="00A13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3FE8"/>
    <w:multiLevelType w:val="hybridMultilevel"/>
    <w:tmpl w:val="5922ECF0"/>
    <w:lvl w:ilvl="0" w:tplc="5CEA07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017A73"/>
    <w:multiLevelType w:val="multilevel"/>
    <w:tmpl w:val="A91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31"/>
    <w:rsid w:val="0005050D"/>
    <w:rsid w:val="00067FA7"/>
    <w:rsid w:val="00072D74"/>
    <w:rsid w:val="00072E4C"/>
    <w:rsid w:val="00085BFC"/>
    <w:rsid w:val="00096099"/>
    <w:rsid w:val="000A1879"/>
    <w:rsid w:val="0011792A"/>
    <w:rsid w:val="00186841"/>
    <w:rsid w:val="001B2E98"/>
    <w:rsid w:val="001C21D2"/>
    <w:rsid w:val="001D0A8D"/>
    <w:rsid w:val="001D7518"/>
    <w:rsid w:val="001F53DA"/>
    <w:rsid w:val="002113E0"/>
    <w:rsid w:val="00220946"/>
    <w:rsid w:val="00236121"/>
    <w:rsid w:val="00245726"/>
    <w:rsid w:val="00257084"/>
    <w:rsid w:val="00260508"/>
    <w:rsid w:val="00280C1D"/>
    <w:rsid w:val="00282F96"/>
    <w:rsid w:val="002962C4"/>
    <w:rsid w:val="002A047A"/>
    <w:rsid w:val="002E6FA4"/>
    <w:rsid w:val="002E76EC"/>
    <w:rsid w:val="0035540F"/>
    <w:rsid w:val="0037583E"/>
    <w:rsid w:val="0039165B"/>
    <w:rsid w:val="0039178E"/>
    <w:rsid w:val="003A28F9"/>
    <w:rsid w:val="003B7074"/>
    <w:rsid w:val="003D7FC8"/>
    <w:rsid w:val="003F4B38"/>
    <w:rsid w:val="003F7500"/>
    <w:rsid w:val="0041012F"/>
    <w:rsid w:val="00417369"/>
    <w:rsid w:val="0043027E"/>
    <w:rsid w:val="0045503D"/>
    <w:rsid w:val="004609DA"/>
    <w:rsid w:val="004C6E63"/>
    <w:rsid w:val="0050535B"/>
    <w:rsid w:val="00522B89"/>
    <w:rsid w:val="00580E81"/>
    <w:rsid w:val="005B23C9"/>
    <w:rsid w:val="005C262C"/>
    <w:rsid w:val="005E692B"/>
    <w:rsid w:val="005F3590"/>
    <w:rsid w:val="00601C88"/>
    <w:rsid w:val="0061499F"/>
    <w:rsid w:val="006606ED"/>
    <w:rsid w:val="006C4F6E"/>
    <w:rsid w:val="006D2662"/>
    <w:rsid w:val="006F238B"/>
    <w:rsid w:val="00703F1F"/>
    <w:rsid w:val="007C4716"/>
    <w:rsid w:val="007D7BD2"/>
    <w:rsid w:val="007E56AF"/>
    <w:rsid w:val="00800530"/>
    <w:rsid w:val="00812D27"/>
    <w:rsid w:val="00825831"/>
    <w:rsid w:val="00832533"/>
    <w:rsid w:val="00835A32"/>
    <w:rsid w:val="00836F8A"/>
    <w:rsid w:val="00861330"/>
    <w:rsid w:val="0089326B"/>
    <w:rsid w:val="008A58BE"/>
    <w:rsid w:val="008C2CE1"/>
    <w:rsid w:val="008D4794"/>
    <w:rsid w:val="008D6265"/>
    <w:rsid w:val="008D7A0E"/>
    <w:rsid w:val="008F3B93"/>
    <w:rsid w:val="008F63F7"/>
    <w:rsid w:val="0092063B"/>
    <w:rsid w:val="009273A7"/>
    <w:rsid w:val="00947EFD"/>
    <w:rsid w:val="009A2FAB"/>
    <w:rsid w:val="009B274E"/>
    <w:rsid w:val="009B4FA0"/>
    <w:rsid w:val="009E4F14"/>
    <w:rsid w:val="009F20E1"/>
    <w:rsid w:val="00A13874"/>
    <w:rsid w:val="00A26C60"/>
    <w:rsid w:val="00A35C05"/>
    <w:rsid w:val="00A46E57"/>
    <w:rsid w:val="00A533A0"/>
    <w:rsid w:val="00A934FD"/>
    <w:rsid w:val="00A936AA"/>
    <w:rsid w:val="00A96EDE"/>
    <w:rsid w:val="00AA788E"/>
    <w:rsid w:val="00AB21F7"/>
    <w:rsid w:val="00AC4D31"/>
    <w:rsid w:val="00AD5CE4"/>
    <w:rsid w:val="00AE0C79"/>
    <w:rsid w:val="00AE3C31"/>
    <w:rsid w:val="00AF296B"/>
    <w:rsid w:val="00AF4649"/>
    <w:rsid w:val="00B015BF"/>
    <w:rsid w:val="00B07502"/>
    <w:rsid w:val="00B34016"/>
    <w:rsid w:val="00B53F37"/>
    <w:rsid w:val="00B84083"/>
    <w:rsid w:val="00B939D8"/>
    <w:rsid w:val="00BA72A9"/>
    <w:rsid w:val="00BB04AE"/>
    <w:rsid w:val="00BD15C7"/>
    <w:rsid w:val="00BE00CA"/>
    <w:rsid w:val="00C1089A"/>
    <w:rsid w:val="00C154BB"/>
    <w:rsid w:val="00C429A7"/>
    <w:rsid w:val="00C44019"/>
    <w:rsid w:val="00C45569"/>
    <w:rsid w:val="00C71035"/>
    <w:rsid w:val="00C940A1"/>
    <w:rsid w:val="00CA6744"/>
    <w:rsid w:val="00CC2258"/>
    <w:rsid w:val="00CC6BBC"/>
    <w:rsid w:val="00CD2253"/>
    <w:rsid w:val="00CD66E9"/>
    <w:rsid w:val="00CE216D"/>
    <w:rsid w:val="00D167C6"/>
    <w:rsid w:val="00D35AC6"/>
    <w:rsid w:val="00D40125"/>
    <w:rsid w:val="00D405FB"/>
    <w:rsid w:val="00D74F53"/>
    <w:rsid w:val="00D75D63"/>
    <w:rsid w:val="00D83EB3"/>
    <w:rsid w:val="00D8563A"/>
    <w:rsid w:val="00DB633C"/>
    <w:rsid w:val="00DC46DA"/>
    <w:rsid w:val="00DD04C4"/>
    <w:rsid w:val="00DD4BFC"/>
    <w:rsid w:val="00E12B67"/>
    <w:rsid w:val="00E76E12"/>
    <w:rsid w:val="00E94044"/>
    <w:rsid w:val="00EC04A7"/>
    <w:rsid w:val="00EF1957"/>
    <w:rsid w:val="00EF4212"/>
    <w:rsid w:val="00EF7426"/>
    <w:rsid w:val="00F12081"/>
    <w:rsid w:val="00F272A4"/>
    <w:rsid w:val="00F32ABB"/>
    <w:rsid w:val="00FA03DE"/>
    <w:rsid w:val="00FA6D93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402D80"/>
  <w15:chartTrackingRefBased/>
  <w15:docId w15:val="{345545EE-4F34-4951-8E88-972CF9AB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4401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8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874"/>
    <w:rPr>
      <w:sz w:val="18"/>
      <w:szCs w:val="18"/>
    </w:rPr>
  </w:style>
  <w:style w:type="character" w:customStyle="1" w:styleId="tlid-translation">
    <w:name w:val="tlid-translation"/>
    <w:basedOn w:val="a0"/>
    <w:rsid w:val="00CA6744"/>
  </w:style>
  <w:style w:type="character" w:customStyle="1" w:styleId="jlqj4b">
    <w:name w:val="jlqj4b"/>
    <w:basedOn w:val="a0"/>
    <w:rsid w:val="00CA6744"/>
  </w:style>
  <w:style w:type="character" w:styleId="a7">
    <w:name w:val="Hyperlink"/>
    <w:basedOn w:val="a0"/>
    <w:uiPriority w:val="99"/>
    <w:unhideWhenUsed/>
    <w:rsid w:val="00703F1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03F1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44019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C4401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msonormal0">
    <w:name w:val="msonormal"/>
    <w:basedOn w:val="a"/>
    <w:rsid w:val="00EC04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EC04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src">
    <w:name w:val="src"/>
    <w:basedOn w:val="a"/>
    <w:rsid w:val="00947E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D75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11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城楠 郭</dc:creator>
  <cp:keywords/>
  <dc:description/>
  <cp:lastModifiedBy>Chengnan Guo</cp:lastModifiedBy>
  <cp:revision>113</cp:revision>
  <dcterms:created xsi:type="dcterms:W3CDTF">2021-03-02T08:14:00Z</dcterms:created>
  <dcterms:modified xsi:type="dcterms:W3CDTF">2021-06-14T09:05:00Z</dcterms:modified>
</cp:coreProperties>
</file>