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E9008E" w14:textId="654F48BA" w:rsidR="00790ADA" w:rsidRPr="00790ADA" w:rsidRDefault="00790ADA" w:rsidP="003A0E41">
      <w:pPr>
        <w:spacing w:after="240"/>
        <w:rPr>
          <w:rFonts w:asciiTheme="minorHAnsi" w:hAnsiTheme="minorHAnsi"/>
          <w:b/>
          <w:bCs/>
          <w:color w:val="000000"/>
          <w:sz w:val="22"/>
          <w:szCs w:val="22"/>
        </w:rPr>
      </w:pPr>
      <w:r w:rsidRPr="009E433E">
        <w:rPr>
          <w:rFonts w:asciiTheme="minorHAnsi" w:hAnsiTheme="minorHAnsi"/>
          <w:b/>
          <w:bCs/>
          <w:color w:val="000000"/>
          <w:sz w:val="22"/>
          <w:szCs w:val="22"/>
        </w:rPr>
        <w:t>Supplementa</w:t>
      </w:r>
      <w:r>
        <w:rPr>
          <w:rFonts w:asciiTheme="minorHAnsi" w:hAnsiTheme="minorHAnsi"/>
          <w:b/>
          <w:bCs/>
          <w:color w:val="000000"/>
          <w:sz w:val="22"/>
          <w:szCs w:val="22"/>
        </w:rPr>
        <w:t>l</w:t>
      </w:r>
      <w:r w:rsidRPr="009E433E">
        <w:rPr>
          <w:rFonts w:asciiTheme="minorHAnsi" w:hAnsiTheme="minorHAnsi"/>
          <w:b/>
          <w:bCs/>
          <w:color w:val="000000"/>
          <w:sz w:val="22"/>
          <w:szCs w:val="22"/>
        </w:rPr>
        <w:t xml:space="preserve"> </w:t>
      </w:r>
      <w:r>
        <w:rPr>
          <w:rFonts w:asciiTheme="minorHAnsi" w:hAnsiTheme="minorHAnsi"/>
          <w:b/>
          <w:bCs/>
          <w:color w:val="000000"/>
          <w:sz w:val="22"/>
          <w:szCs w:val="22"/>
        </w:rPr>
        <w:t>Results</w:t>
      </w:r>
    </w:p>
    <w:p w14:paraId="397AD69A" w14:textId="28A15DAD" w:rsidR="00790ADA" w:rsidRDefault="00790ADA" w:rsidP="003A0E41">
      <w:pPr>
        <w:spacing w:after="240"/>
      </w:pPr>
      <w:r w:rsidRPr="00790ADA">
        <w:rPr>
          <w:noProof/>
        </w:rPr>
        <w:drawing>
          <wp:inline distT="0" distB="0" distL="0" distR="0" wp14:anchorId="51938353" wp14:editId="1A0B36F3">
            <wp:extent cx="5943600" cy="4065270"/>
            <wp:effectExtent l="0" t="0" r="0" b="0"/>
            <wp:docPr id="1773248146" name="Picture 1"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248146" name="Picture 1" descr="A graph of different colored lines&#10;&#10;AI-generated content may be incorrect."/>
                    <pic:cNvPicPr/>
                  </pic:nvPicPr>
                  <pic:blipFill>
                    <a:blip r:embed="rId8"/>
                    <a:stretch>
                      <a:fillRect/>
                    </a:stretch>
                  </pic:blipFill>
                  <pic:spPr>
                    <a:xfrm>
                      <a:off x="0" y="0"/>
                      <a:ext cx="5943600" cy="4065270"/>
                    </a:xfrm>
                    <a:prstGeom prst="rect">
                      <a:avLst/>
                    </a:prstGeom>
                  </pic:spPr>
                </pic:pic>
              </a:graphicData>
            </a:graphic>
          </wp:inline>
        </w:drawing>
      </w:r>
    </w:p>
    <w:p w14:paraId="5AF87EF7" w14:textId="738749B5" w:rsidR="00790ADA" w:rsidRPr="009E433E" w:rsidRDefault="00790ADA" w:rsidP="00790ADA">
      <w:pPr>
        <w:spacing w:after="240"/>
        <w:rPr>
          <w:rFonts w:asciiTheme="minorHAnsi" w:hAnsiTheme="minorHAnsi"/>
          <w:sz w:val="22"/>
          <w:szCs w:val="22"/>
        </w:rPr>
      </w:pPr>
      <w:r>
        <w:rPr>
          <w:rFonts w:asciiTheme="minorHAnsi" w:hAnsiTheme="minorHAnsi"/>
          <w:b/>
          <w:bCs/>
          <w:sz w:val="22"/>
          <w:szCs w:val="22"/>
        </w:rPr>
        <w:t>Figur</w:t>
      </w:r>
      <w:r w:rsidRPr="009E433E">
        <w:rPr>
          <w:rFonts w:asciiTheme="minorHAnsi" w:hAnsiTheme="minorHAnsi"/>
          <w:b/>
          <w:bCs/>
          <w:sz w:val="22"/>
          <w:szCs w:val="22"/>
        </w:rPr>
        <w:t>e S1</w:t>
      </w:r>
      <w:r w:rsidRPr="009E433E">
        <w:rPr>
          <w:rFonts w:asciiTheme="minorHAnsi" w:hAnsiTheme="minorHAnsi"/>
          <w:sz w:val="22"/>
          <w:szCs w:val="22"/>
        </w:rPr>
        <w:t xml:space="preserve">. </w:t>
      </w:r>
      <w:r>
        <w:rPr>
          <w:rFonts w:asciiTheme="minorHAnsi" w:hAnsiTheme="minorHAnsi"/>
          <w:sz w:val="22"/>
          <w:szCs w:val="22"/>
        </w:rPr>
        <w:t>Price changes in five wood product types with the introduction of p</w:t>
      </w:r>
      <w:r w:rsidRPr="009E433E">
        <w:rPr>
          <w:rFonts w:asciiTheme="minorHAnsi" w:hAnsiTheme="minorHAnsi"/>
          <w:sz w:val="22"/>
          <w:szCs w:val="22"/>
        </w:rPr>
        <w:t>lanned bioenergy and bioproduct facilities</w:t>
      </w:r>
      <w:r>
        <w:rPr>
          <w:rFonts w:asciiTheme="minorHAnsi" w:hAnsiTheme="minorHAnsi"/>
          <w:sz w:val="22"/>
          <w:szCs w:val="22"/>
        </w:rPr>
        <w:t xml:space="preserve"> (“mills”)</w:t>
      </w:r>
      <w:r w:rsidRPr="009E433E">
        <w:rPr>
          <w:rFonts w:asciiTheme="minorHAnsi" w:hAnsiTheme="minorHAnsi"/>
          <w:sz w:val="22"/>
          <w:szCs w:val="22"/>
        </w:rPr>
        <w:t xml:space="preserve"> in the U.S. Southeast.</w:t>
      </w:r>
      <w:r>
        <w:rPr>
          <w:rFonts w:asciiTheme="minorHAnsi" w:hAnsiTheme="minorHAnsi"/>
          <w:sz w:val="22"/>
          <w:szCs w:val="22"/>
        </w:rPr>
        <w:t xml:space="preserve"> Date</w:t>
      </w:r>
      <w:r w:rsidR="00230071">
        <w:rPr>
          <w:rFonts w:asciiTheme="minorHAnsi" w:hAnsiTheme="minorHAnsi"/>
          <w:sz w:val="22"/>
          <w:szCs w:val="22"/>
        </w:rPr>
        <w:t xml:space="preserve"> ranges</w:t>
      </w:r>
      <w:r>
        <w:rPr>
          <w:rFonts w:asciiTheme="minorHAnsi" w:hAnsiTheme="minorHAnsi"/>
          <w:sz w:val="22"/>
          <w:szCs w:val="22"/>
        </w:rPr>
        <w:t xml:space="preserve"> </w:t>
      </w:r>
      <w:r w:rsidR="00230071">
        <w:rPr>
          <w:rFonts w:asciiTheme="minorHAnsi" w:hAnsiTheme="minorHAnsi"/>
          <w:sz w:val="22"/>
          <w:szCs w:val="22"/>
        </w:rPr>
        <w:t>refer to mill buildout scenarios, e.g., mills planned through the 2025-2028 period.</w:t>
      </w:r>
    </w:p>
    <w:p w14:paraId="01CAC51C" w14:textId="77777777" w:rsidR="00790ADA" w:rsidRDefault="00790ADA" w:rsidP="003A0E41">
      <w:pPr>
        <w:spacing w:after="240"/>
        <w:rPr>
          <w:rFonts w:asciiTheme="minorHAnsi" w:hAnsiTheme="minorHAnsi"/>
          <w:b/>
          <w:bCs/>
          <w:color w:val="000000"/>
          <w:sz w:val="22"/>
          <w:szCs w:val="22"/>
        </w:rPr>
      </w:pPr>
    </w:p>
    <w:p w14:paraId="48E92F8F" w14:textId="77777777" w:rsidR="00257EF9" w:rsidRDefault="00257EF9">
      <w:pPr>
        <w:rPr>
          <w:rFonts w:asciiTheme="minorHAnsi" w:hAnsiTheme="minorHAnsi"/>
          <w:b/>
          <w:bCs/>
          <w:color w:val="000000"/>
          <w:sz w:val="22"/>
          <w:szCs w:val="22"/>
        </w:rPr>
      </w:pPr>
      <w:r>
        <w:rPr>
          <w:rFonts w:asciiTheme="minorHAnsi" w:hAnsiTheme="minorHAnsi"/>
          <w:b/>
          <w:bCs/>
          <w:color w:val="000000"/>
          <w:sz w:val="22"/>
          <w:szCs w:val="22"/>
        </w:rPr>
        <w:br w:type="page"/>
      </w:r>
    </w:p>
    <w:p w14:paraId="00D3BB26" w14:textId="6D03E15A" w:rsidR="003A0E41" w:rsidRPr="009E433E" w:rsidRDefault="003A0E41" w:rsidP="003A0E41">
      <w:pPr>
        <w:spacing w:after="240"/>
        <w:rPr>
          <w:rFonts w:asciiTheme="minorHAnsi" w:hAnsiTheme="minorHAnsi"/>
          <w:b/>
          <w:bCs/>
          <w:color w:val="000000"/>
          <w:sz w:val="22"/>
          <w:szCs w:val="22"/>
        </w:rPr>
      </w:pPr>
      <w:r w:rsidRPr="009E433E">
        <w:rPr>
          <w:rFonts w:asciiTheme="minorHAnsi" w:hAnsiTheme="minorHAnsi"/>
          <w:b/>
          <w:bCs/>
          <w:color w:val="000000"/>
          <w:sz w:val="22"/>
          <w:szCs w:val="22"/>
        </w:rPr>
        <w:lastRenderedPageBreak/>
        <w:t>S</w:t>
      </w:r>
      <w:r w:rsidR="00126A22" w:rsidRPr="009E433E">
        <w:rPr>
          <w:rFonts w:asciiTheme="minorHAnsi" w:hAnsiTheme="minorHAnsi"/>
          <w:b/>
          <w:bCs/>
          <w:color w:val="000000"/>
          <w:sz w:val="22"/>
          <w:szCs w:val="22"/>
        </w:rPr>
        <w:t>upplementa</w:t>
      </w:r>
      <w:r w:rsidR="00790ADA">
        <w:rPr>
          <w:rFonts w:asciiTheme="minorHAnsi" w:hAnsiTheme="minorHAnsi"/>
          <w:b/>
          <w:bCs/>
          <w:color w:val="000000"/>
          <w:sz w:val="22"/>
          <w:szCs w:val="22"/>
        </w:rPr>
        <w:t>l</w:t>
      </w:r>
      <w:r w:rsidR="00126A22" w:rsidRPr="009E433E">
        <w:rPr>
          <w:rFonts w:asciiTheme="minorHAnsi" w:hAnsiTheme="minorHAnsi"/>
          <w:b/>
          <w:bCs/>
          <w:color w:val="000000"/>
          <w:sz w:val="22"/>
          <w:szCs w:val="22"/>
        </w:rPr>
        <w:t xml:space="preserve"> </w:t>
      </w:r>
      <w:r w:rsidR="00B43D1C" w:rsidRPr="009E433E">
        <w:rPr>
          <w:rFonts w:asciiTheme="minorHAnsi" w:hAnsiTheme="minorHAnsi"/>
          <w:b/>
          <w:bCs/>
          <w:color w:val="000000"/>
          <w:sz w:val="22"/>
          <w:szCs w:val="22"/>
        </w:rPr>
        <w:t>Methods</w:t>
      </w:r>
      <w:r w:rsidRPr="009E433E">
        <w:rPr>
          <w:rFonts w:asciiTheme="minorHAnsi" w:hAnsiTheme="minorHAnsi"/>
          <w:b/>
          <w:bCs/>
          <w:color w:val="000000"/>
          <w:sz w:val="22"/>
          <w:szCs w:val="22"/>
        </w:rPr>
        <w:t xml:space="preserve"> </w:t>
      </w:r>
    </w:p>
    <w:p w14:paraId="5F8E86DB" w14:textId="1F6E229F" w:rsidR="003A0E41" w:rsidRPr="009E433E" w:rsidRDefault="003A0E41" w:rsidP="00126A22">
      <w:pPr>
        <w:pStyle w:val="ListParagraph"/>
        <w:numPr>
          <w:ilvl w:val="0"/>
          <w:numId w:val="2"/>
        </w:numPr>
        <w:spacing w:after="240"/>
        <w:rPr>
          <w:rFonts w:asciiTheme="minorHAnsi" w:hAnsiTheme="minorHAnsi"/>
          <w:sz w:val="22"/>
          <w:szCs w:val="22"/>
        </w:rPr>
      </w:pPr>
      <w:r w:rsidRPr="009E433E">
        <w:rPr>
          <w:rFonts w:asciiTheme="minorHAnsi" w:hAnsiTheme="minorHAnsi"/>
          <w:b/>
          <w:bCs/>
          <w:color w:val="000000"/>
          <w:sz w:val="22"/>
          <w:szCs w:val="22"/>
        </w:rPr>
        <w:t>Historical regression baseline.</w:t>
      </w:r>
    </w:p>
    <w:p w14:paraId="79D87A23" w14:textId="05273468" w:rsidR="003A0E41" w:rsidRPr="009E433E" w:rsidRDefault="003A0E41" w:rsidP="003A0E41">
      <w:pPr>
        <w:spacing w:after="240"/>
        <w:rPr>
          <w:rFonts w:asciiTheme="minorHAnsi" w:hAnsiTheme="minorHAnsi"/>
          <w:color w:val="000000"/>
          <w:sz w:val="22"/>
          <w:szCs w:val="22"/>
        </w:rPr>
      </w:pPr>
      <w:r w:rsidRPr="009E433E">
        <w:rPr>
          <w:rFonts w:asciiTheme="minorHAnsi" w:hAnsiTheme="minorHAnsi"/>
          <w:color w:val="000000"/>
          <w:sz w:val="22"/>
          <w:szCs w:val="22"/>
        </w:rPr>
        <w:t>To estimate a historical baseline (</w:t>
      </w:r>
      <w:r w:rsidR="00913ED9" w:rsidRPr="009E433E">
        <w:rPr>
          <w:rFonts w:asciiTheme="minorHAnsi" w:hAnsiTheme="minorHAnsi"/>
          <w:color w:val="000000"/>
          <w:sz w:val="22"/>
          <w:szCs w:val="22"/>
        </w:rPr>
        <w:t>Table</w:t>
      </w:r>
      <w:r w:rsidRPr="009E433E">
        <w:rPr>
          <w:rFonts w:asciiTheme="minorHAnsi" w:hAnsiTheme="minorHAnsi"/>
          <w:color w:val="000000"/>
          <w:sz w:val="22"/>
          <w:szCs w:val="22"/>
        </w:rPr>
        <w:t xml:space="preserve"> </w:t>
      </w:r>
      <w:r w:rsidR="00913ED9" w:rsidRPr="009E433E">
        <w:rPr>
          <w:rFonts w:asciiTheme="minorHAnsi" w:hAnsiTheme="minorHAnsi"/>
          <w:color w:val="000000"/>
          <w:sz w:val="22"/>
          <w:szCs w:val="22"/>
        </w:rPr>
        <w:t>S1</w:t>
      </w:r>
      <w:r w:rsidRPr="009E433E">
        <w:rPr>
          <w:rFonts w:asciiTheme="minorHAnsi" w:hAnsiTheme="minorHAnsi"/>
          <w:color w:val="000000"/>
          <w:sz w:val="22"/>
          <w:szCs w:val="22"/>
        </w:rPr>
        <w:t>), we fit a linear regression model to the most recent 10 years (2013–2022) of historic inventory data. Total inventory was aggregated annually across all wood product types and management categories. We used ordinary least squares to regress inventory against year, then projected the resulting trendline through 2044 to represent a historical baseline under a no-change scenario. Although the regression was performed on forest inventory carbon (measured in volume), a Pearson correlation test comparing inventory carbon to total carbon where data were available yielded a correlation coefficient of 0.98. This strong linear relationship supports the use of inventory carbon as a reliable proxy for total carbon in baseline projections.</w:t>
      </w:r>
    </w:p>
    <w:p w14:paraId="12CE593F" w14:textId="76D17780" w:rsidR="00126A22" w:rsidRPr="009E433E" w:rsidRDefault="00126A22" w:rsidP="00126A22">
      <w:pPr>
        <w:pStyle w:val="ListParagraph"/>
        <w:numPr>
          <w:ilvl w:val="0"/>
          <w:numId w:val="2"/>
        </w:numPr>
        <w:spacing w:after="240"/>
        <w:rPr>
          <w:rFonts w:asciiTheme="minorHAnsi" w:hAnsiTheme="minorHAnsi"/>
          <w:b/>
          <w:bCs/>
          <w:sz w:val="22"/>
          <w:szCs w:val="22"/>
        </w:rPr>
      </w:pPr>
      <w:r w:rsidRPr="009E433E">
        <w:rPr>
          <w:rFonts w:asciiTheme="minorHAnsi" w:hAnsiTheme="minorHAnsi"/>
          <w:b/>
          <w:bCs/>
          <w:sz w:val="22"/>
          <w:szCs w:val="22"/>
        </w:rPr>
        <w:t xml:space="preserve">Planned biomass facilities. </w:t>
      </w:r>
    </w:p>
    <w:p w14:paraId="511382EB" w14:textId="357E0F1D" w:rsidR="003A0E41" w:rsidRPr="009E433E" w:rsidRDefault="00126A22" w:rsidP="00126A22">
      <w:pPr>
        <w:spacing w:after="240"/>
        <w:rPr>
          <w:rFonts w:asciiTheme="minorHAnsi" w:hAnsiTheme="minorHAnsi"/>
          <w:sz w:val="22"/>
          <w:szCs w:val="22"/>
        </w:rPr>
      </w:pPr>
      <w:r w:rsidRPr="009E433E">
        <w:rPr>
          <w:rFonts w:asciiTheme="minorHAnsi" w:hAnsiTheme="minorHAnsi"/>
          <w:b/>
          <w:bCs/>
          <w:sz w:val="22"/>
          <w:szCs w:val="22"/>
        </w:rPr>
        <w:t>Table S1</w:t>
      </w:r>
      <w:r w:rsidRPr="009E433E">
        <w:rPr>
          <w:rFonts w:asciiTheme="minorHAnsi" w:hAnsiTheme="minorHAnsi"/>
          <w:sz w:val="22"/>
          <w:szCs w:val="22"/>
        </w:rPr>
        <w:t>. Planned bioenergy and bioproduct facilities in the U.S. Southeast included in the analysis, with projected biomass demand and estimated operational dates.</w:t>
      </w:r>
    </w:p>
    <w:tbl>
      <w:tblPr>
        <w:tblW w:w="9360" w:type="dxa"/>
        <w:tblInd w:w="-8" w:type="dxa"/>
        <w:tblCellMar>
          <w:left w:w="0" w:type="dxa"/>
          <w:right w:w="0" w:type="dxa"/>
        </w:tblCellMar>
        <w:tblLook w:val="04A0" w:firstRow="1" w:lastRow="0" w:firstColumn="1" w:lastColumn="0" w:noHBand="0" w:noVBand="1"/>
      </w:tblPr>
      <w:tblGrid>
        <w:gridCol w:w="821"/>
        <w:gridCol w:w="1708"/>
        <w:gridCol w:w="1618"/>
        <w:gridCol w:w="1260"/>
        <w:gridCol w:w="1708"/>
        <w:gridCol w:w="2245"/>
      </w:tblGrid>
      <w:tr w:rsidR="00040DB9" w:rsidRPr="009E433E" w14:paraId="1475AA62" w14:textId="77777777" w:rsidTr="00040DB9">
        <w:trPr>
          <w:trHeight w:val="315"/>
        </w:trPr>
        <w:tc>
          <w:tcPr>
            <w:tcW w:w="82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533B65B" w14:textId="77777777" w:rsidR="00040DB9" w:rsidRPr="009E433E" w:rsidRDefault="00040DB9" w:rsidP="00040DB9">
            <w:pPr>
              <w:jc w:val="center"/>
              <w:rPr>
                <w:rFonts w:asciiTheme="minorHAnsi" w:hAnsiTheme="minorHAnsi"/>
                <w:b/>
                <w:bCs/>
                <w:color w:val="000000" w:themeColor="text1"/>
                <w:sz w:val="22"/>
                <w:szCs w:val="22"/>
              </w:rPr>
            </w:pPr>
            <w:r w:rsidRPr="009E433E">
              <w:rPr>
                <w:rFonts w:asciiTheme="minorHAnsi" w:hAnsiTheme="minorHAnsi"/>
                <w:b/>
                <w:bCs/>
                <w:color w:val="000000" w:themeColor="text1"/>
                <w:sz w:val="22"/>
                <w:szCs w:val="22"/>
              </w:rPr>
              <w:t>Facility ID</w:t>
            </w:r>
          </w:p>
        </w:tc>
        <w:tc>
          <w:tcPr>
            <w:tcW w:w="170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BE7AB3C" w14:textId="77777777" w:rsidR="00040DB9" w:rsidRPr="009E433E" w:rsidRDefault="00040DB9" w:rsidP="00040DB9">
            <w:pPr>
              <w:jc w:val="center"/>
              <w:rPr>
                <w:rFonts w:asciiTheme="minorHAnsi" w:hAnsiTheme="minorHAnsi"/>
                <w:b/>
                <w:bCs/>
                <w:color w:val="000000" w:themeColor="text1"/>
                <w:sz w:val="22"/>
                <w:szCs w:val="22"/>
              </w:rPr>
            </w:pPr>
            <w:r w:rsidRPr="009E433E">
              <w:rPr>
                <w:rFonts w:asciiTheme="minorHAnsi" w:hAnsiTheme="minorHAnsi"/>
                <w:b/>
                <w:bCs/>
                <w:color w:val="000000" w:themeColor="text1"/>
                <w:sz w:val="22"/>
                <w:szCs w:val="22"/>
              </w:rPr>
              <w:t>Facility Name</w:t>
            </w:r>
          </w:p>
        </w:tc>
        <w:tc>
          <w:tcPr>
            <w:tcW w:w="161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1A0DF08" w14:textId="77777777" w:rsidR="00040DB9" w:rsidRPr="009E433E" w:rsidRDefault="00040DB9" w:rsidP="00040DB9">
            <w:pPr>
              <w:jc w:val="center"/>
              <w:rPr>
                <w:rFonts w:asciiTheme="minorHAnsi" w:hAnsiTheme="minorHAnsi"/>
                <w:b/>
                <w:bCs/>
                <w:color w:val="000000" w:themeColor="text1"/>
                <w:sz w:val="22"/>
                <w:szCs w:val="22"/>
              </w:rPr>
            </w:pPr>
            <w:r w:rsidRPr="009E433E">
              <w:rPr>
                <w:rFonts w:asciiTheme="minorHAnsi" w:hAnsiTheme="minorHAnsi"/>
                <w:b/>
                <w:bCs/>
                <w:color w:val="000000" w:themeColor="text1"/>
                <w:sz w:val="22"/>
                <w:szCs w:val="22"/>
              </w:rPr>
              <w:t>Location</w:t>
            </w:r>
          </w:p>
        </w:tc>
        <w:tc>
          <w:tcPr>
            <w:tcW w:w="12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39925A0" w14:textId="77777777" w:rsidR="00040DB9" w:rsidRPr="009E433E" w:rsidRDefault="00040DB9" w:rsidP="00040DB9">
            <w:pPr>
              <w:jc w:val="center"/>
              <w:rPr>
                <w:rFonts w:asciiTheme="minorHAnsi" w:hAnsiTheme="minorHAnsi"/>
                <w:b/>
                <w:bCs/>
                <w:color w:val="000000" w:themeColor="text1"/>
                <w:sz w:val="22"/>
                <w:szCs w:val="22"/>
              </w:rPr>
            </w:pPr>
            <w:r w:rsidRPr="009E433E">
              <w:rPr>
                <w:rFonts w:asciiTheme="minorHAnsi" w:hAnsiTheme="minorHAnsi"/>
                <w:b/>
                <w:bCs/>
                <w:color w:val="000000" w:themeColor="text1"/>
                <w:sz w:val="22"/>
                <w:szCs w:val="22"/>
              </w:rPr>
              <w:t>Product</w:t>
            </w:r>
          </w:p>
        </w:tc>
        <w:tc>
          <w:tcPr>
            <w:tcW w:w="170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5453E4C" w14:textId="77777777" w:rsidR="00040DB9" w:rsidRPr="009E433E" w:rsidRDefault="00040DB9" w:rsidP="00040DB9">
            <w:pPr>
              <w:jc w:val="center"/>
              <w:rPr>
                <w:rFonts w:asciiTheme="minorHAnsi" w:hAnsiTheme="minorHAnsi"/>
                <w:b/>
                <w:bCs/>
                <w:color w:val="000000" w:themeColor="text1"/>
                <w:sz w:val="22"/>
                <w:szCs w:val="22"/>
              </w:rPr>
            </w:pPr>
            <w:r w:rsidRPr="009E433E">
              <w:rPr>
                <w:rFonts w:asciiTheme="minorHAnsi" w:hAnsiTheme="minorHAnsi"/>
                <w:b/>
                <w:bCs/>
                <w:color w:val="000000" w:themeColor="text1"/>
                <w:sz w:val="22"/>
                <w:szCs w:val="22"/>
              </w:rPr>
              <w:t>Planned operational date</w:t>
            </w:r>
          </w:p>
        </w:tc>
        <w:tc>
          <w:tcPr>
            <w:tcW w:w="2245"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C73B4EA" w14:textId="77777777" w:rsidR="00040DB9" w:rsidRPr="009E433E" w:rsidRDefault="00040DB9" w:rsidP="00040DB9">
            <w:pPr>
              <w:jc w:val="center"/>
              <w:rPr>
                <w:rFonts w:asciiTheme="minorHAnsi" w:hAnsiTheme="minorHAnsi"/>
                <w:b/>
                <w:bCs/>
                <w:color w:val="000000" w:themeColor="text1"/>
                <w:sz w:val="22"/>
                <w:szCs w:val="22"/>
              </w:rPr>
            </w:pPr>
            <w:r w:rsidRPr="009E433E">
              <w:rPr>
                <w:rFonts w:asciiTheme="minorHAnsi" w:hAnsiTheme="minorHAnsi"/>
                <w:b/>
                <w:bCs/>
                <w:color w:val="000000" w:themeColor="text1"/>
                <w:sz w:val="22"/>
                <w:szCs w:val="22"/>
              </w:rPr>
              <w:t>Green tons biomass/yr</w:t>
            </w:r>
          </w:p>
        </w:tc>
      </w:tr>
      <w:tr w:rsidR="00040DB9" w:rsidRPr="009E433E" w14:paraId="5D23E245" w14:textId="77777777" w:rsidTr="00040DB9">
        <w:trPr>
          <w:trHeight w:val="315"/>
        </w:trPr>
        <w:tc>
          <w:tcPr>
            <w:tcW w:w="82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1161D84"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6</w:t>
            </w:r>
          </w:p>
        </w:tc>
        <w:tc>
          <w:tcPr>
            <w:tcW w:w="170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876EF00"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Origin Materials</w:t>
            </w:r>
          </w:p>
        </w:tc>
        <w:tc>
          <w:tcPr>
            <w:tcW w:w="161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5BBA6A0"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Geismar, LA</w:t>
            </w:r>
          </w:p>
        </w:tc>
        <w:tc>
          <w:tcPr>
            <w:tcW w:w="12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AF3FBF9"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Bioplastics</w:t>
            </w:r>
          </w:p>
        </w:tc>
        <w:tc>
          <w:tcPr>
            <w:tcW w:w="170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D1673F8"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2025</w:t>
            </w:r>
          </w:p>
        </w:tc>
        <w:tc>
          <w:tcPr>
            <w:tcW w:w="2245"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16BDC3E" w14:textId="6A71BAB6"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2,000,000</w:t>
            </w:r>
            <w:r>
              <w:rPr>
                <w:rFonts w:asciiTheme="minorHAnsi" w:hAnsiTheme="minorHAnsi"/>
                <w:color w:val="000000" w:themeColor="text1"/>
                <w:sz w:val="22"/>
                <w:szCs w:val="22"/>
              </w:rPr>
              <w:fldChar w:fldCharType="begin"/>
            </w:r>
            <w:r>
              <w:rPr>
                <w:rFonts w:asciiTheme="minorHAnsi" w:hAnsiTheme="minorHAnsi"/>
                <w:color w:val="000000" w:themeColor="text1"/>
                <w:sz w:val="22"/>
                <w:szCs w:val="22"/>
              </w:rPr>
              <w:instrText xml:space="preserve"> ADDIN ZOTERO_ITEM CSL_CITATION {"citationID":"8UzruMQR","properties":{"formattedCitation":"\\super 1\\nosupersub{}","plainCitation":"1","noteIndex":0},"citationItems":[{"id":3993,"uris":["http://zotero.org/groups/5665801/items/8KUK73CI"],"itemData":{"id":3993,"type":"webpage","abstract":"Origin Materials, Inc. (“Origin,” “Origin Materials,” or the “Company) (NASDAQ: ORGN, ORGNW), the world’s leading carbon negative materials company with a mi...","container-title":"Business Wire","language":"en","title":"Origin Materials Announces Louisiana State Bond Commission Approval of Financing for Origin 2","URL":"https://www.businesswire.com/news/home/20230104005352/en/Origin-Materials-Announces-Louisiana-State-Bond-Commission-Approval-of-Financing-for-Origin-2","accessed":{"date-parts":[["2025",3,31]]},"issued":{"date-parts":[["2023",1,4]]}}}],"schema":"https://github.com/citation-style-language/schema/raw/master/csl-citation.json"} </w:instrText>
            </w:r>
            <w:r>
              <w:rPr>
                <w:rFonts w:asciiTheme="minorHAnsi" w:hAnsiTheme="minorHAnsi"/>
                <w:color w:val="000000" w:themeColor="text1"/>
                <w:sz w:val="22"/>
                <w:szCs w:val="22"/>
              </w:rPr>
              <w:fldChar w:fldCharType="separate"/>
            </w:r>
            <w:r w:rsidRPr="00040DB9">
              <w:rPr>
                <w:rFonts w:ascii="Aptos" w:eastAsiaTheme="minorHAnsi" w:hAnsiTheme="minorHAnsi"/>
                <w:color w:val="000000"/>
                <w:sz w:val="22"/>
                <w:vertAlign w:val="superscript"/>
                <w14:ligatures w14:val="standardContextual"/>
              </w:rPr>
              <w:t>1</w:t>
            </w:r>
            <w:r>
              <w:rPr>
                <w:rFonts w:asciiTheme="minorHAnsi" w:hAnsiTheme="minorHAnsi"/>
                <w:color w:val="000000" w:themeColor="text1"/>
                <w:sz w:val="22"/>
                <w:szCs w:val="22"/>
              </w:rPr>
              <w:fldChar w:fldCharType="end"/>
            </w:r>
          </w:p>
        </w:tc>
      </w:tr>
      <w:tr w:rsidR="00040DB9" w:rsidRPr="009E433E" w14:paraId="39B7B45C" w14:textId="77777777" w:rsidTr="00040DB9">
        <w:trPr>
          <w:trHeight w:val="315"/>
        </w:trPr>
        <w:tc>
          <w:tcPr>
            <w:tcW w:w="82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4AC491B"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2</w:t>
            </w:r>
          </w:p>
        </w:tc>
        <w:tc>
          <w:tcPr>
            <w:tcW w:w="170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07D7B0F"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Louisiana Green Fuels</w:t>
            </w:r>
          </w:p>
        </w:tc>
        <w:tc>
          <w:tcPr>
            <w:tcW w:w="161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8E6B7A8"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Columbia, LA</w:t>
            </w:r>
          </w:p>
        </w:tc>
        <w:tc>
          <w:tcPr>
            <w:tcW w:w="12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6206D45"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SAF + CCS</w:t>
            </w:r>
          </w:p>
        </w:tc>
        <w:tc>
          <w:tcPr>
            <w:tcW w:w="170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50C9D3F"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2026</w:t>
            </w:r>
          </w:p>
        </w:tc>
        <w:tc>
          <w:tcPr>
            <w:tcW w:w="2245"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FF96807" w14:textId="1EC510F8"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2,000,000</w:t>
            </w:r>
            <w:r>
              <w:rPr>
                <w:rFonts w:asciiTheme="minorHAnsi" w:hAnsiTheme="minorHAnsi"/>
                <w:color w:val="000000" w:themeColor="text1"/>
                <w:sz w:val="22"/>
                <w:szCs w:val="22"/>
              </w:rPr>
              <w:fldChar w:fldCharType="begin"/>
            </w:r>
            <w:r w:rsidR="00BB32EF">
              <w:rPr>
                <w:rFonts w:asciiTheme="minorHAnsi" w:hAnsiTheme="minorHAnsi"/>
                <w:color w:val="000000" w:themeColor="text1"/>
                <w:sz w:val="22"/>
                <w:szCs w:val="22"/>
              </w:rPr>
              <w:instrText xml:space="preserve"> ADDIN ZOTERO_ITEM CSL_CITATION {"citationID":"fsrq4Cgo","properties":{"formattedCitation":"\\super 2\\nosupersub{}","plainCitation":"2","noteIndex":0},"citationItems":[{"id":3994,"uris":["http://zotero.org/groups/5665801/items/2H7VVSSN"],"itemData":{"id":3994,"type":"webpage","abstract":"/PRNewswire/ -- Strategic Biofuels, the leader in developing deeply negative carbon footprint renewable fuel plants, and Sumitomo Corporation of Americas...","container-title":"PR Newswire","language":"en","title":"Strategic Biofuels and Sumitomo Corporation of Americas Announce Major Investment Commitment","URL":"https://www.prnewswire.com/news-releases/strategic-biofuels-and-sumitomo-corporation-of-americas-announce-major-investment-commitment-302056103.html","author":[{"family":"Americas","given":"Sumitomo Corporation","dropping-particle":"of"}],"accessed":{"date-parts":[["2025",3,31]]},"issued":{"date-parts":[["2024",2,7]]}}}],"schema":"https://github.com/citation-style-language/schema/raw/master/csl-citation.json"} </w:instrText>
            </w:r>
            <w:r>
              <w:rPr>
                <w:rFonts w:asciiTheme="minorHAnsi" w:hAnsiTheme="minorHAnsi"/>
                <w:color w:val="000000" w:themeColor="text1"/>
                <w:sz w:val="22"/>
                <w:szCs w:val="22"/>
              </w:rPr>
              <w:fldChar w:fldCharType="separate"/>
            </w:r>
            <w:r w:rsidR="00BB32EF" w:rsidRPr="00BB32EF">
              <w:rPr>
                <w:rFonts w:ascii="Aptos" w:eastAsiaTheme="minorHAnsi" w:hAnsiTheme="minorHAnsi"/>
                <w:color w:val="000000"/>
                <w:sz w:val="22"/>
                <w:vertAlign w:val="superscript"/>
                <w14:ligatures w14:val="standardContextual"/>
              </w:rPr>
              <w:t>2</w:t>
            </w:r>
            <w:r>
              <w:rPr>
                <w:rFonts w:asciiTheme="minorHAnsi" w:hAnsiTheme="minorHAnsi"/>
                <w:color w:val="000000" w:themeColor="text1"/>
                <w:sz w:val="22"/>
                <w:szCs w:val="22"/>
              </w:rPr>
              <w:fldChar w:fldCharType="end"/>
            </w:r>
          </w:p>
        </w:tc>
      </w:tr>
      <w:tr w:rsidR="00040DB9" w:rsidRPr="009E433E" w14:paraId="48884E96" w14:textId="77777777" w:rsidTr="00040DB9">
        <w:trPr>
          <w:trHeight w:val="315"/>
        </w:trPr>
        <w:tc>
          <w:tcPr>
            <w:tcW w:w="82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78EF50D"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3</w:t>
            </w:r>
          </w:p>
        </w:tc>
        <w:tc>
          <w:tcPr>
            <w:tcW w:w="170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25BE671"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Fidelis New Energy</w:t>
            </w:r>
          </w:p>
        </w:tc>
        <w:tc>
          <w:tcPr>
            <w:tcW w:w="161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AA4340C"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Port Allen, LA</w:t>
            </w:r>
          </w:p>
        </w:tc>
        <w:tc>
          <w:tcPr>
            <w:tcW w:w="12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86D96A3"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BECCS</w:t>
            </w:r>
          </w:p>
        </w:tc>
        <w:tc>
          <w:tcPr>
            <w:tcW w:w="170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F38C2BC"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2026</w:t>
            </w:r>
          </w:p>
        </w:tc>
        <w:tc>
          <w:tcPr>
            <w:tcW w:w="2245"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F935FC5" w14:textId="5656B55D"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800,000</w:t>
            </w:r>
            <w:r w:rsidR="00B47BE5">
              <w:rPr>
                <w:rFonts w:asciiTheme="minorHAnsi" w:hAnsiTheme="minorHAnsi"/>
                <w:color w:val="000000" w:themeColor="text1"/>
                <w:sz w:val="22"/>
                <w:szCs w:val="22"/>
              </w:rPr>
              <w:fldChar w:fldCharType="begin"/>
            </w:r>
            <w:r w:rsidR="00B47BE5">
              <w:rPr>
                <w:rFonts w:asciiTheme="minorHAnsi" w:hAnsiTheme="minorHAnsi"/>
                <w:color w:val="000000" w:themeColor="text1"/>
                <w:sz w:val="22"/>
                <w:szCs w:val="22"/>
              </w:rPr>
              <w:instrText xml:space="preserve"> ADDIN ZOTERO_ITEM CSL_CITATION {"citationID":"LgyQLvFy","properties":{"formattedCitation":"\\super 3\\nosupersub{}","plainCitation":"3","noteIndex":0},"citationItems":[{"id":4019,"uris":["http://zotero.org/groups/5665801/items/8ZGLIJ5Q"],"itemData":{"id":4019,"type":"webpage","container-title":"Louisiana Economic Development","language":"en","title":"Proposed $1.35 Billion Investment in Southeast Louisiana Would Establish Large-Scale Renewable Natural Gas Plant and Green Hydrogen Facility","URL":"https://www.opportunitylouisiana.gov/news/proposed-1-35-billion-investment-in-southeast-louisiana-would-establish-large-scale-renewable-natural-gas-plant-and-green-hydrogen-facility","author":[{"family":"Louisiana Economic Development","given":""}],"accessed":{"date-parts":[["2024",11,25]]},"issued":{"date-parts":[["2024",9,17]]}}}],"schema":"https://github.com/citation-style-language/schema/raw/master/csl-citation.json"} </w:instrText>
            </w:r>
            <w:r w:rsidR="00B47BE5">
              <w:rPr>
                <w:rFonts w:asciiTheme="minorHAnsi" w:hAnsiTheme="minorHAnsi"/>
                <w:color w:val="000000" w:themeColor="text1"/>
                <w:sz w:val="22"/>
                <w:szCs w:val="22"/>
              </w:rPr>
              <w:fldChar w:fldCharType="separate"/>
            </w:r>
            <w:r w:rsidR="00B47BE5" w:rsidRPr="00B47BE5">
              <w:rPr>
                <w:rFonts w:ascii="Aptos" w:eastAsiaTheme="minorHAnsi" w:hAnsiTheme="minorHAnsi"/>
                <w:color w:val="000000"/>
                <w:sz w:val="22"/>
                <w:vertAlign w:val="superscript"/>
                <w14:ligatures w14:val="standardContextual"/>
              </w:rPr>
              <w:t>3</w:t>
            </w:r>
            <w:r w:rsidR="00B47BE5">
              <w:rPr>
                <w:rFonts w:asciiTheme="minorHAnsi" w:hAnsiTheme="minorHAnsi"/>
                <w:color w:val="000000" w:themeColor="text1"/>
                <w:sz w:val="22"/>
                <w:szCs w:val="22"/>
              </w:rPr>
              <w:fldChar w:fldCharType="end"/>
            </w:r>
          </w:p>
        </w:tc>
      </w:tr>
      <w:tr w:rsidR="00040DB9" w:rsidRPr="009E433E" w14:paraId="55E5DF8A" w14:textId="77777777" w:rsidTr="00040DB9">
        <w:trPr>
          <w:trHeight w:val="315"/>
        </w:trPr>
        <w:tc>
          <w:tcPr>
            <w:tcW w:w="82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03BBCB1"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4</w:t>
            </w:r>
          </w:p>
        </w:tc>
        <w:tc>
          <w:tcPr>
            <w:tcW w:w="170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EC290DD"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USA Bioenergy</w:t>
            </w:r>
          </w:p>
        </w:tc>
        <w:tc>
          <w:tcPr>
            <w:tcW w:w="161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93C61D4"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Bon Wier, TX</w:t>
            </w:r>
          </w:p>
        </w:tc>
        <w:tc>
          <w:tcPr>
            <w:tcW w:w="12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C81B8F0"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Biofuel plant</w:t>
            </w:r>
          </w:p>
        </w:tc>
        <w:tc>
          <w:tcPr>
            <w:tcW w:w="170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7A0AE7F"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2026</w:t>
            </w:r>
          </w:p>
        </w:tc>
        <w:tc>
          <w:tcPr>
            <w:tcW w:w="2245"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A5319C5" w14:textId="5FA43E00"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1,000,000</w:t>
            </w:r>
            <w:r w:rsidR="00B47BE5">
              <w:rPr>
                <w:rFonts w:asciiTheme="minorHAnsi" w:hAnsiTheme="minorHAnsi"/>
                <w:color w:val="000000" w:themeColor="text1"/>
                <w:sz w:val="22"/>
                <w:szCs w:val="22"/>
              </w:rPr>
              <w:fldChar w:fldCharType="begin"/>
            </w:r>
            <w:r w:rsidR="00B47BE5">
              <w:rPr>
                <w:rFonts w:asciiTheme="minorHAnsi" w:hAnsiTheme="minorHAnsi"/>
                <w:color w:val="000000" w:themeColor="text1"/>
                <w:sz w:val="22"/>
                <w:szCs w:val="22"/>
              </w:rPr>
              <w:instrText xml:space="preserve"> ADDIN ZOTERO_ITEM CSL_CITATION {"citationID":"0lmX0iCF","properties":{"formattedCitation":"\\super 4\\nosupersub{}","plainCitation":"4","noteIndex":0},"citationItems":[{"id":3991,"uris":["http://zotero.org/groups/5665801/items/U2ERZV62"],"itemData":{"id":3991,"type":"webpage","abstract":"USA BioEnergy through its subsidiary, Texas Renewable Fuels (TRF), is pleased to announce the development of an advanced biorefinery that will convert 1M green tons of wood waste into 34M gallons annually of premium clean burning transportation fuel including Sustainable Aviation Fuel, Renewable Diesel and Renewable Naphtha. Future expansion will double the plant’s production capacity","container-title":"USA BioEnergy","language":"en-US","title":"USA BioEnergy Announces First Advanced Biorefinery in Bon Wier, Texas After Receiving $150M in State and Local Incentives - USA BioEnergy","URL":"https://usabioenergy.com/usa-bioenergy-announces-first-advanced-biorefinery-in-bon-wier-texas-after-receiving-150m-in-state-and-local-incentives/","author":[{"family":"BioEnergy","given":"U. S. A."}],"accessed":{"date-parts":[["2025",3,31]]},"issued":{"date-parts":[["2022",2,10]]}}}],"schema":"https://github.com/citation-style-language/schema/raw/master/csl-citation.json"} </w:instrText>
            </w:r>
            <w:r w:rsidR="00B47BE5">
              <w:rPr>
                <w:rFonts w:asciiTheme="minorHAnsi" w:hAnsiTheme="minorHAnsi"/>
                <w:color w:val="000000" w:themeColor="text1"/>
                <w:sz w:val="22"/>
                <w:szCs w:val="22"/>
              </w:rPr>
              <w:fldChar w:fldCharType="separate"/>
            </w:r>
            <w:r w:rsidR="00B47BE5" w:rsidRPr="00B47BE5">
              <w:rPr>
                <w:rFonts w:ascii="Aptos" w:eastAsiaTheme="minorHAnsi" w:hAnsiTheme="minorHAnsi"/>
                <w:color w:val="000000"/>
                <w:sz w:val="22"/>
                <w:vertAlign w:val="superscript"/>
                <w14:ligatures w14:val="standardContextual"/>
              </w:rPr>
              <w:t>4</w:t>
            </w:r>
            <w:r w:rsidR="00B47BE5">
              <w:rPr>
                <w:rFonts w:asciiTheme="minorHAnsi" w:hAnsiTheme="minorHAnsi"/>
                <w:color w:val="000000" w:themeColor="text1"/>
                <w:sz w:val="22"/>
                <w:szCs w:val="22"/>
              </w:rPr>
              <w:fldChar w:fldCharType="end"/>
            </w:r>
          </w:p>
        </w:tc>
      </w:tr>
      <w:tr w:rsidR="00040DB9" w:rsidRPr="009E433E" w14:paraId="56C1E0CC" w14:textId="77777777" w:rsidTr="00040DB9">
        <w:trPr>
          <w:trHeight w:val="315"/>
        </w:trPr>
        <w:tc>
          <w:tcPr>
            <w:tcW w:w="82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EBD8859"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7</w:t>
            </w:r>
          </w:p>
        </w:tc>
        <w:tc>
          <w:tcPr>
            <w:tcW w:w="170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824A8A7"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CO280</w:t>
            </w:r>
          </w:p>
        </w:tc>
        <w:tc>
          <w:tcPr>
            <w:tcW w:w="161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1670548"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Leesville, LA (centroid)</w:t>
            </w:r>
          </w:p>
        </w:tc>
        <w:tc>
          <w:tcPr>
            <w:tcW w:w="12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58426350"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PP + CCS</w:t>
            </w:r>
          </w:p>
        </w:tc>
        <w:tc>
          <w:tcPr>
            <w:tcW w:w="170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5E8CAD5"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2027</w:t>
            </w:r>
          </w:p>
        </w:tc>
        <w:tc>
          <w:tcPr>
            <w:tcW w:w="2245"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EBA0DE4" w14:textId="7A71F68F"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300,000</w:t>
            </w:r>
            <w:r w:rsidR="00B47BE5">
              <w:rPr>
                <w:rFonts w:asciiTheme="minorHAnsi" w:hAnsiTheme="minorHAnsi"/>
                <w:color w:val="000000" w:themeColor="text1"/>
                <w:sz w:val="22"/>
                <w:szCs w:val="22"/>
              </w:rPr>
              <w:fldChar w:fldCharType="begin"/>
            </w:r>
            <w:r w:rsidR="00B47BE5">
              <w:rPr>
                <w:rFonts w:asciiTheme="minorHAnsi" w:hAnsiTheme="minorHAnsi"/>
                <w:color w:val="000000" w:themeColor="text1"/>
                <w:sz w:val="22"/>
                <w:szCs w:val="22"/>
              </w:rPr>
              <w:instrText xml:space="preserve"> ADDIN ZOTERO_ITEM CSL_CITATION {"citationID":"ARFY2Jve","properties":{"formattedCitation":"\\super 5\\nosupersub{}","plainCitation":"5","noteIndex":0},"citationItems":[{"id":3990,"uris":["http://zotero.org/groups/5665801/items/3RKH7T9G"],"itemData":{"id":3990,"type":"webpage","container-title":"SLB","title":"SLB and Aker Carbon Capture joint venture awarded FEED contract by CO280 for large-scale carbon removal project","URL":"https://www.slb.com/news-and-insights/newsroom/press-release/2024/slb-and-aker-joint-venture-awarded-feed-contract-by-co280-for-large-scale-carbon-removal-project","accessed":{"date-parts":[["2025",3,31]]},"issued":{"date-parts":[["2024",8,1]]}}}],"schema":"https://github.com/citation-style-language/schema/raw/master/csl-citation.json"} </w:instrText>
            </w:r>
            <w:r w:rsidR="00B47BE5">
              <w:rPr>
                <w:rFonts w:asciiTheme="minorHAnsi" w:hAnsiTheme="minorHAnsi"/>
                <w:color w:val="000000" w:themeColor="text1"/>
                <w:sz w:val="22"/>
                <w:szCs w:val="22"/>
              </w:rPr>
              <w:fldChar w:fldCharType="separate"/>
            </w:r>
            <w:r w:rsidR="00B47BE5" w:rsidRPr="00B47BE5">
              <w:rPr>
                <w:rFonts w:ascii="Aptos" w:eastAsiaTheme="minorHAnsi" w:hAnsiTheme="minorHAnsi"/>
                <w:color w:val="000000"/>
                <w:sz w:val="22"/>
                <w:vertAlign w:val="superscript"/>
                <w14:ligatures w14:val="standardContextual"/>
              </w:rPr>
              <w:t>5</w:t>
            </w:r>
            <w:r w:rsidR="00B47BE5">
              <w:rPr>
                <w:rFonts w:asciiTheme="minorHAnsi" w:hAnsiTheme="minorHAnsi"/>
                <w:color w:val="000000" w:themeColor="text1"/>
                <w:sz w:val="22"/>
                <w:szCs w:val="22"/>
              </w:rPr>
              <w:fldChar w:fldCharType="end"/>
            </w:r>
          </w:p>
        </w:tc>
      </w:tr>
      <w:tr w:rsidR="00040DB9" w:rsidRPr="009E433E" w14:paraId="69AC04BA" w14:textId="77777777" w:rsidTr="00040DB9">
        <w:trPr>
          <w:trHeight w:val="315"/>
        </w:trPr>
        <w:tc>
          <w:tcPr>
            <w:tcW w:w="82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6D9DB28"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1</w:t>
            </w:r>
          </w:p>
        </w:tc>
        <w:tc>
          <w:tcPr>
            <w:tcW w:w="170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EB980B2" w14:textId="77777777" w:rsidR="00040DB9" w:rsidRPr="009E433E" w:rsidRDefault="00040DB9" w:rsidP="00040DB9">
            <w:pPr>
              <w:jc w:val="center"/>
              <w:rPr>
                <w:rFonts w:asciiTheme="minorHAnsi" w:hAnsiTheme="minorHAnsi"/>
                <w:color w:val="000000" w:themeColor="text1"/>
                <w:sz w:val="22"/>
                <w:szCs w:val="22"/>
              </w:rPr>
            </w:pPr>
            <w:proofErr w:type="spellStart"/>
            <w:r w:rsidRPr="009E433E">
              <w:rPr>
                <w:rFonts w:asciiTheme="minorHAnsi" w:hAnsiTheme="minorHAnsi"/>
                <w:color w:val="000000" w:themeColor="text1"/>
                <w:sz w:val="22"/>
                <w:szCs w:val="22"/>
              </w:rPr>
              <w:t>SunGas</w:t>
            </w:r>
            <w:proofErr w:type="spellEnd"/>
            <w:r w:rsidRPr="009E433E">
              <w:rPr>
                <w:rFonts w:asciiTheme="minorHAnsi" w:hAnsiTheme="minorHAnsi"/>
                <w:color w:val="000000" w:themeColor="text1"/>
                <w:sz w:val="22"/>
                <w:szCs w:val="22"/>
              </w:rPr>
              <w:t xml:space="preserve"> Renewables / C2X</w:t>
            </w:r>
          </w:p>
        </w:tc>
        <w:tc>
          <w:tcPr>
            <w:tcW w:w="161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D8B0D79"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Alexandria, LA</w:t>
            </w:r>
          </w:p>
        </w:tc>
        <w:tc>
          <w:tcPr>
            <w:tcW w:w="12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1A90A883" w14:textId="246B8D3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Methanol</w:t>
            </w:r>
          </w:p>
        </w:tc>
        <w:tc>
          <w:tcPr>
            <w:tcW w:w="170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3A9D5CFE"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2028</w:t>
            </w:r>
          </w:p>
        </w:tc>
        <w:tc>
          <w:tcPr>
            <w:tcW w:w="2245"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20546FA" w14:textId="55C93E74"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2,000,000</w:t>
            </w:r>
            <w:r w:rsidR="00B47BE5">
              <w:rPr>
                <w:rFonts w:asciiTheme="minorHAnsi" w:hAnsiTheme="minorHAnsi"/>
                <w:color w:val="000000" w:themeColor="text1"/>
                <w:sz w:val="22"/>
                <w:szCs w:val="22"/>
              </w:rPr>
              <w:fldChar w:fldCharType="begin"/>
            </w:r>
            <w:r w:rsidR="00B47BE5">
              <w:rPr>
                <w:rFonts w:asciiTheme="minorHAnsi" w:hAnsiTheme="minorHAnsi"/>
                <w:color w:val="000000" w:themeColor="text1"/>
                <w:sz w:val="22"/>
                <w:szCs w:val="22"/>
              </w:rPr>
              <w:instrText xml:space="preserve"> ADDIN ZOTERO_ITEM CSL_CITATION {"citationID":"AEPKCdlw","properties":{"formattedCitation":"\\super 6\\nosupersub{}","plainCitation":"6","noteIndex":0},"citationItems":[{"id":5115,"uris":["http://zotero.org/groups/5665801/items/JM42HUNF"],"itemData":{"id":5115,"type":"webpage","abstract":"/PRNewswire/ -- SunGas Renewables Inc. (\"SunGas Renewables\") today announced the formation of Beaver Lake Renewable Energy, LLC (\"BLRE\"), which will construct...","container-title":"PR Newswire","language":"en","title":"SunGas Renewables Announces Beaver Lake Renewable Energy, a Green Methanol Facility in Central Louisiana","URL":"https://www.prnewswire.com/news-releases/sungas-renewables-announces-beaver-lake-renewable-energy-a-green-methanol-facility-in-central-louisiana-301886566.html","author":[{"family":"SunGas Renewables","given":""}],"accessed":{"date-parts":[["2025",6,3]]},"issued":{"date-parts":[["2023",7,26]]}}}],"schema":"https://github.com/citation-style-language/schema/raw/master/csl-citation.json"} </w:instrText>
            </w:r>
            <w:r w:rsidR="00B47BE5">
              <w:rPr>
                <w:rFonts w:asciiTheme="minorHAnsi" w:hAnsiTheme="minorHAnsi"/>
                <w:color w:val="000000" w:themeColor="text1"/>
                <w:sz w:val="22"/>
                <w:szCs w:val="22"/>
              </w:rPr>
              <w:fldChar w:fldCharType="separate"/>
            </w:r>
            <w:r w:rsidR="00B47BE5" w:rsidRPr="00B47BE5">
              <w:rPr>
                <w:rFonts w:ascii="Aptos" w:eastAsiaTheme="minorHAnsi" w:hAnsiTheme="minorHAnsi"/>
                <w:color w:val="000000"/>
                <w:sz w:val="22"/>
                <w:vertAlign w:val="superscript"/>
                <w14:ligatures w14:val="standardContextual"/>
              </w:rPr>
              <w:t>6</w:t>
            </w:r>
            <w:r w:rsidR="00B47BE5">
              <w:rPr>
                <w:rFonts w:asciiTheme="minorHAnsi" w:hAnsiTheme="minorHAnsi"/>
                <w:color w:val="000000" w:themeColor="text1"/>
                <w:sz w:val="22"/>
                <w:szCs w:val="22"/>
              </w:rPr>
              <w:fldChar w:fldCharType="end"/>
            </w:r>
          </w:p>
        </w:tc>
      </w:tr>
      <w:tr w:rsidR="00040DB9" w:rsidRPr="009E433E" w14:paraId="6F44E87D" w14:textId="77777777" w:rsidTr="00040DB9">
        <w:trPr>
          <w:trHeight w:val="315"/>
        </w:trPr>
        <w:tc>
          <w:tcPr>
            <w:tcW w:w="82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73E4936"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8</w:t>
            </w:r>
          </w:p>
        </w:tc>
        <w:tc>
          <w:tcPr>
            <w:tcW w:w="170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B8B56D5"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Orsted</w:t>
            </w:r>
          </w:p>
        </w:tc>
        <w:tc>
          <w:tcPr>
            <w:tcW w:w="161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B8F2EC1"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Leesville, LA (centroid)</w:t>
            </w:r>
          </w:p>
        </w:tc>
        <w:tc>
          <w:tcPr>
            <w:tcW w:w="12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F0161E1"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E-Methanol</w:t>
            </w:r>
          </w:p>
        </w:tc>
        <w:tc>
          <w:tcPr>
            <w:tcW w:w="170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314BE51"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2030</w:t>
            </w:r>
          </w:p>
        </w:tc>
        <w:tc>
          <w:tcPr>
            <w:tcW w:w="2245"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DD61181" w14:textId="7E3537F0"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500,000</w:t>
            </w:r>
            <w:r w:rsidR="00B47BE5">
              <w:rPr>
                <w:rFonts w:asciiTheme="minorHAnsi" w:hAnsiTheme="minorHAnsi"/>
                <w:color w:val="000000" w:themeColor="text1"/>
                <w:sz w:val="22"/>
                <w:szCs w:val="22"/>
              </w:rPr>
              <w:fldChar w:fldCharType="begin"/>
            </w:r>
            <w:r w:rsidR="00B47BE5">
              <w:rPr>
                <w:rFonts w:asciiTheme="minorHAnsi" w:hAnsiTheme="minorHAnsi"/>
                <w:color w:val="000000" w:themeColor="text1"/>
                <w:sz w:val="22"/>
                <w:szCs w:val="22"/>
              </w:rPr>
              <w:instrText xml:space="preserve"> ADDIN ZOTERO_ITEM CSL_CITATION {"citationID":"LIKBvqn8","properties":{"formattedCitation":"\\super 7\\nosupersub{}","plainCitation":"7","noteIndex":0},"citationItems":[{"id":5117,"uris":["http://zotero.org/groups/5665801/items/LFXUM9VK"],"itemData":{"id":5117,"type":"webpage","abstract":"Selection will help advance Ørsted’s e-methanol facility in Texas, decarbonize hard-to-electrify maritime sector, and create U.S. clean energy jobs in new industry","container-title":"Orsted","language":"en","title":"Ørsted Selected by U.S. Department of Energy to Receive Industrial Decarbonization Funding","URL":"https://us.orsted.com/news-archive/2024/03/orsted-selected-by-us-department-of-energy-to-receive-industrial-decarbonization-funding","author":[{"family":"Bellotte","given":"Charlotte"}],"accessed":{"date-parts":[["2025",6,3]]},"issued":{"date-parts":[["2024",3,25]]}}}],"schema":"https://github.com/citation-style-language/schema/raw/master/csl-citation.json"} </w:instrText>
            </w:r>
            <w:r w:rsidR="00B47BE5">
              <w:rPr>
                <w:rFonts w:asciiTheme="minorHAnsi" w:hAnsiTheme="minorHAnsi"/>
                <w:color w:val="000000" w:themeColor="text1"/>
                <w:sz w:val="22"/>
                <w:szCs w:val="22"/>
              </w:rPr>
              <w:fldChar w:fldCharType="separate"/>
            </w:r>
            <w:r w:rsidR="00B47BE5" w:rsidRPr="00B47BE5">
              <w:rPr>
                <w:rFonts w:ascii="Aptos" w:eastAsiaTheme="minorHAnsi" w:hAnsiTheme="minorHAnsi"/>
                <w:color w:val="000000"/>
                <w:sz w:val="22"/>
                <w:vertAlign w:val="superscript"/>
                <w14:ligatures w14:val="standardContextual"/>
              </w:rPr>
              <w:t>7</w:t>
            </w:r>
            <w:r w:rsidR="00B47BE5">
              <w:rPr>
                <w:rFonts w:asciiTheme="minorHAnsi" w:hAnsiTheme="minorHAnsi"/>
                <w:color w:val="000000" w:themeColor="text1"/>
                <w:sz w:val="22"/>
                <w:szCs w:val="22"/>
              </w:rPr>
              <w:fldChar w:fldCharType="end"/>
            </w:r>
          </w:p>
        </w:tc>
      </w:tr>
      <w:tr w:rsidR="00040DB9" w:rsidRPr="009E433E" w14:paraId="73003CE4" w14:textId="77777777" w:rsidTr="00040DB9">
        <w:trPr>
          <w:trHeight w:val="315"/>
        </w:trPr>
        <w:tc>
          <w:tcPr>
            <w:tcW w:w="82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197F274"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9</w:t>
            </w:r>
          </w:p>
        </w:tc>
        <w:tc>
          <w:tcPr>
            <w:tcW w:w="170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7D3D2D52"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Pathway</w:t>
            </w:r>
          </w:p>
        </w:tc>
        <w:tc>
          <w:tcPr>
            <w:tcW w:w="161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2F00932F"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Leesville, LA (centroid)</w:t>
            </w:r>
          </w:p>
        </w:tc>
        <w:tc>
          <w:tcPr>
            <w:tcW w:w="12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41B373C"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SAF + CCS</w:t>
            </w:r>
          </w:p>
        </w:tc>
        <w:tc>
          <w:tcPr>
            <w:tcW w:w="170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6322C55F" w14:textId="77777777"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2030</w:t>
            </w:r>
          </w:p>
        </w:tc>
        <w:tc>
          <w:tcPr>
            <w:tcW w:w="2245"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47FABFC7" w14:textId="6750E3C1" w:rsidR="00040DB9" w:rsidRPr="009E433E" w:rsidRDefault="00040DB9" w:rsidP="00040DB9">
            <w:pPr>
              <w:jc w:val="center"/>
              <w:rPr>
                <w:rFonts w:asciiTheme="minorHAnsi" w:hAnsiTheme="minorHAnsi"/>
                <w:color w:val="000000" w:themeColor="text1"/>
                <w:sz w:val="22"/>
                <w:szCs w:val="22"/>
              </w:rPr>
            </w:pPr>
            <w:r w:rsidRPr="009E433E">
              <w:rPr>
                <w:rFonts w:asciiTheme="minorHAnsi" w:hAnsiTheme="minorHAnsi"/>
                <w:color w:val="000000" w:themeColor="text1"/>
                <w:sz w:val="22"/>
                <w:szCs w:val="22"/>
              </w:rPr>
              <w:t>2,000,000</w:t>
            </w:r>
            <w:r w:rsidR="00B47BE5">
              <w:rPr>
                <w:rFonts w:asciiTheme="minorHAnsi" w:hAnsiTheme="minorHAnsi"/>
                <w:color w:val="000000" w:themeColor="text1"/>
                <w:sz w:val="22"/>
                <w:szCs w:val="22"/>
              </w:rPr>
              <w:fldChar w:fldCharType="begin"/>
            </w:r>
            <w:r w:rsidR="00B47BE5">
              <w:rPr>
                <w:rFonts w:asciiTheme="minorHAnsi" w:hAnsiTheme="minorHAnsi"/>
                <w:color w:val="000000" w:themeColor="text1"/>
                <w:sz w:val="22"/>
                <w:szCs w:val="22"/>
              </w:rPr>
              <w:instrText xml:space="preserve"> ADDIN ZOTERO_ITEM CSL_CITATION {"citationID":"NCaoPGFN","properties":{"formattedCitation":"\\super 8\\nosupersub{}","plainCitation":"8","noteIndex":0},"citationItems":[{"id":3987,"uris":["http://zotero.org/groups/5665801/items/AD77EKUH"],"itemData":{"id":3987,"type":"webpage","abstract":"UK-based renewable energy leader Drax Group (Drax), and Pathway Energy LLC (Pathway), a carbon negative energy company, have reached heads of terms on a multi-year deal that could see Drax supply over 1 million tonnes of sustainable biomass pellets each year to Pathway’s proposed sustainable aviation fuel (SAF) plant on the US Gulf Coast.","container-title":"Drax Global","language":"en-US","title":"Drax and Pathway Energy agree heads of terms on sustainable biomass deal to supply new US SAF plant","URL":"https://www.drax.com/press_release/drax-and-pathway-energy-agree-heads-of-terms-on-sustainable-biomass-deal-to-supply-new-us-saf-plant/","accessed":{"date-parts":[["2025",3,31]]},"issued":{"date-parts":[["2024",12,12]]}}}],"schema":"https://github.com/citation-style-language/schema/raw/master/csl-citation.json"} </w:instrText>
            </w:r>
            <w:r w:rsidR="00B47BE5">
              <w:rPr>
                <w:rFonts w:asciiTheme="minorHAnsi" w:hAnsiTheme="minorHAnsi"/>
                <w:color w:val="000000" w:themeColor="text1"/>
                <w:sz w:val="22"/>
                <w:szCs w:val="22"/>
              </w:rPr>
              <w:fldChar w:fldCharType="separate"/>
            </w:r>
            <w:r w:rsidR="00B47BE5" w:rsidRPr="00B47BE5">
              <w:rPr>
                <w:rFonts w:ascii="Aptos" w:eastAsiaTheme="minorHAnsi" w:hAnsiTheme="minorHAnsi"/>
                <w:color w:val="000000"/>
                <w:sz w:val="22"/>
                <w:vertAlign w:val="superscript"/>
                <w14:ligatures w14:val="standardContextual"/>
              </w:rPr>
              <w:t>8</w:t>
            </w:r>
            <w:r w:rsidR="00B47BE5">
              <w:rPr>
                <w:rFonts w:asciiTheme="minorHAnsi" w:hAnsiTheme="minorHAnsi"/>
                <w:color w:val="000000" w:themeColor="text1"/>
                <w:sz w:val="22"/>
                <w:szCs w:val="22"/>
              </w:rPr>
              <w:fldChar w:fldCharType="end"/>
            </w:r>
          </w:p>
        </w:tc>
      </w:tr>
    </w:tbl>
    <w:p w14:paraId="06354757" w14:textId="77777777" w:rsidR="003A0E41" w:rsidRPr="009E433E" w:rsidRDefault="003A0E41">
      <w:pPr>
        <w:rPr>
          <w:rFonts w:asciiTheme="minorHAnsi" w:hAnsiTheme="minorHAnsi"/>
          <w:sz w:val="22"/>
          <w:szCs w:val="22"/>
        </w:rPr>
      </w:pPr>
    </w:p>
    <w:p w14:paraId="3ED910CC" w14:textId="69FD00CB" w:rsidR="00126A22" w:rsidRPr="009E433E" w:rsidRDefault="00126A22">
      <w:pPr>
        <w:rPr>
          <w:rFonts w:asciiTheme="minorHAnsi" w:hAnsiTheme="minorHAnsi"/>
          <w:sz w:val="22"/>
          <w:szCs w:val="22"/>
        </w:rPr>
      </w:pPr>
      <w:r w:rsidRPr="009E433E">
        <w:rPr>
          <w:rFonts w:asciiTheme="minorHAnsi" w:hAnsiTheme="minorHAnsi"/>
          <w:b/>
          <w:bCs/>
          <w:sz w:val="22"/>
          <w:szCs w:val="22"/>
        </w:rPr>
        <w:t>Note</w:t>
      </w:r>
      <w:r w:rsidRPr="009E433E">
        <w:rPr>
          <w:rFonts w:asciiTheme="minorHAnsi" w:hAnsiTheme="minorHAnsi"/>
          <w:sz w:val="22"/>
          <w:szCs w:val="22"/>
        </w:rPr>
        <w:t>: CCS = Carbon Capture and Storage; SAF = Sustainable Aviation Fuel; PP = Pulp and Paper; BECCS = Bioenergy with Carbon Capture and Storage.</w:t>
      </w:r>
    </w:p>
    <w:p w14:paraId="054B95CD" w14:textId="77777777" w:rsidR="00913ED9" w:rsidRPr="009E433E" w:rsidRDefault="00913ED9">
      <w:pPr>
        <w:rPr>
          <w:rFonts w:asciiTheme="minorHAnsi" w:hAnsiTheme="minorHAnsi"/>
          <w:sz w:val="22"/>
          <w:szCs w:val="22"/>
        </w:rPr>
      </w:pPr>
    </w:p>
    <w:p w14:paraId="06E7E6C7" w14:textId="77777777" w:rsidR="00913ED9" w:rsidRPr="009E433E" w:rsidRDefault="00913ED9" w:rsidP="00913ED9">
      <w:pPr>
        <w:pStyle w:val="ListParagraph"/>
        <w:numPr>
          <w:ilvl w:val="0"/>
          <w:numId w:val="2"/>
        </w:numPr>
        <w:spacing w:after="240"/>
        <w:rPr>
          <w:rFonts w:asciiTheme="minorHAnsi" w:hAnsiTheme="minorHAnsi"/>
          <w:b/>
          <w:bCs/>
          <w:sz w:val="22"/>
          <w:szCs w:val="22"/>
        </w:rPr>
      </w:pPr>
      <w:r w:rsidRPr="009E433E">
        <w:rPr>
          <w:rFonts w:asciiTheme="minorHAnsi" w:hAnsiTheme="minorHAnsi"/>
          <w:b/>
          <w:bCs/>
          <w:sz w:val="22"/>
          <w:szCs w:val="22"/>
        </w:rPr>
        <w:t>Biomass Facility Carbon Footprint Analysis</w:t>
      </w:r>
    </w:p>
    <w:p w14:paraId="0FFFE207" w14:textId="3D502BF9" w:rsidR="003C5BEF" w:rsidRPr="009E433E" w:rsidRDefault="00994C73" w:rsidP="003C5BEF">
      <w:pPr>
        <w:pStyle w:val="NormalWeb"/>
        <w:spacing w:before="0" w:beforeAutospacing="0" w:after="0" w:afterAutospacing="0"/>
        <w:rPr>
          <w:rFonts w:asciiTheme="minorHAnsi" w:hAnsiTheme="minorHAnsi"/>
          <w:sz w:val="22"/>
          <w:szCs w:val="22"/>
        </w:rPr>
      </w:pPr>
      <w:r w:rsidRPr="009E433E">
        <w:rPr>
          <w:rFonts w:asciiTheme="minorHAnsi" w:hAnsiTheme="minorHAnsi"/>
          <w:sz w:val="22"/>
          <w:szCs w:val="22"/>
        </w:rPr>
        <w:t xml:space="preserve">We performed </w:t>
      </w:r>
      <w:r w:rsidR="00D36F01" w:rsidRPr="009E433E">
        <w:rPr>
          <w:rFonts w:asciiTheme="minorHAnsi" w:hAnsiTheme="minorHAnsi"/>
          <w:sz w:val="22"/>
          <w:szCs w:val="22"/>
        </w:rPr>
        <w:t>an</w:t>
      </w:r>
      <w:r w:rsidRPr="009E433E">
        <w:rPr>
          <w:rFonts w:asciiTheme="minorHAnsi" w:hAnsiTheme="minorHAnsi"/>
          <w:sz w:val="22"/>
          <w:szCs w:val="22"/>
        </w:rPr>
        <w:t xml:space="preserve"> attributional </w:t>
      </w:r>
      <w:r w:rsidR="003C5BEF" w:rsidRPr="009E433E">
        <w:rPr>
          <w:rFonts w:asciiTheme="minorHAnsi" w:hAnsiTheme="minorHAnsi"/>
          <w:color w:val="000000"/>
          <w:sz w:val="22"/>
          <w:szCs w:val="22"/>
        </w:rPr>
        <w:t xml:space="preserve">life cycle assessment (LCA) to estimate the carbon footprint, carbon removal potential, and substitution benefits of planned biomass conversion facilities across five </w:t>
      </w:r>
      <w:r w:rsidR="003C5BEF" w:rsidRPr="009E433E">
        <w:rPr>
          <w:rFonts w:asciiTheme="minorHAnsi" w:hAnsiTheme="minorHAnsi"/>
          <w:color w:val="000000"/>
          <w:sz w:val="22"/>
          <w:szCs w:val="22"/>
        </w:rPr>
        <w:lastRenderedPageBreak/>
        <w:t>technology pathways: biopower with carbon capture and storage (CCS), methanol with CCS, e-methanol, bioplastics, and pulp and paper with CCS. The analysis uses representative emission factors from peer-reviewed literature to model greenhouse gas (GHG) emissions and removals per tonne of biogenic carbon input or product (</w:t>
      </w:r>
      <w:proofErr w:type="spellStart"/>
      <w:r w:rsidR="003C5BEF" w:rsidRPr="009E433E">
        <w:rPr>
          <w:rFonts w:asciiTheme="minorHAnsi" w:hAnsiTheme="minorHAnsi"/>
          <w:color w:val="000000"/>
          <w:sz w:val="22"/>
          <w:szCs w:val="22"/>
        </w:rPr>
        <w:t>tC</w:t>
      </w:r>
      <w:proofErr w:type="spellEnd"/>
      <w:r w:rsidR="003C5BEF" w:rsidRPr="009E433E">
        <w:rPr>
          <w:rFonts w:asciiTheme="minorHAnsi" w:hAnsiTheme="minorHAnsi"/>
          <w:color w:val="000000"/>
          <w:sz w:val="22"/>
          <w:szCs w:val="22"/>
        </w:rPr>
        <w:t>/</w:t>
      </w:r>
      <w:proofErr w:type="spellStart"/>
      <w:r w:rsidR="003C5BEF" w:rsidRPr="009E433E">
        <w:rPr>
          <w:rFonts w:asciiTheme="minorHAnsi" w:hAnsiTheme="minorHAnsi"/>
          <w:color w:val="000000"/>
          <w:sz w:val="22"/>
          <w:szCs w:val="22"/>
        </w:rPr>
        <w:t>tC</w:t>
      </w:r>
      <w:proofErr w:type="spellEnd"/>
      <w:r w:rsidR="003C5BEF" w:rsidRPr="009E433E">
        <w:rPr>
          <w:rFonts w:asciiTheme="minorHAnsi" w:hAnsiTheme="minorHAnsi"/>
          <w:color w:val="000000"/>
          <w:sz w:val="22"/>
          <w:szCs w:val="22"/>
        </w:rPr>
        <w:t>).</w:t>
      </w:r>
    </w:p>
    <w:p w14:paraId="668EE16F" w14:textId="77777777" w:rsidR="003C5BEF" w:rsidRPr="009E433E" w:rsidRDefault="003C5BEF" w:rsidP="003C5BEF">
      <w:pPr>
        <w:rPr>
          <w:rFonts w:asciiTheme="minorHAnsi" w:hAnsiTheme="minorHAnsi"/>
          <w:sz w:val="22"/>
          <w:szCs w:val="22"/>
        </w:rPr>
      </w:pPr>
    </w:p>
    <w:p w14:paraId="126B56B0" w14:textId="43AF23E8" w:rsidR="003C5BEF" w:rsidRPr="009E433E" w:rsidRDefault="003C5BEF" w:rsidP="003C5BEF">
      <w:pPr>
        <w:pStyle w:val="NormalWeb"/>
        <w:spacing w:before="0" w:beforeAutospacing="0" w:after="0" w:afterAutospacing="0"/>
        <w:rPr>
          <w:rFonts w:asciiTheme="minorHAnsi" w:hAnsiTheme="minorHAnsi"/>
          <w:sz w:val="22"/>
          <w:szCs w:val="22"/>
        </w:rPr>
      </w:pPr>
      <w:r w:rsidRPr="009E433E">
        <w:rPr>
          <w:rFonts w:asciiTheme="minorHAnsi" w:hAnsiTheme="minorHAnsi"/>
          <w:color w:val="000000"/>
          <w:sz w:val="22"/>
          <w:szCs w:val="22"/>
        </w:rPr>
        <w:t>The system boundary encompasses all major process stages from biomass harvesting and transport (assumed consistent across pathways), through pre-treatment, conversion (e.g., combustion, gasification, fermentation), product synthesis and upgrading, to CO</w:t>
      </w:r>
      <w:r w:rsidRPr="009E433E">
        <w:rPr>
          <w:rFonts w:asciiTheme="minorHAnsi" w:hAnsiTheme="minorHAnsi"/>
          <w:color w:val="000000"/>
          <w:sz w:val="22"/>
          <w:szCs w:val="22"/>
          <w:vertAlign w:val="subscript"/>
        </w:rPr>
        <w:t>2</w:t>
      </w:r>
      <w:r w:rsidRPr="009E433E">
        <w:rPr>
          <w:rFonts w:asciiTheme="minorHAnsi" w:hAnsiTheme="minorHAnsi"/>
          <w:color w:val="000000"/>
          <w:sz w:val="22"/>
          <w:szCs w:val="22"/>
        </w:rPr>
        <w:t xml:space="preserve"> capture, transport, and storage. Both attributional and consequential perspectives are considered, explicitly accounting for substitution benefits from displaced fossil-based products and permanent carbon storage via geologic sequestration.</w:t>
      </w:r>
    </w:p>
    <w:p w14:paraId="3AE95EFA" w14:textId="77777777" w:rsidR="003C5BEF" w:rsidRPr="009E433E" w:rsidRDefault="003C5BEF" w:rsidP="003C5BEF">
      <w:pPr>
        <w:rPr>
          <w:rFonts w:asciiTheme="minorHAnsi" w:hAnsiTheme="minorHAnsi"/>
          <w:sz w:val="22"/>
          <w:szCs w:val="22"/>
        </w:rPr>
      </w:pPr>
    </w:p>
    <w:p w14:paraId="25ED69C6" w14:textId="310164DB" w:rsidR="003C5BEF" w:rsidRPr="009E433E" w:rsidRDefault="003C5BEF" w:rsidP="003C5BEF">
      <w:pPr>
        <w:pStyle w:val="NormalWeb"/>
        <w:spacing w:before="0" w:beforeAutospacing="0" w:after="0" w:afterAutospacing="0"/>
        <w:rPr>
          <w:rFonts w:asciiTheme="minorHAnsi" w:hAnsiTheme="minorHAnsi"/>
          <w:sz w:val="22"/>
          <w:szCs w:val="22"/>
        </w:rPr>
      </w:pPr>
      <w:r w:rsidRPr="009E433E">
        <w:rPr>
          <w:rFonts w:asciiTheme="minorHAnsi" w:hAnsiTheme="minorHAnsi"/>
          <w:color w:val="000000"/>
          <w:sz w:val="22"/>
          <w:szCs w:val="22"/>
        </w:rPr>
        <w:t xml:space="preserve">Upstream emissions from biomass cultivation and land-use change, as well as </w:t>
      </w:r>
      <w:r w:rsidR="008C1B6B">
        <w:rPr>
          <w:rFonts w:asciiTheme="minorHAnsi" w:hAnsiTheme="minorHAnsi"/>
          <w:color w:val="000000"/>
          <w:sz w:val="22"/>
          <w:szCs w:val="22"/>
        </w:rPr>
        <w:t>embodied</w:t>
      </w:r>
      <w:r w:rsidR="008C1B6B" w:rsidRPr="009E433E">
        <w:rPr>
          <w:rFonts w:asciiTheme="minorHAnsi" w:hAnsiTheme="minorHAnsi"/>
          <w:color w:val="000000"/>
          <w:sz w:val="22"/>
          <w:szCs w:val="22"/>
        </w:rPr>
        <w:t xml:space="preserve"> </w:t>
      </w:r>
      <w:r w:rsidRPr="009E433E">
        <w:rPr>
          <w:rFonts w:asciiTheme="minorHAnsi" w:hAnsiTheme="minorHAnsi"/>
          <w:color w:val="000000"/>
          <w:sz w:val="22"/>
          <w:szCs w:val="22"/>
        </w:rPr>
        <w:t>emissions from facility construction and decommissioning, product distribution, end-of-life use, waste management, and market-mediated effects, are excluded to focus on process-level impacts and ensure comparability across scenarios. The resulting carbon footprint for each pathway is reported as the net sum of direct and indirect GHG emissions and removals associated with the included life cycle stages, facilitating a comparative assessment of net climate impacts across biomass conversion technologies.</w:t>
      </w:r>
    </w:p>
    <w:p w14:paraId="1F485098" w14:textId="77777777" w:rsidR="00994C73" w:rsidRPr="00994C73" w:rsidRDefault="00994C73" w:rsidP="00994C73">
      <w:pPr>
        <w:rPr>
          <w:rFonts w:asciiTheme="minorHAnsi" w:hAnsiTheme="minorHAnsi"/>
          <w:sz w:val="22"/>
          <w:szCs w:val="22"/>
        </w:rPr>
      </w:pPr>
    </w:p>
    <w:p w14:paraId="2CA4B78E" w14:textId="22CE93EB" w:rsidR="00B43D1C" w:rsidRPr="00B3127D" w:rsidRDefault="00B3127D" w:rsidP="00B43D1C">
      <w:pPr>
        <w:rPr>
          <w:rFonts w:asciiTheme="minorHAnsi" w:hAnsiTheme="minorHAnsi"/>
          <w:b/>
          <w:bCs/>
          <w:sz w:val="22"/>
          <w:szCs w:val="22"/>
        </w:rPr>
      </w:pPr>
      <w:r>
        <w:rPr>
          <w:rFonts w:asciiTheme="minorHAnsi" w:hAnsiTheme="minorHAnsi"/>
          <w:b/>
          <w:bCs/>
          <w:sz w:val="22"/>
          <w:szCs w:val="22"/>
        </w:rPr>
        <w:t>3.1 P</w:t>
      </w:r>
      <w:r w:rsidRPr="00B3127D">
        <w:rPr>
          <w:rFonts w:asciiTheme="minorHAnsi" w:hAnsiTheme="minorHAnsi"/>
          <w:b/>
          <w:bCs/>
          <w:sz w:val="22"/>
          <w:szCs w:val="22"/>
        </w:rPr>
        <w:t xml:space="preserve">rocess </w:t>
      </w:r>
      <w:r>
        <w:rPr>
          <w:rFonts w:asciiTheme="minorHAnsi" w:hAnsiTheme="minorHAnsi"/>
          <w:b/>
          <w:bCs/>
          <w:sz w:val="22"/>
          <w:szCs w:val="22"/>
        </w:rPr>
        <w:t>E</w:t>
      </w:r>
      <w:r w:rsidRPr="00B3127D">
        <w:rPr>
          <w:rFonts w:asciiTheme="minorHAnsi" w:hAnsiTheme="minorHAnsi"/>
          <w:b/>
          <w:bCs/>
          <w:sz w:val="22"/>
          <w:szCs w:val="22"/>
        </w:rPr>
        <w:t xml:space="preserve">missions </w:t>
      </w:r>
      <w:r>
        <w:rPr>
          <w:rFonts w:asciiTheme="minorHAnsi" w:hAnsiTheme="minorHAnsi"/>
          <w:b/>
          <w:bCs/>
          <w:sz w:val="22"/>
          <w:szCs w:val="22"/>
        </w:rPr>
        <w:t>A</w:t>
      </w:r>
      <w:r w:rsidRPr="00B3127D">
        <w:rPr>
          <w:rFonts w:asciiTheme="minorHAnsi" w:hAnsiTheme="minorHAnsi"/>
          <w:b/>
          <w:bCs/>
          <w:sz w:val="22"/>
          <w:szCs w:val="22"/>
        </w:rPr>
        <w:t xml:space="preserve">ssumptions </w:t>
      </w:r>
      <w:r>
        <w:rPr>
          <w:rFonts w:asciiTheme="minorHAnsi" w:hAnsiTheme="minorHAnsi"/>
          <w:b/>
          <w:bCs/>
          <w:sz w:val="22"/>
          <w:szCs w:val="22"/>
        </w:rPr>
        <w:t>B</w:t>
      </w:r>
      <w:r w:rsidRPr="00B3127D">
        <w:rPr>
          <w:rFonts w:asciiTheme="minorHAnsi" w:hAnsiTheme="minorHAnsi"/>
          <w:b/>
          <w:bCs/>
          <w:sz w:val="22"/>
          <w:szCs w:val="22"/>
        </w:rPr>
        <w:t xml:space="preserve">ased on </w:t>
      </w:r>
      <w:r>
        <w:rPr>
          <w:rFonts w:asciiTheme="minorHAnsi" w:hAnsiTheme="minorHAnsi"/>
          <w:b/>
          <w:bCs/>
          <w:sz w:val="22"/>
          <w:szCs w:val="22"/>
        </w:rPr>
        <w:t>P</w:t>
      </w:r>
      <w:r w:rsidRPr="00B3127D">
        <w:rPr>
          <w:rFonts w:asciiTheme="minorHAnsi" w:hAnsiTheme="minorHAnsi"/>
          <w:b/>
          <w:bCs/>
          <w:sz w:val="22"/>
          <w:szCs w:val="22"/>
        </w:rPr>
        <w:t>athway</w:t>
      </w:r>
      <w:r>
        <w:rPr>
          <w:rFonts w:asciiTheme="minorHAnsi" w:hAnsiTheme="minorHAnsi"/>
          <w:b/>
          <w:bCs/>
          <w:sz w:val="22"/>
          <w:szCs w:val="22"/>
        </w:rPr>
        <w:t>.</w:t>
      </w:r>
    </w:p>
    <w:p w14:paraId="54D8EBE0" w14:textId="77777777" w:rsidR="00B3127D" w:rsidRDefault="00B3127D" w:rsidP="00B43D1C">
      <w:pPr>
        <w:rPr>
          <w:rFonts w:asciiTheme="minorHAnsi" w:hAnsiTheme="minorHAnsi"/>
          <w:b/>
          <w:bCs/>
          <w:sz w:val="22"/>
          <w:szCs w:val="22"/>
        </w:rPr>
      </w:pPr>
    </w:p>
    <w:p w14:paraId="77B1D101" w14:textId="4E09A247" w:rsidR="00B3127D" w:rsidRPr="00B3127D" w:rsidRDefault="00B3127D" w:rsidP="00B43D1C">
      <w:pPr>
        <w:rPr>
          <w:rFonts w:asciiTheme="minorHAnsi" w:hAnsiTheme="minorHAnsi"/>
          <w:b/>
          <w:bCs/>
          <w:color w:val="000000"/>
          <w:sz w:val="22"/>
          <w:szCs w:val="22"/>
        </w:rPr>
      </w:pPr>
      <w:r w:rsidRPr="00B43D1C">
        <w:rPr>
          <w:rFonts w:asciiTheme="minorHAnsi" w:hAnsiTheme="minorHAnsi"/>
          <w:b/>
          <w:bCs/>
          <w:color w:val="000000"/>
          <w:sz w:val="22"/>
          <w:szCs w:val="22"/>
        </w:rPr>
        <w:t>Transport emissions (all pathways)</w:t>
      </w:r>
    </w:p>
    <w:p w14:paraId="32B88D3E" w14:textId="383D9ED9" w:rsidR="00B3127D" w:rsidRDefault="00B3127D" w:rsidP="00B43D1C">
      <w:pPr>
        <w:rPr>
          <w:rFonts w:asciiTheme="minorHAnsi" w:hAnsiTheme="minorHAnsi"/>
          <w:color w:val="000000"/>
          <w:sz w:val="22"/>
          <w:szCs w:val="22"/>
        </w:rPr>
      </w:pPr>
      <w:r w:rsidRPr="00B43D1C">
        <w:rPr>
          <w:rFonts w:asciiTheme="minorHAnsi" w:hAnsiTheme="minorHAnsi"/>
          <w:color w:val="000000"/>
          <w:sz w:val="22"/>
          <w:szCs w:val="22"/>
        </w:rPr>
        <w:t>Wood removal harvest emissions (roundwood production and roundwood harvest) from GREET model</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{"citationID":"x7zL39Xh","properties":{"formattedCitation":"\\super 9\\nosupersub{}","plainCitation":"9","noteIndex":0},"citationItems":[{"id":5121,"uris":["http://zotero.org/groups/5665801/items/YCV64W2V"],"itemData":{"id":5121,"type":"webpage","container-title":"Argonne National Laboratoory","title":"GREET model","URL":"https://greet.es.anl.gov","accessed":{"date-parts":[["2025",6,3]]},"issued":{"date-parts":[["2023"]]}}}],"schema":"https://github.com/citation-style-language/schema/raw/master/csl-citation.json"} </w:instrText>
      </w:r>
      <w:r>
        <w:rPr>
          <w:rFonts w:asciiTheme="minorHAnsi" w:hAnsiTheme="minorHAnsi"/>
          <w:color w:val="000000"/>
          <w:sz w:val="22"/>
          <w:szCs w:val="22"/>
        </w:rPr>
        <w:fldChar w:fldCharType="separate"/>
      </w:r>
      <w:r w:rsidRPr="00B47BE5">
        <w:rPr>
          <w:rFonts w:ascii="Aptos" w:eastAsiaTheme="minorHAnsi" w:hAnsiTheme="minorHAnsi"/>
          <w:color w:val="000000"/>
          <w:sz w:val="22"/>
          <w:vertAlign w:val="superscript"/>
          <w14:ligatures w14:val="standardContextual"/>
        </w:rPr>
        <w:t>9</w:t>
      </w:r>
      <w:r>
        <w:rPr>
          <w:rFonts w:asciiTheme="minorHAnsi" w:hAnsiTheme="minorHAnsi"/>
          <w:color w:val="000000"/>
          <w:sz w:val="22"/>
          <w:szCs w:val="22"/>
        </w:rPr>
        <w:fldChar w:fldCharType="end"/>
      </w:r>
      <w:r>
        <w:rPr>
          <w:rFonts w:asciiTheme="minorHAnsi" w:hAnsiTheme="minorHAnsi"/>
          <w:color w:val="000000"/>
          <w:sz w:val="22"/>
          <w:szCs w:val="22"/>
        </w:rPr>
        <w:t xml:space="preserve">. </w:t>
      </w:r>
      <w:r w:rsidRPr="00B43D1C">
        <w:rPr>
          <w:rFonts w:asciiTheme="minorHAnsi" w:hAnsiTheme="minorHAnsi"/>
          <w:color w:val="000000"/>
          <w:sz w:val="22"/>
          <w:szCs w:val="22"/>
        </w:rPr>
        <w:t>Wood removal transport emissions via Class 8 HHD diesel truck/trailer, 100-mile round trip</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{"citationID":"zctkVYPm","properties":{"formattedCitation":"\\super 10\\nosupersub{}","plainCitation":"10","noteIndex":0},"citationItems":[{"id":5124,"uris":["http://zotero.org/groups/5665801/items/A3C3HAN5"],"itemData":{"id":5124,"type":"document","title":"Greenhouse Gas Emissions and Fuel Efficiency Standards for Medium- and Heavy-Duty Engines and Vehicles.","URL":"https://www.nhtsa.gov/fuel-economy","author":[{"family":"U.S. EPA &amp; NHTSA","given":""}],"issued":{"date-parts":[["2016",8]]}}}],"schema":"https://github.com/citation-style-language/schema/raw/master/csl-citation.json"} </w:instrText>
      </w:r>
      <w:r>
        <w:rPr>
          <w:rFonts w:asciiTheme="minorHAnsi" w:hAnsiTheme="minorHAnsi"/>
          <w:color w:val="000000"/>
          <w:sz w:val="22"/>
          <w:szCs w:val="22"/>
        </w:rPr>
        <w:fldChar w:fldCharType="separate"/>
      </w:r>
      <w:r w:rsidRPr="0056061B">
        <w:rPr>
          <w:rFonts w:ascii="Aptos" w:eastAsiaTheme="minorHAnsi" w:hAnsiTheme="minorHAnsi"/>
          <w:color w:val="000000"/>
          <w:sz w:val="22"/>
          <w:vertAlign w:val="superscript"/>
          <w14:ligatures w14:val="standardContextual"/>
        </w:rPr>
        <w:t>10</w:t>
      </w:r>
      <w:r>
        <w:rPr>
          <w:rFonts w:asciiTheme="minorHAnsi" w:hAnsiTheme="minorHAnsi"/>
          <w:color w:val="000000"/>
          <w:sz w:val="22"/>
          <w:szCs w:val="22"/>
        </w:rPr>
        <w:fldChar w:fldCharType="end"/>
      </w:r>
      <w:r>
        <w:rPr>
          <w:rFonts w:asciiTheme="minorHAnsi" w:hAnsiTheme="minorHAnsi"/>
          <w:color w:val="000000"/>
          <w:sz w:val="22"/>
          <w:szCs w:val="22"/>
        </w:rPr>
        <w:t>.</w:t>
      </w:r>
    </w:p>
    <w:p w14:paraId="74227BB6" w14:textId="77777777" w:rsidR="00B3127D" w:rsidRDefault="00B3127D" w:rsidP="00B43D1C">
      <w:pPr>
        <w:rPr>
          <w:rFonts w:asciiTheme="minorHAnsi" w:hAnsiTheme="minorHAnsi"/>
          <w:color w:val="000000"/>
          <w:sz w:val="22"/>
          <w:szCs w:val="22"/>
        </w:rPr>
      </w:pPr>
    </w:p>
    <w:p w14:paraId="6E93AC73" w14:textId="324BB12A" w:rsidR="00B3127D" w:rsidRPr="00B3127D" w:rsidRDefault="00B3127D" w:rsidP="00B43D1C">
      <w:pPr>
        <w:rPr>
          <w:rFonts w:asciiTheme="minorHAnsi" w:hAnsiTheme="minorHAnsi"/>
          <w:b/>
          <w:bCs/>
          <w:color w:val="000000"/>
          <w:sz w:val="22"/>
          <w:szCs w:val="22"/>
        </w:rPr>
      </w:pPr>
      <w:r w:rsidRPr="00B43D1C">
        <w:rPr>
          <w:rFonts w:asciiTheme="minorHAnsi" w:hAnsiTheme="minorHAnsi"/>
          <w:b/>
          <w:bCs/>
          <w:color w:val="000000"/>
          <w:sz w:val="22"/>
          <w:szCs w:val="22"/>
        </w:rPr>
        <w:t>Wood processing emissions (all pathways)</w:t>
      </w:r>
    </w:p>
    <w:p w14:paraId="3259ABE6" w14:textId="13D1D3E5" w:rsidR="00B3127D" w:rsidRDefault="00B3127D" w:rsidP="00B43D1C">
      <w:pPr>
        <w:rPr>
          <w:rFonts w:asciiTheme="minorHAnsi" w:hAnsiTheme="minorHAnsi"/>
          <w:color w:val="000000"/>
          <w:sz w:val="22"/>
          <w:szCs w:val="22"/>
        </w:rPr>
      </w:pPr>
      <w:r w:rsidRPr="00B43D1C">
        <w:rPr>
          <w:rFonts w:asciiTheme="minorHAnsi" w:hAnsiTheme="minorHAnsi"/>
          <w:color w:val="000000"/>
          <w:sz w:val="22"/>
          <w:szCs w:val="22"/>
        </w:rPr>
        <w:t>Biomass chipping before production</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{"citationID":"z93SYSDW","properties":{"formattedCitation":"\\super 11\\nosupersub{}","plainCitation":"11","noteIndex":0},"citationItems":[{"id":5126,"uris":["http://zotero.org/groups/5665801/items/UGILWI24"],"itemData":{"id":5126,"type":"article-journal","abstract":"Nowadays, much attention is being paid to so-called Negative Emissions Technologies (NETs), designed to remove carbon dioxide from the atmosphere and keep global temperature rise below 1.5 ◦C. The deployment of NETs can trigger environmental impacts, which can be addressed through the lens of Life Cycle Assessment (LCA). According to the literature, there are several drawbacks when NETs are assessed under the life cycle framework. In this sense, this study aims at contributing to the literature by assessing a NET in a manner that the existing drawbacks are overcome. For such purpose, dynamic LCA and land-water-energy nexus were applied to a Bioenergy with Carbon Capture and Storage system (BECCS). The results show that harnessing residual forest biomass for electricity generation and carbon storage accomplished a great positive climate performance. In line with European climate goals, climate change impact resulted in 2.49E+04 kg CO2eq/MWhe and 3.40E+04 kg CO2eq/t Cstored at year 20. However, the BECCS system analyzed comes at the expense of impacting land, water and energy that cannot be overlooked. The land impact was 3.57E+05Pt/t Cstored and 2.61 E+05Pt/MWhe, green water impact was 11.1 m3/t Cstored and 8.16 m3/MWhe, and the Energy Return on Energy Investment (EROI) was 3.34. The sensitive analysis indicates that special attention should be paid to the efficiency of the system since it directly impacts on land, water and energy (EROI). Finally, this study contributes to increasing the knowledge on NETs, thus supporting climate-energy policymaking.","container-title":"Energy Conversion and Management","DOI":"10.1016/j.enconman.2022.116014","ISSN":"01968904","journalAbbreviation":"Energy Conversion and Management","language":"en","page":"116014","source":"DOI.org (Crossref)","title":"Assessing a bio-energy system with carbon capture and storage (BECCS) through dynamic life cycle assessment and land-water-energy nexus","volume":"268","author":[{"family":"Briones-Hidrovo","given":"Andrei"},{"family":"Copa Rey","given":"José Ramón"},{"family":"Cláudia Dias","given":"Ana"},{"family":"Tarelho","given":"Luís A.C."},{"family":"Beauchet","given":"Sandra"}],"issued":{"date-parts":[["2022",9]]}}}],"schema":"https://github.com/citation-style-language/schema/raw/master/csl-citation.json"} </w:instrText>
      </w:r>
      <w:r>
        <w:rPr>
          <w:rFonts w:asciiTheme="minorHAnsi" w:hAnsiTheme="minorHAnsi"/>
          <w:color w:val="000000"/>
          <w:sz w:val="22"/>
          <w:szCs w:val="22"/>
        </w:rPr>
        <w:fldChar w:fldCharType="separate"/>
      </w:r>
      <w:r w:rsidRPr="0056061B">
        <w:rPr>
          <w:rFonts w:ascii="Aptos" w:eastAsiaTheme="minorHAnsi" w:hAnsiTheme="minorHAnsi"/>
          <w:color w:val="000000"/>
          <w:sz w:val="22"/>
          <w:vertAlign w:val="superscript"/>
          <w14:ligatures w14:val="standardContextual"/>
        </w:rPr>
        <w:t>11</w:t>
      </w:r>
      <w:r>
        <w:rPr>
          <w:rFonts w:asciiTheme="minorHAnsi" w:hAnsiTheme="minorHAnsi"/>
          <w:color w:val="000000"/>
          <w:sz w:val="22"/>
          <w:szCs w:val="22"/>
        </w:rPr>
        <w:fldChar w:fldCharType="end"/>
      </w:r>
      <w:r>
        <w:rPr>
          <w:rFonts w:asciiTheme="minorHAnsi" w:hAnsiTheme="minorHAnsi"/>
          <w:color w:val="000000"/>
          <w:sz w:val="22"/>
          <w:szCs w:val="22"/>
        </w:rPr>
        <w:t>.</w:t>
      </w:r>
      <w:r w:rsidRPr="00B43D1C">
        <w:rPr>
          <w:rFonts w:asciiTheme="minorHAnsi" w:hAnsiTheme="minorHAnsi"/>
          <w:color w:val="000000"/>
          <w:sz w:val="22"/>
          <w:szCs w:val="22"/>
        </w:rPr>
        <w:t> </w:t>
      </w:r>
    </w:p>
    <w:p w14:paraId="44DD0095" w14:textId="77777777" w:rsidR="00B3127D" w:rsidRDefault="00B3127D" w:rsidP="00B43D1C">
      <w:pPr>
        <w:rPr>
          <w:rFonts w:asciiTheme="minorHAnsi" w:hAnsiTheme="minorHAnsi"/>
          <w:color w:val="000000"/>
          <w:sz w:val="22"/>
          <w:szCs w:val="22"/>
        </w:rPr>
      </w:pPr>
    </w:p>
    <w:p w14:paraId="0386E184" w14:textId="5FF5490D" w:rsidR="00B3127D" w:rsidRPr="00B3127D" w:rsidRDefault="00B3127D" w:rsidP="00B43D1C">
      <w:pPr>
        <w:rPr>
          <w:rFonts w:asciiTheme="minorHAnsi" w:hAnsiTheme="minorHAnsi"/>
          <w:b/>
          <w:bCs/>
          <w:color w:val="000000"/>
          <w:sz w:val="22"/>
          <w:szCs w:val="22"/>
        </w:rPr>
      </w:pPr>
      <w:r w:rsidRPr="00B43D1C">
        <w:rPr>
          <w:rFonts w:asciiTheme="minorHAnsi" w:hAnsiTheme="minorHAnsi"/>
          <w:b/>
          <w:bCs/>
          <w:color w:val="000000"/>
          <w:sz w:val="22"/>
          <w:szCs w:val="22"/>
        </w:rPr>
        <w:t>Biopower + CCS</w:t>
      </w:r>
    </w:p>
    <w:p w14:paraId="0BAA866B" w14:textId="77777777" w:rsidR="00B3127D" w:rsidRPr="00B43D1C" w:rsidRDefault="00B3127D" w:rsidP="00B3127D">
      <w:pPr>
        <w:rPr>
          <w:rFonts w:asciiTheme="minorHAnsi" w:hAnsiTheme="minorHAnsi"/>
          <w:sz w:val="22"/>
          <w:szCs w:val="22"/>
        </w:rPr>
      </w:pPr>
      <w:r w:rsidRPr="00B43D1C">
        <w:rPr>
          <w:rFonts w:asciiTheme="minorHAnsi" w:hAnsiTheme="minorHAnsi"/>
          <w:color w:val="000000"/>
          <w:sz w:val="22"/>
          <w:szCs w:val="22"/>
        </w:rPr>
        <w:t>New build biopower plant. Biomass conversion to energy through combustion to produce electricity and heat. </w:t>
      </w:r>
    </w:p>
    <w:p w14:paraId="27F360C2" w14:textId="77777777" w:rsidR="00B3127D" w:rsidRPr="00B43D1C" w:rsidRDefault="00B3127D" w:rsidP="00B3127D">
      <w:pPr>
        <w:rPr>
          <w:rFonts w:asciiTheme="minorHAnsi" w:hAnsiTheme="minorHAnsi"/>
          <w:sz w:val="22"/>
          <w:szCs w:val="22"/>
        </w:rPr>
      </w:pPr>
    </w:p>
    <w:p w14:paraId="07CA0D0A" w14:textId="3ED3BA8F" w:rsidR="00B3127D" w:rsidRDefault="00B3127D" w:rsidP="00B3127D">
      <w:pPr>
        <w:rPr>
          <w:rFonts w:asciiTheme="minorHAnsi" w:hAnsiTheme="minorHAnsi"/>
          <w:color w:val="000000"/>
          <w:sz w:val="22"/>
          <w:szCs w:val="22"/>
        </w:rPr>
      </w:pPr>
      <w:r w:rsidRPr="00B43D1C">
        <w:rPr>
          <w:rFonts w:asciiTheme="minorHAnsi" w:hAnsiTheme="minorHAnsi"/>
          <w:color w:val="000000"/>
          <w:sz w:val="22"/>
          <w:szCs w:val="22"/>
        </w:rPr>
        <w:t>Includes emissions from energy consumption (natural gas) from plant operations, pre-processing (drying), 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capture, compression, transportation, and storage. Electricity generation of 44.39 GWh/year. The plant has post-combustion absorption using </w:t>
      </w:r>
      <w:proofErr w:type="spellStart"/>
      <w:r w:rsidRPr="00B43D1C">
        <w:rPr>
          <w:rFonts w:asciiTheme="minorHAnsi" w:hAnsiTheme="minorHAnsi"/>
          <w:color w:val="000000"/>
          <w:sz w:val="22"/>
          <w:szCs w:val="22"/>
        </w:rPr>
        <w:t>monoethanolamine</w:t>
      </w:r>
      <w:proofErr w:type="spellEnd"/>
      <w:r w:rsidRPr="00B43D1C">
        <w:rPr>
          <w:rFonts w:asciiTheme="minorHAnsi" w:hAnsiTheme="minorHAnsi"/>
          <w:color w:val="000000"/>
          <w:sz w:val="22"/>
          <w:szCs w:val="22"/>
        </w:rPr>
        <w:t>. 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storage is 70 km away in a saline aquifer, transported via pipeline</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{"citationID":"R910hIiq","properties":{"formattedCitation":"\\super 11\\nosupersub{}","plainCitation":"11","noteIndex":0},"citationItems":[{"id":5126,"uris":["http://zotero.org/groups/5665801/items/UGILWI24"],"itemData":{"id":5126,"type":"article-journal","abstract":"Nowadays, much attention is being paid to so-called Negative Emissions Technologies (NETs), designed to remove carbon dioxide from the atmosphere and keep global temperature rise below 1.5 ◦C. The deployment of NETs can trigger environmental impacts, which can be addressed through the lens of Life Cycle Assessment (LCA). According to the literature, there are several drawbacks when NETs are assessed under the life cycle framework. In this sense, this study aims at contributing to the literature by assessing a NET in a manner that the existing drawbacks are overcome. For such purpose, dynamic LCA and land-water-energy nexus were applied to a Bioenergy with Carbon Capture and Storage system (BECCS). The results show that harnessing residual forest biomass for electricity generation and carbon storage accomplished a great positive climate performance. In line with European climate goals, climate change impact resulted in 2.49E+04 kg CO2eq/MWhe and 3.40E+04 kg CO2eq/t Cstored at year 20. However, the BECCS system analyzed comes at the expense of impacting land, water and energy that cannot be overlooked. The land impact was 3.57E+05Pt/t Cstored and 2.61 E+05Pt/MWhe, green water impact was 11.1 m3/t Cstored and 8.16 m3/MWhe, and the Energy Return on Energy Investment (EROI) was 3.34. The sensitive analysis indicates that special attention should be paid to the efficiency of the system since it directly impacts on land, water and energy (EROI). Finally, this study contributes to increasing the knowledge on NETs, thus supporting climate-energy policymaking.","container-title":"Energy Conversion and Management","DOI":"10.1016/j.enconman.2022.116014","ISSN":"01968904","journalAbbreviation":"Energy Conversion and Management","language":"en","page":"116014","source":"DOI.org (Crossref)","title":"Assessing a bio-energy system with carbon capture and storage (BECCS) through dynamic life cycle assessment and land-water-energy nexus","volume":"268","author":[{"family":"Briones-Hidrovo","given":"Andrei"},{"family":"Copa Rey","given":"José Ramón"},{"family":"Cláudia Dias","given":"Ana"},{"family":"Tarelho","given":"Luís A.C."},{"family":"Beauchet","given":"Sandra"}],"issued":{"date-parts":[["2022",9]]}}}],"schema":"https://github.com/citation-style-language/schema/raw/master/csl-citation.json"} </w:instrText>
      </w:r>
      <w:r>
        <w:rPr>
          <w:rFonts w:asciiTheme="minorHAnsi" w:hAnsiTheme="minorHAnsi"/>
          <w:color w:val="000000"/>
          <w:sz w:val="22"/>
          <w:szCs w:val="22"/>
        </w:rPr>
        <w:fldChar w:fldCharType="separate"/>
      </w:r>
      <w:r w:rsidRPr="0056061B">
        <w:rPr>
          <w:rFonts w:ascii="Aptos" w:eastAsiaTheme="minorHAnsi" w:hAnsiTheme="minorHAnsi"/>
          <w:color w:val="000000"/>
          <w:sz w:val="22"/>
          <w:vertAlign w:val="superscript"/>
          <w14:ligatures w14:val="standardContextual"/>
        </w:rPr>
        <w:t>11</w:t>
      </w:r>
      <w:r>
        <w:rPr>
          <w:rFonts w:asciiTheme="minorHAnsi" w:hAnsiTheme="minorHAnsi"/>
          <w:color w:val="000000"/>
          <w:sz w:val="22"/>
          <w:szCs w:val="22"/>
        </w:rPr>
        <w:fldChar w:fldCharType="end"/>
      </w:r>
      <w:r>
        <w:rPr>
          <w:rFonts w:asciiTheme="minorHAnsi" w:hAnsiTheme="minorHAnsi"/>
          <w:color w:val="000000"/>
          <w:sz w:val="22"/>
          <w:szCs w:val="22"/>
        </w:rPr>
        <w:t>.</w:t>
      </w:r>
      <w:r w:rsidRPr="00B43D1C">
        <w:rPr>
          <w:rFonts w:asciiTheme="minorHAnsi" w:hAnsiTheme="minorHAnsi"/>
          <w:color w:val="000000"/>
          <w:sz w:val="22"/>
          <w:szCs w:val="22"/>
        </w:rPr>
        <w:t> </w:t>
      </w:r>
    </w:p>
    <w:p w14:paraId="63FF31B6" w14:textId="77777777" w:rsidR="00B3127D" w:rsidRDefault="00B3127D" w:rsidP="00B3127D">
      <w:pPr>
        <w:rPr>
          <w:rFonts w:asciiTheme="minorHAnsi" w:hAnsiTheme="minorHAnsi"/>
          <w:color w:val="000000"/>
          <w:sz w:val="22"/>
          <w:szCs w:val="22"/>
        </w:rPr>
      </w:pPr>
    </w:p>
    <w:p w14:paraId="68987146" w14:textId="3B3E85D6" w:rsidR="00B3127D" w:rsidRPr="00B3127D" w:rsidRDefault="00B3127D" w:rsidP="00B3127D">
      <w:pPr>
        <w:rPr>
          <w:rFonts w:asciiTheme="minorHAnsi" w:hAnsiTheme="minorHAnsi"/>
          <w:b/>
          <w:bCs/>
          <w:color w:val="000000"/>
          <w:sz w:val="22"/>
          <w:szCs w:val="22"/>
        </w:rPr>
      </w:pPr>
      <w:r w:rsidRPr="00B43D1C">
        <w:rPr>
          <w:rFonts w:asciiTheme="minorHAnsi" w:hAnsiTheme="minorHAnsi"/>
          <w:b/>
          <w:bCs/>
          <w:color w:val="000000"/>
          <w:sz w:val="22"/>
          <w:szCs w:val="22"/>
        </w:rPr>
        <w:t>Methanol + CCS</w:t>
      </w:r>
    </w:p>
    <w:p w14:paraId="0D8C8712" w14:textId="503300E8" w:rsidR="00B3127D" w:rsidRPr="007414D2" w:rsidRDefault="00B3127D" w:rsidP="00B3127D">
      <w:pPr>
        <w:rPr>
          <w:rFonts w:asciiTheme="minorHAnsi" w:hAnsiTheme="minorHAnsi"/>
          <w:sz w:val="22"/>
          <w:szCs w:val="22"/>
        </w:rPr>
      </w:pPr>
      <w:r w:rsidRPr="00B43D1C">
        <w:rPr>
          <w:rFonts w:asciiTheme="minorHAnsi" w:hAnsiTheme="minorHAnsi"/>
          <w:color w:val="000000"/>
          <w:sz w:val="22"/>
          <w:szCs w:val="22"/>
        </w:rPr>
        <w:t>Biomass conversion to methanol via gasification. Includes emissions from energy consumption from plant gasification operations, pre-processing (drying), syngas cleaning and conditioning, methanol synthesis, refining, and purification</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{"citationID":"nly62gYp","properties":{"formattedCitation":"\\super 12\\nosupersub{}","plainCitation":"12","noteIndex":0},"citationItems":[{"id":5128,"uris":["http://zotero.org/groups/5665801/items/6LPS7YIS"],"itemData":{"id":5128,"type":"article-journal","container-title":"Chemical Engineering Transactions","DOI":"10.3303/CET2186112","language":"en","page":"667–672","source":"DOI.org (CSL JSON)","title":"Life Cycle Assessment of Bio-methanol Derived from Various Raw-materials","volume":"86","author":[{"literal":"Galusnyak Stefan C."},{"literal":"Petrescu Letitia"},{"literal":"Chisalita Dora A."},{"literal":"Cormos Calin-Cristian"}],"issued":{"date-parts":[["2021",6]]}}}],"schema":"https://github.com/citation-style-language/schema/raw/master/csl-citation.json"} </w:instrText>
      </w:r>
      <w:r>
        <w:rPr>
          <w:rFonts w:asciiTheme="minorHAnsi" w:hAnsiTheme="minorHAnsi"/>
          <w:color w:val="000000"/>
          <w:sz w:val="22"/>
          <w:szCs w:val="22"/>
        </w:rPr>
        <w:fldChar w:fldCharType="separate"/>
      </w:r>
      <w:r w:rsidRPr="0056061B">
        <w:rPr>
          <w:rFonts w:ascii="Aptos" w:eastAsiaTheme="minorHAnsi" w:hAnsiTheme="minorHAnsi"/>
          <w:color w:val="000000"/>
          <w:sz w:val="22"/>
          <w:vertAlign w:val="superscript"/>
          <w14:ligatures w14:val="standardContextual"/>
        </w:rPr>
        <w:t>12</w:t>
      </w:r>
      <w:r>
        <w:rPr>
          <w:rFonts w:asciiTheme="minorHAnsi" w:hAnsiTheme="minorHAnsi"/>
          <w:color w:val="000000"/>
          <w:sz w:val="22"/>
          <w:szCs w:val="22"/>
        </w:rPr>
        <w:fldChar w:fldCharType="end"/>
      </w:r>
      <w:r>
        <w:rPr>
          <w:rFonts w:asciiTheme="minorHAnsi" w:hAnsiTheme="minorHAnsi"/>
          <w:color w:val="000000"/>
          <w:sz w:val="22"/>
          <w:szCs w:val="22"/>
        </w:rPr>
        <w:t>.</w:t>
      </w:r>
    </w:p>
    <w:p w14:paraId="2219BF7F" w14:textId="77777777" w:rsidR="00B3127D" w:rsidRPr="00B3127D" w:rsidRDefault="00B3127D" w:rsidP="00B3127D">
      <w:pPr>
        <w:rPr>
          <w:rFonts w:asciiTheme="minorHAnsi" w:hAnsiTheme="minorHAnsi"/>
          <w:b/>
          <w:bCs/>
          <w:color w:val="000000"/>
          <w:sz w:val="22"/>
          <w:szCs w:val="22"/>
        </w:rPr>
      </w:pPr>
    </w:p>
    <w:p w14:paraId="599BD802" w14:textId="24DDA0C6" w:rsidR="00B3127D" w:rsidRPr="00B3127D" w:rsidRDefault="00B3127D" w:rsidP="00B43D1C">
      <w:pPr>
        <w:rPr>
          <w:rFonts w:asciiTheme="minorHAnsi" w:hAnsiTheme="minorHAnsi"/>
          <w:b/>
          <w:bCs/>
          <w:color w:val="000000"/>
          <w:sz w:val="22"/>
          <w:szCs w:val="22"/>
        </w:rPr>
      </w:pPr>
      <w:r w:rsidRPr="00B43D1C">
        <w:rPr>
          <w:rFonts w:asciiTheme="minorHAnsi" w:hAnsiTheme="minorHAnsi"/>
          <w:b/>
          <w:bCs/>
          <w:color w:val="000000"/>
          <w:sz w:val="22"/>
          <w:szCs w:val="22"/>
        </w:rPr>
        <w:t>E-methanol</w:t>
      </w:r>
    </w:p>
    <w:p w14:paraId="6BA1170E" w14:textId="77777777" w:rsidR="00B3127D" w:rsidRPr="00B43D1C" w:rsidRDefault="00B3127D" w:rsidP="00B3127D">
      <w:pPr>
        <w:rPr>
          <w:rFonts w:asciiTheme="minorHAnsi" w:hAnsiTheme="minorHAnsi"/>
          <w:sz w:val="22"/>
          <w:szCs w:val="22"/>
        </w:rPr>
      </w:pPr>
      <w:r w:rsidRPr="00B43D1C">
        <w:rPr>
          <w:rFonts w:asciiTheme="minorHAnsi" w:hAnsiTheme="minorHAnsi"/>
          <w:color w:val="000000"/>
          <w:sz w:val="22"/>
          <w:szCs w:val="22"/>
        </w:rPr>
        <w:t>Biomass is combusted to generate electricity, which is then used to produce green hydrogen via electrolysis, combined with captured 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to synthesize methanol. Results in a closed carbon loop </w:t>
      </w:r>
      <w:r w:rsidRPr="00B43D1C">
        <w:rPr>
          <w:rFonts w:asciiTheme="minorHAnsi" w:hAnsiTheme="minorHAnsi"/>
          <w:color w:val="000000"/>
          <w:sz w:val="22"/>
          <w:szCs w:val="22"/>
        </w:rPr>
        <w:lastRenderedPageBreak/>
        <w:t>using biogenic 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and renewable electricity. Assume the same biopower plant as above, but without transportation and storage - just capture</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{"citationID":"Wc5oj3kY","properties":{"formattedCitation":"\\super 11\\nosupersub{}","plainCitation":"11","noteIndex":0},"citationItems":[{"id":5126,"uris":["http://zotero.org/groups/5665801/items/UGILWI24"],"itemData":{"id":5126,"type":"article-journal","abstract":"Nowadays, much attention is being paid to so-called Negative Emissions Technologies (NETs), designed to remove carbon dioxide from the atmosphere and keep global temperature rise below 1.5 ◦C. The deployment of NETs can trigger environmental impacts, which can be addressed through the lens of Life Cycle Assessment (LCA). According to the literature, there are several drawbacks when NETs are assessed under the life cycle framework. In this sense, this study aims at contributing to the literature by assessing a NET in a manner that the existing drawbacks are overcome. For such purpose, dynamic LCA and land-water-energy nexus were applied to a Bioenergy with Carbon Capture and Storage system (BECCS). The results show that harnessing residual forest biomass for electricity generation and carbon storage accomplished a great positive climate performance. In line with European climate goals, climate change impact resulted in 2.49E+04 kg CO2eq/MWhe and 3.40E+04 kg CO2eq/t Cstored at year 20. However, the BECCS system analyzed comes at the expense of impacting land, water and energy that cannot be overlooked. The land impact was 3.57E+05Pt/t Cstored and 2.61 E+05Pt/MWhe, green water impact was 11.1 m3/t Cstored and 8.16 m3/MWhe, and the Energy Return on Energy Investment (EROI) was 3.34. The sensitive analysis indicates that special attention should be paid to the efficiency of the system since it directly impacts on land, water and energy (EROI). Finally, this study contributes to increasing the knowledge on NETs, thus supporting climate-energy policymaking.","container-title":"Energy Conversion and Management","DOI":"10.1016/j.enconman.2022.116014","ISSN":"01968904","journalAbbreviation":"Energy Conversion and Management","language":"en","page":"116014","source":"DOI.org (Crossref)","title":"Assessing a bio-energy system with carbon capture and storage (BECCS) through dynamic life cycle assessment and land-water-energy nexus","volume":"268","author":[{"family":"Briones-Hidrovo","given":"Andrei"},{"family":"Copa Rey","given":"José Ramón"},{"family":"Cláudia Dias","given":"Ana"},{"family":"Tarelho","given":"Luís A.C."},{"family":"Beauchet","given":"Sandra"}],"issued":{"date-parts":[["2022",9]]}}}],"schema":"https://github.com/citation-style-language/schema/raw/master/csl-citation.json"} </w:instrText>
      </w:r>
      <w:r>
        <w:rPr>
          <w:rFonts w:asciiTheme="minorHAnsi" w:hAnsiTheme="minorHAnsi"/>
          <w:color w:val="000000"/>
          <w:sz w:val="22"/>
          <w:szCs w:val="22"/>
        </w:rPr>
        <w:fldChar w:fldCharType="separate"/>
      </w:r>
      <w:r w:rsidRPr="0056061B">
        <w:rPr>
          <w:rFonts w:ascii="Aptos" w:eastAsiaTheme="minorHAnsi" w:hAnsiTheme="minorHAnsi"/>
          <w:color w:val="000000"/>
          <w:sz w:val="22"/>
          <w:vertAlign w:val="superscript"/>
          <w14:ligatures w14:val="standardContextual"/>
        </w:rPr>
        <w:t>11</w:t>
      </w:r>
      <w:r>
        <w:rPr>
          <w:rFonts w:asciiTheme="minorHAnsi" w:hAnsiTheme="minorHAnsi"/>
          <w:color w:val="000000"/>
          <w:sz w:val="22"/>
          <w:szCs w:val="22"/>
        </w:rPr>
        <w:fldChar w:fldCharType="end"/>
      </w:r>
      <w:r>
        <w:rPr>
          <w:rFonts w:asciiTheme="minorHAnsi" w:hAnsiTheme="minorHAnsi"/>
          <w:color w:val="000000"/>
          <w:sz w:val="22"/>
          <w:szCs w:val="22"/>
        </w:rPr>
        <w:t>.</w:t>
      </w:r>
      <w:r w:rsidRPr="00B43D1C">
        <w:rPr>
          <w:rFonts w:asciiTheme="minorHAnsi" w:hAnsiTheme="minorHAnsi"/>
          <w:color w:val="000000"/>
          <w:sz w:val="22"/>
          <w:szCs w:val="22"/>
        </w:rPr>
        <w:t> </w:t>
      </w:r>
    </w:p>
    <w:p w14:paraId="1DFE6A40" w14:textId="77777777" w:rsidR="00B3127D" w:rsidRPr="00B43D1C" w:rsidRDefault="00B3127D" w:rsidP="00B3127D">
      <w:pPr>
        <w:rPr>
          <w:rFonts w:asciiTheme="minorHAnsi" w:hAnsiTheme="minorHAnsi"/>
          <w:sz w:val="22"/>
          <w:szCs w:val="22"/>
        </w:rPr>
      </w:pPr>
    </w:p>
    <w:p w14:paraId="36E571A0" w14:textId="443EDDF6" w:rsidR="00B3127D" w:rsidRDefault="00B3127D" w:rsidP="00B3127D">
      <w:pPr>
        <w:rPr>
          <w:rFonts w:asciiTheme="minorHAnsi" w:hAnsiTheme="minorHAnsi"/>
          <w:color w:val="000000"/>
          <w:sz w:val="22"/>
          <w:szCs w:val="22"/>
        </w:rPr>
      </w:pPr>
      <w:r w:rsidRPr="00B43D1C">
        <w:rPr>
          <w:rFonts w:asciiTheme="minorHAnsi" w:hAnsiTheme="minorHAnsi"/>
          <w:color w:val="000000"/>
          <w:sz w:val="22"/>
          <w:szCs w:val="22"/>
        </w:rPr>
        <w:t>Includes emissions from pre-processing (drying),  electricity production for methanol, limestone extraction, limestone decomposition, waste water treatment, magnesium carbonate disposal, silica dioxide disposal, alumina disposal, and iron fraction disposal</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{"citationID":"hKmNXkTh","properties":{"formattedCitation":"\\super 12\\nosupersub{}","plainCitation":"12","noteIndex":0},"citationItems":[{"id":5128,"uris":["http://zotero.org/groups/5665801/items/6LPS7YIS"],"itemData":{"id":5128,"type":"article-journal","container-title":"Chemical Engineering Transactions","DOI":"10.3303/CET2186112","language":"en","page":"667–672","source":"DOI.org (CSL JSON)","title":"Life Cycle Assessment of Bio-methanol Derived from Various Raw-materials","volume":"86","author":[{"literal":"Galusnyak Stefan C."},{"literal":"Petrescu Letitia"},{"literal":"Chisalita Dora A."},{"literal":"Cormos Calin-Cristian"}],"issued":{"date-parts":[["2021",6]]}}}],"schema":"https://github.com/citation-style-language/schema/raw/master/csl-citation.json"} </w:instrText>
      </w:r>
      <w:r>
        <w:rPr>
          <w:rFonts w:asciiTheme="minorHAnsi" w:hAnsiTheme="minorHAnsi"/>
          <w:color w:val="000000"/>
          <w:sz w:val="22"/>
          <w:szCs w:val="22"/>
        </w:rPr>
        <w:fldChar w:fldCharType="separate"/>
      </w:r>
      <w:r w:rsidRPr="0056061B">
        <w:rPr>
          <w:rFonts w:ascii="Aptos" w:eastAsiaTheme="minorHAnsi" w:hAnsiTheme="minorHAnsi"/>
          <w:color w:val="000000"/>
          <w:sz w:val="22"/>
          <w:vertAlign w:val="superscript"/>
          <w14:ligatures w14:val="standardContextual"/>
        </w:rPr>
        <w:t>12</w:t>
      </w:r>
      <w:r>
        <w:rPr>
          <w:rFonts w:asciiTheme="minorHAnsi" w:hAnsiTheme="minorHAnsi"/>
          <w:color w:val="000000"/>
          <w:sz w:val="22"/>
          <w:szCs w:val="22"/>
        </w:rPr>
        <w:fldChar w:fldCharType="end"/>
      </w:r>
      <w:r>
        <w:rPr>
          <w:rFonts w:asciiTheme="minorHAnsi" w:hAnsiTheme="minorHAnsi"/>
          <w:color w:val="000000"/>
          <w:sz w:val="22"/>
          <w:szCs w:val="22"/>
        </w:rPr>
        <w:t>.</w:t>
      </w:r>
    </w:p>
    <w:p w14:paraId="5A34F759" w14:textId="77777777" w:rsidR="00B3127D" w:rsidRDefault="00B3127D" w:rsidP="00B3127D">
      <w:pPr>
        <w:rPr>
          <w:rFonts w:asciiTheme="minorHAnsi" w:hAnsiTheme="minorHAnsi"/>
          <w:sz w:val="22"/>
          <w:szCs w:val="22"/>
        </w:rPr>
      </w:pPr>
    </w:p>
    <w:p w14:paraId="0DF5652B" w14:textId="1A36D979" w:rsidR="00B3127D" w:rsidRPr="00B3127D" w:rsidRDefault="00B3127D" w:rsidP="00B3127D">
      <w:pPr>
        <w:rPr>
          <w:rFonts w:asciiTheme="minorHAnsi" w:hAnsiTheme="minorHAnsi"/>
          <w:b/>
          <w:bCs/>
          <w:color w:val="000000"/>
          <w:sz w:val="22"/>
          <w:szCs w:val="22"/>
        </w:rPr>
      </w:pPr>
      <w:r w:rsidRPr="00B43D1C">
        <w:rPr>
          <w:rFonts w:asciiTheme="minorHAnsi" w:hAnsiTheme="minorHAnsi"/>
          <w:b/>
          <w:bCs/>
          <w:color w:val="000000"/>
          <w:sz w:val="22"/>
          <w:szCs w:val="22"/>
        </w:rPr>
        <w:t>Bioplastics</w:t>
      </w:r>
    </w:p>
    <w:p w14:paraId="34C1E208" w14:textId="77777777" w:rsidR="00B3127D" w:rsidRPr="00B43D1C" w:rsidRDefault="00B3127D" w:rsidP="00B3127D">
      <w:pPr>
        <w:rPr>
          <w:rFonts w:asciiTheme="minorHAnsi" w:hAnsiTheme="minorHAnsi"/>
          <w:sz w:val="22"/>
          <w:szCs w:val="22"/>
        </w:rPr>
      </w:pPr>
      <w:r w:rsidRPr="00B43D1C">
        <w:rPr>
          <w:rFonts w:asciiTheme="minorHAnsi" w:hAnsiTheme="minorHAnsi"/>
          <w:color w:val="000000"/>
          <w:sz w:val="22"/>
          <w:szCs w:val="22"/>
        </w:rPr>
        <w:t xml:space="preserve">Biomass is used to produce bio-based polyethylene terephthalate (bio-PET), consisting of 30% bio-based </w:t>
      </w:r>
      <w:proofErr w:type="spellStart"/>
      <w:r w:rsidRPr="00B43D1C">
        <w:rPr>
          <w:rFonts w:asciiTheme="minorHAnsi" w:hAnsiTheme="minorHAnsi"/>
          <w:color w:val="000000"/>
          <w:sz w:val="22"/>
          <w:szCs w:val="22"/>
        </w:rPr>
        <w:t>monoethylene</w:t>
      </w:r>
      <w:proofErr w:type="spellEnd"/>
      <w:r w:rsidRPr="00B43D1C">
        <w:rPr>
          <w:rFonts w:asciiTheme="minorHAnsi" w:hAnsiTheme="minorHAnsi"/>
          <w:color w:val="000000"/>
          <w:sz w:val="22"/>
          <w:szCs w:val="22"/>
        </w:rPr>
        <w:t xml:space="preserve"> glycol (MEG, switchgrass feedstock) and 70% bio-based terephthalic acid (PTA, wood feedstock). Though MEG has a switchgrass feedstock rather than wood, both are lignocellulosic feedstocks that would undergo the same process. The only notable difference would be in the pretreatment step, wood may require a stronger acid or steam explosion, as there is a higher lignin content. Assume the difference in emissions is negligible</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{"citationID":"oqsX5xmf","properties":{"formattedCitation":"\\super 13\\nosupersub{}","plainCitation":"13","noteIndex":0},"citationItems":[{"id":5134,"uris":["http://zotero.org/groups/5665801/items/KS4FTKIZ"],"itemData":{"id":5134,"type":"article-journal","abstract":"Short polyols, such as ethylene glycol (EG), are a popular target of catalytic hydrogenolysis of saccharides. However, studies on the use of untreated or pretreated lignocellulosic biomass as feedstock for polyol production are scarce. In this work, we have studied the impact of lignin on the catalytic hydrogenolysis of different biomass samples, targeting ethylene glycol. We first developed a hydrogenolysis protocol that is sensitive to lignin and feedstock impurities, such as ash and extractives. A matrix of biomass feedstocks with varying lignin content has been evaluated, by subjecting poplar, pine, and hay to solvent-based (water/ethanol/acetic acid) pretreatments and by preparing physical mixtures of pure microcrystalline cellulose with organosolv lignin. Lignin appeared to inhibit the activity of the hydrogenation catalyst, Raney-Ni, by hindering the formation of sugar alcohols in the presence as well as in the absence of the tungstate catalyst. However, lignin is not the root cause for the low EG yield typically obtained with untreated lignocellulose, as treated lignocellulose delivered high EG yields (30–35 wt %), irrespective of the lignin concentrations, which varied between 0 and 44 wt %, under identical demanding experimental conditions.","container-title":"Industrial &amp; Engineering Chemistry Research","DOI":"10.1021/acs.iecr.1c01063","ISSN":"0888-5885","issue":"19","journalAbbreviation":"Ind. Eng. Chem. Res.","note":"publisher: American Chemical Society","page":"7043-7049","source":"ACS Publications","title":"Ethylene Glycol from Lignocellulosic Biomass: Impact of Lignin on Catalytic Hydrogenolysis","title-short":"Ethylene Glycol from Lignocellulosic Biomass","volume":"60","author":[{"family":"Molder","given":"T.D.J.","non-dropping-particle":"te"},{"family":"Kersten","given":"S.R.A."},{"family":"Lange","given":"J. P."},{"family":"Ruiz","given":"M. P."}],"issued":{"date-parts":[["2021",5,19]]}}}],"schema":"https://github.com/citation-style-language/schema/raw/master/csl-citation.json"} </w:instrText>
      </w:r>
      <w:r>
        <w:rPr>
          <w:rFonts w:asciiTheme="minorHAnsi" w:hAnsiTheme="minorHAnsi"/>
          <w:color w:val="000000"/>
          <w:sz w:val="22"/>
          <w:szCs w:val="22"/>
        </w:rPr>
        <w:fldChar w:fldCharType="separate"/>
      </w:r>
      <w:r w:rsidRPr="0056061B">
        <w:rPr>
          <w:rFonts w:ascii="Aptos" w:eastAsiaTheme="minorHAnsi" w:hAnsiTheme="minorHAnsi"/>
          <w:color w:val="000000"/>
          <w:sz w:val="22"/>
          <w:vertAlign w:val="superscript"/>
          <w14:ligatures w14:val="standardContextual"/>
        </w:rPr>
        <w:t>13</w:t>
      </w:r>
      <w:r>
        <w:rPr>
          <w:rFonts w:asciiTheme="minorHAnsi" w:hAnsiTheme="minorHAnsi"/>
          <w:color w:val="000000"/>
          <w:sz w:val="22"/>
          <w:szCs w:val="22"/>
        </w:rPr>
        <w:fldChar w:fldCharType="end"/>
      </w:r>
      <w:r>
        <w:rPr>
          <w:rFonts w:asciiTheme="minorHAnsi" w:hAnsiTheme="minorHAnsi"/>
          <w:color w:val="000000"/>
          <w:sz w:val="22"/>
          <w:szCs w:val="22"/>
        </w:rPr>
        <w:t>.</w:t>
      </w:r>
      <w:r w:rsidRPr="00B43D1C">
        <w:rPr>
          <w:rFonts w:asciiTheme="minorHAnsi" w:hAnsiTheme="minorHAnsi"/>
          <w:color w:val="000000"/>
          <w:sz w:val="22"/>
          <w:szCs w:val="22"/>
        </w:rPr>
        <w:t> </w:t>
      </w:r>
    </w:p>
    <w:p w14:paraId="0D090A5A" w14:textId="77777777" w:rsidR="00B3127D" w:rsidRPr="00B43D1C" w:rsidRDefault="00B3127D" w:rsidP="00B3127D">
      <w:pPr>
        <w:rPr>
          <w:rFonts w:asciiTheme="minorHAnsi" w:hAnsiTheme="minorHAnsi"/>
          <w:sz w:val="22"/>
          <w:szCs w:val="22"/>
        </w:rPr>
      </w:pPr>
    </w:p>
    <w:p w14:paraId="2EDED013" w14:textId="77777777" w:rsidR="00B3127D" w:rsidRPr="00B43D1C" w:rsidRDefault="00B3127D" w:rsidP="00B3127D">
      <w:pPr>
        <w:rPr>
          <w:rFonts w:asciiTheme="minorHAnsi" w:hAnsiTheme="minorHAnsi"/>
          <w:sz w:val="22"/>
          <w:szCs w:val="22"/>
        </w:rPr>
      </w:pPr>
      <w:r w:rsidRPr="00B43D1C">
        <w:rPr>
          <w:rFonts w:asciiTheme="minorHAnsi" w:hAnsiTheme="minorHAnsi"/>
          <w:color w:val="000000"/>
          <w:sz w:val="22"/>
          <w:szCs w:val="22"/>
        </w:rPr>
        <w:t>The Chen et al. (2016) paper</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{"citationID":"KAEydYYz","properties":{"formattedCitation":"\\super 14\\nosupersub{}","plainCitation":"14","noteIndex":0},"citationItems":[{"id":5129,"uris":["http://zotero.org/groups/5665801/items/QN2TRDIZ"],"itemData":{"id":5129,"type":"article-journal","abstract":"Both biofuels and bioplastics are often regarded as sustainable solutions to current environmental problems such as climate change, fossil depletion and acidification. However, both have been criticized for being economically costly, competing with other societally beneficial goods such as food, and offering limited environmental benefits compared to their fossil counterparts. This study provides a comparative environmental Life Cycle Analysis (LCA) for 100% bio-based polyethylene terephthalate (PET) bottles, versus fully fossil-based and partially bio-based PET bottles. An attributional life cycle assessment (aLCA) and sensitivity analysis of key assumptions is carried out to compare cradle-to-factory-gate impacts (i.e. feedstock extraction, component production and product manufacturing) of twelve PET bottle production scenarios. Results indicate that woody-biomass based PET bottles have 21% less global warming potential and require 22% less fossil fuel than their fossil based counterparts, but perform worse in other categories such as ecotoxicity and ozone depletion impacts. Results are sensitive to impact allocation assumptions as well as parameter input assumptions related to isobutanol production. In most categories, with avoided impact credits considered, forest residue feedstocks result in overall better environmental performance than corn stover feedstocks for bio-PET bottle production. The variability in avoided burdens could alter the relative environmental rankings for fossil and bio-PET bottles. Depending on the biomass feedstock, extraction and pre-processing are likely more emission-intensive than the corresponding fossil refinery processes due to the significant upstream emissions embodied in the application of fertilizers, and the significant chemical and energy inputs required to break recalcitrant lignocellulosic bonds.","container-title":"Journal of Cleaner Production","DOI":"10.1016/j.jclepro.2016.07.094","ISSN":"0959-6526","journalAbbreviation":"Journal of Cleaner Production","page":"667-676","source":"ScienceDirect","title":"Comparative life cycle assessment of fossil and bio-based polyethylene terephthalate (PET) bottles","volume":"137","author":[{"family":"Chen","given":"Luyi"},{"family":"Pelton","given":"Rylie E. O."},{"family":"Smith","given":"Timothy M."}],"issued":{"date-parts":[["2016",11,20]]}}}],"schema":"https://github.com/citation-style-language/schema/raw/master/csl-citation.json"} </w:instrText>
      </w:r>
      <w:r>
        <w:rPr>
          <w:rFonts w:asciiTheme="minorHAnsi" w:hAnsiTheme="minorHAnsi"/>
          <w:color w:val="000000"/>
          <w:sz w:val="22"/>
          <w:szCs w:val="22"/>
        </w:rPr>
        <w:fldChar w:fldCharType="separate"/>
      </w:r>
      <w:r w:rsidRPr="0056061B">
        <w:rPr>
          <w:rFonts w:ascii="Aptos" w:eastAsiaTheme="minorHAnsi" w:hAnsiTheme="minorHAnsi"/>
          <w:color w:val="000000"/>
          <w:sz w:val="22"/>
          <w:vertAlign w:val="superscript"/>
          <w14:ligatures w14:val="standardContextual"/>
        </w:rPr>
        <w:t>14</w:t>
      </w:r>
      <w:r>
        <w:rPr>
          <w:rFonts w:asciiTheme="minorHAnsi" w:hAnsiTheme="minorHAnsi"/>
          <w:color w:val="000000"/>
          <w:sz w:val="22"/>
          <w:szCs w:val="22"/>
        </w:rPr>
        <w:fldChar w:fldCharType="end"/>
      </w:r>
      <w:r w:rsidRPr="00B43D1C">
        <w:rPr>
          <w:rFonts w:asciiTheme="minorHAnsi" w:hAnsiTheme="minorHAnsi"/>
          <w:color w:val="000000"/>
          <w:sz w:val="22"/>
          <w:szCs w:val="22"/>
        </w:rPr>
        <w:t xml:space="preserve"> includes emissions from biomass cultivation and harvesting, which our study omits. We deduct these emissions using assumptions from a switchgrass production LCA based in the Southeast US by Bergman et al. (2015)</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{"citationID":"eLxkAJBo","properties":{"formattedCitation":"\\super 15\\nosupersub{}","plainCitation":"15","noteIndex":0},"citationItems":[{"id":5132,"uris":["http://zotero.org/groups/5665801/items/RGYSG99M"],"itemData":{"id":5132,"type":"article-journal","abstract":"Developing renewable energy sources with low environmental impacts is becoming increasinglyimportant as concerns about consuming fossil fuel sources grow. Cultivating, harvesting, drying,and densifying raw biomass feedstocks into pellets for easy handling and transport is one step forward in this endeavor. However, the corresponding environmental performances must be quantified. This study presents cradle-to-gate life cycle inventory and impact assessment data for switchgrass fuel pellets potentially manufactured in the US Southeast. Because there are no current manufacturers of switchgrass pellets, inventory data were based on field trials of cultivation and harvest of switchgrass combined with a separate study of wood pelletization. Energy inputs for cultivation and harvest of switchgrass were collected by survey from farmers in Tennessee and represent the years 2008, 2009, and 2010. Data for pelletization were taken from a report on wood pellet manufacturing in the US Southeast. To produce 1.0 Mg of pellets that contain 18.0 GJ of potential bioenergy, 4.1 GJ of fossil energy inputs were required. Switchgrass crops require relatively little energy and inputs for the cultivation and harvest processes. The majority ofthe environmental burdens are associated with drying and pelletizing the raw material.","container-title":"Wood and Fiber Science","ISSN":"0735-6161","issue":"2","language":"en","license":"Copyright (c) 2015 Wood and Fiber Science","note":"number: 2","page":"147-159","source":"wfs.swst.org","title":"Cradle-To-Gate Life Cycle Assessment of Switchgrass Fuel Pellets Manufactured in the Southeastern United States","volume":"47","author":[{"family":"Bergman","given":"R. D."},{"family":"Reed","given":"D. L."},{"family":"Taylor","given":"A. M."},{"family":"Harper","given":"D. P."},{"family":"Hodges","given":"D. G."}],"issued":{"date-parts":[["2015"]]}}}],"schema":"https://github.com/citation-style-language/schema/raw/master/csl-citation.json"} </w:instrText>
      </w:r>
      <w:r>
        <w:rPr>
          <w:rFonts w:asciiTheme="minorHAnsi" w:hAnsiTheme="minorHAnsi"/>
          <w:color w:val="000000"/>
          <w:sz w:val="22"/>
          <w:szCs w:val="22"/>
        </w:rPr>
        <w:fldChar w:fldCharType="separate"/>
      </w:r>
      <w:r w:rsidRPr="0056061B">
        <w:rPr>
          <w:rFonts w:ascii="Aptos" w:eastAsiaTheme="minorHAnsi" w:hAnsiTheme="minorHAnsi"/>
          <w:color w:val="000000"/>
          <w:sz w:val="22"/>
          <w:vertAlign w:val="superscript"/>
          <w14:ligatures w14:val="standardContextual"/>
        </w:rPr>
        <w:t>15</w:t>
      </w:r>
      <w:r>
        <w:rPr>
          <w:rFonts w:asciiTheme="minorHAnsi" w:hAnsiTheme="minorHAnsi"/>
          <w:color w:val="000000"/>
          <w:sz w:val="22"/>
          <w:szCs w:val="22"/>
        </w:rPr>
        <w:fldChar w:fldCharType="end"/>
      </w:r>
      <w:r w:rsidRPr="00B43D1C">
        <w:rPr>
          <w:rFonts w:asciiTheme="minorHAnsi" w:hAnsiTheme="minorHAnsi"/>
          <w:color w:val="000000"/>
          <w:sz w:val="22"/>
          <w:szCs w:val="22"/>
        </w:rPr>
        <w:t xml:space="preserve"> to ensure that the pathway aligns with others. The biomass input assumed by the paper is both switchgrass and forestry residues, but we deduct switchgrass production emissions as they are likely to be larger than forestry production emissions. </w:t>
      </w:r>
    </w:p>
    <w:p w14:paraId="34E13747" w14:textId="77777777" w:rsidR="00B3127D" w:rsidRPr="00B43D1C" w:rsidRDefault="00B3127D" w:rsidP="00B3127D">
      <w:pPr>
        <w:rPr>
          <w:rFonts w:asciiTheme="minorHAnsi" w:hAnsiTheme="minorHAnsi"/>
          <w:sz w:val="22"/>
          <w:szCs w:val="22"/>
        </w:rPr>
      </w:pPr>
    </w:p>
    <w:p w14:paraId="3F12787C" w14:textId="77777777" w:rsidR="00B3127D" w:rsidRPr="00B43D1C" w:rsidRDefault="00B3127D" w:rsidP="00B3127D">
      <w:pPr>
        <w:rPr>
          <w:rFonts w:asciiTheme="minorHAnsi" w:hAnsiTheme="minorHAnsi"/>
          <w:sz w:val="22"/>
          <w:szCs w:val="22"/>
        </w:rPr>
      </w:pPr>
      <w:r w:rsidRPr="00B43D1C">
        <w:rPr>
          <w:rFonts w:asciiTheme="minorHAnsi" w:hAnsiTheme="minorHAnsi"/>
          <w:color w:val="000000"/>
          <w:sz w:val="22"/>
          <w:szCs w:val="22"/>
        </w:rPr>
        <w:t xml:space="preserve">Includes emissions from biomass pre-treatment to disrupt lignin to access cellulose, and enzymatic hydrolysis for both MEG and PTA production. To produce MEG, the following process steps are fermentation to ethanol, catalytic dehydration to convert ethanol to ethylene, and hydration to convert ethylene to MEG. For PTA, the following process steps are fermentation to </w:t>
      </w:r>
      <w:proofErr w:type="spellStart"/>
      <w:r w:rsidRPr="00B43D1C">
        <w:rPr>
          <w:rFonts w:asciiTheme="minorHAnsi" w:hAnsiTheme="minorHAnsi"/>
          <w:color w:val="000000"/>
          <w:sz w:val="22"/>
          <w:szCs w:val="22"/>
        </w:rPr>
        <w:t>isobutanol</w:t>
      </w:r>
      <w:proofErr w:type="spellEnd"/>
      <w:r w:rsidRPr="00B43D1C">
        <w:rPr>
          <w:rFonts w:asciiTheme="minorHAnsi" w:hAnsiTheme="minorHAnsi"/>
          <w:color w:val="000000"/>
          <w:sz w:val="22"/>
          <w:szCs w:val="22"/>
        </w:rPr>
        <w:t xml:space="preserve">, dehydration, oligomerization, and dehydrocyclization to convert </w:t>
      </w:r>
      <w:proofErr w:type="spellStart"/>
      <w:r w:rsidRPr="00B43D1C">
        <w:rPr>
          <w:rFonts w:asciiTheme="minorHAnsi" w:hAnsiTheme="minorHAnsi"/>
          <w:color w:val="000000"/>
          <w:sz w:val="22"/>
          <w:szCs w:val="22"/>
        </w:rPr>
        <w:t>isobutanol</w:t>
      </w:r>
      <w:proofErr w:type="spellEnd"/>
      <w:r w:rsidRPr="00B43D1C">
        <w:rPr>
          <w:rFonts w:asciiTheme="minorHAnsi" w:hAnsiTheme="minorHAnsi"/>
          <w:color w:val="000000"/>
          <w:sz w:val="22"/>
          <w:szCs w:val="22"/>
        </w:rPr>
        <w:t xml:space="preserve"> to paraxylene, and paraxylene oxidation to PTA. The two monomers, EG and PTA, are combined via polycondensation to form amorphous PET resin and upgraded to bottle-grade PET. Finally, bottle-grade PET is manufactured into bottles via injection blow molding</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{"citationID":"HCxenO0l","properties":{"formattedCitation":"\\super 16\\nosupersub{}","plainCitation":"16","noteIndex":0},"citationItems":[{"id":5136,"uris":["http://zotero.org/groups/5665801/items/E6H688D9"],"itemData":{"id":5136,"type":"article-journal","abstract":"An efficient elevated-pressure catalytic oxidative process (2.5 mol % Co(NO3)2, 2.5 mol % MnBr2, air (30 bar), 125 °C, acetic acid, 6 h) has been developed to oxidize p-cymene into crystalline white terephthalic acid (TA) in </w:instrText>
      </w:r>
      <w:r>
        <w:rPr>
          <w:rFonts w:ascii="Cambria Math" w:hAnsi="Cambria Math" w:cs="Cambria Math"/>
          <w:color w:val="000000"/>
          <w:sz w:val="22"/>
          <w:szCs w:val="22"/>
        </w:rPr>
        <w:instrText>∼</w:instrText>
      </w:r>
      <w:r>
        <w:rPr>
          <w:rFonts w:asciiTheme="minorHAnsi" w:hAnsiTheme="minorHAnsi"/>
          <w:color w:val="000000"/>
          <w:sz w:val="22"/>
          <w:szCs w:val="22"/>
        </w:rPr>
        <w:instrText xml:space="preserve">70% yield. Use of this mixed Co2+/Mn2+ catalytic system is key to obtaining high 70% yields of TA at relatively low reaction temperatures (125 °C) in short reaction times (6 h), which is likely to be due to the synergistic action of bromine and nitrate radicals in the oxidative process. Recycling studies have demonstrated that the mixed metal catalysts present in recovered mother liquors could be recycled three times in successive p-cymene oxidation reactions with no loss in catalytic activity or TA yield. Partial oxidation of p-cymene to give p-methylacetophenone (p-MA) in 55–60% yield can be achieved using a mixed CoBr2/Mn(OAc)2 catalytic system under 1 atm air for 24 h, while use of Co(NO3)2/MnBr2 under 1 atm O2 for 24 h gave p-toluic acid in 55–60% yield. Therefore, access to these simple catalytic aerobic conditions enables multiple biorenewable bulk terpene feedstocks (e.g., crude sulfate turpentine, turpentine, cineole, and limonene) to be converted into synthetically useful bio-p-MA, bio-p-toluic acid, and bio-TA (and hence bio-polyethylene terephthalate) as part of a terpene based biorefinery.","container-title":"ACS Sustainable Chemistry &amp; Engineering","DOI":"10.1021/acssuschemeng.1c02605","issue":"25","journalAbbreviation":"ACS Sustainable Chem. Eng.","note":"publisher: American Chemical Society","page":"8642-8652","source":"ACS Publications","title":"Efficient Syntheses of Biobased Terephthalic Acid, p-Toluic Acid, and p-Methylacetophenone via One-Pot Catalytic Aerobic Oxidation of Monoterpene Derived Bio-p-cymene","volume":"9","author":[{"family":"Tibbetts","given":"Joshua D."},{"family":"Russo","given":"Danilo"},{"family":"Lapkin","given":"Alexei A."},{"family":"Bull","given":"Steven D."}],"issued":{"date-parts":[["2021",6,28]]}}}],"schema":"https://github.com/citation-style-language/schema/raw/master/csl-citation.json"} </w:instrText>
      </w:r>
      <w:r>
        <w:rPr>
          <w:rFonts w:asciiTheme="minorHAnsi" w:hAnsiTheme="minorHAnsi"/>
          <w:color w:val="000000"/>
          <w:sz w:val="22"/>
          <w:szCs w:val="22"/>
        </w:rPr>
        <w:fldChar w:fldCharType="separate"/>
      </w:r>
      <w:r w:rsidRPr="0056061B">
        <w:rPr>
          <w:rFonts w:ascii="Aptos" w:eastAsiaTheme="minorHAnsi" w:hAnsiTheme="minorHAnsi"/>
          <w:color w:val="000000"/>
          <w:sz w:val="22"/>
          <w:vertAlign w:val="superscript"/>
          <w14:ligatures w14:val="standardContextual"/>
        </w:rPr>
        <w:t>16</w:t>
      </w:r>
      <w:r>
        <w:rPr>
          <w:rFonts w:asciiTheme="minorHAnsi" w:hAnsiTheme="minorHAnsi"/>
          <w:color w:val="000000"/>
          <w:sz w:val="22"/>
          <w:szCs w:val="22"/>
        </w:rPr>
        <w:fldChar w:fldCharType="end"/>
      </w:r>
      <w:r w:rsidRPr="00B43D1C">
        <w:rPr>
          <w:rFonts w:asciiTheme="minorHAnsi" w:hAnsiTheme="minorHAnsi"/>
          <w:color w:val="000000"/>
          <w:sz w:val="22"/>
          <w:szCs w:val="22"/>
        </w:rPr>
        <w:t> </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{"citationID":"nH2pfkNh","properties":{"formattedCitation":"\\super 17\\nosupersub{}","plainCitation":"17","noteIndex":0},"citationItems":[{"id":5138,"uris":["http://zotero.org/groups/5665801/items/GSBYM9YW"],"itemData":{"id":5138,"type":"post-weblog","language":"en-US","title":"Bioethanol – European Biomass Industry Association","URL":"https://www.eubia.org/cms/wiki-biomass/biofuels/bioethanol/","accessed":{"date-parts":[["2025",6,3]]}}}],"schema":"https://github.com/citation-style-language/schema/raw/master/csl-citation.json"} </w:instrText>
      </w:r>
      <w:r>
        <w:rPr>
          <w:rFonts w:asciiTheme="minorHAnsi" w:hAnsiTheme="minorHAnsi"/>
          <w:color w:val="000000"/>
          <w:sz w:val="22"/>
          <w:szCs w:val="22"/>
        </w:rPr>
        <w:fldChar w:fldCharType="separate"/>
      </w:r>
      <w:r w:rsidRPr="00C138A4">
        <w:rPr>
          <w:rFonts w:ascii="Aptos" w:eastAsiaTheme="minorHAnsi" w:hAnsiTheme="minorHAnsi"/>
          <w:color w:val="000000"/>
          <w:sz w:val="22"/>
          <w:vertAlign w:val="superscript"/>
          <w14:ligatures w14:val="standardContextual"/>
        </w:rPr>
        <w:t>17</w:t>
      </w:r>
      <w:r>
        <w:rPr>
          <w:rFonts w:asciiTheme="minorHAnsi" w:hAnsiTheme="minorHAnsi"/>
          <w:color w:val="000000"/>
          <w:sz w:val="22"/>
          <w:szCs w:val="22"/>
        </w:rPr>
        <w:fldChar w:fldCharType="end"/>
      </w:r>
      <w:r>
        <w:rPr>
          <w:rFonts w:asciiTheme="minorHAnsi" w:hAnsiTheme="minorHAnsi"/>
          <w:color w:val="000000"/>
          <w:sz w:val="22"/>
          <w:szCs w:val="22"/>
        </w:rPr>
        <w:t xml:space="preserve"> </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{"citationID":"65kBr0Oa","properties":{"formattedCitation":"\\super 18\\nosupersub{}","plainCitation":"18","noteIndex":0},"citationItems":[{"id":5140,"uris":["http://zotero.org/groups/5665801/items/QH25FEPF"],"itemData":{"id":5140,"type":"webpage","title":"Monoethylene glycol (MEG) from ethylene – production pathway and emissions.","URL":"https://solventis.net/products/glycols/mono-ethylene-glycol/","author":[{"family":"Solventis","given":""}],"accessed":{"date-parts":[["2025",6,3]]}}}],"schema":"https://github.com/citation-style-language/schema/raw/master/csl-citation.json"} </w:instrText>
      </w:r>
      <w:r>
        <w:rPr>
          <w:rFonts w:asciiTheme="minorHAnsi" w:hAnsiTheme="minorHAnsi"/>
          <w:color w:val="000000"/>
          <w:sz w:val="22"/>
          <w:szCs w:val="22"/>
        </w:rPr>
        <w:fldChar w:fldCharType="separate"/>
      </w:r>
      <w:r w:rsidRPr="00C138A4">
        <w:rPr>
          <w:rFonts w:ascii="Aptos" w:eastAsiaTheme="minorHAnsi" w:hAnsiTheme="minorHAnsi"/>
          <w:color w:val="000000"/>
          <w:sz w:val="22"/>
          <w:vertAlign w:val="superscript"/>
          <w14:ligatures w14:val="standardContextual"/>
        </w:rPr>
        <w:t>18</w:t>
      </w:r>
      <w:r>
        <w:rPr>
          <w:rFonts w:asciiTheme="minorHAnsi" w:hAnsiTheme="minorHAnsi"/>
          <w:color w:val="000000"/>
          <w:sz w:val="22"/>
          <w:szCs w:val="22"/>
        </w:rPr>
        <w:fldChar w:fldCharType="end"/>
      </w:r>
      <w:r>
        <w:rPr>
          <w:rFonts w:asciiTheme="minorHAnsi" w:hAnsiTheme="minorHAnsi"/>
          <w:color w:val="000000"/>
          <w:sz w:val="22"/>
          <w:szCs w:val="22"/>
        </w:rPr>
        <w:t xml:space="preserve"> </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{"citationID":"7DcboZ2q","properties":{"formattedCitation":"\\super 19\\nosupersub{}","plainCitation":"19","noteIndex":0},"citationItems":[{"id":5143,"uris":["http://zotero.org/groups/5665801/items/FLDP28YB"],"itemData":{"id":5143,"type":"article-journal","abstract":"The study is aimed to investigate the combination of nanocrystalline γ- and χ- alumina that displays the attractive chemical and physical properties for the catalytic dehydration of ethanol. The correlation between the acid density and ethanol conversion was observed. The high acid density apparently results in high catalytic activity, especially for the equally mixed γ- and χ- phase alumina (G50C50). In order to obtain a better understanding on how different catalysts would affect the ethylene yield, one of the most powerful techniques such as X-ray photoelectron spectroscopy (XPS) was performed. Hence, the different O 1s surface atoms can be identified and divided into three types including lattice oxygen (O, 530.7 eV), surface hydroxyl (OH, 532.1 eV) and lattice water (H2O, 532.9 eV). It was remarkably found that the large amount of O 1s surface atoms in lattice water can result in increased ethylene yield. In summary, the appearance of metastable χ-alumina structure exhibited better catalytic activity and ethylene yield than γalumina. Thus, the introduction of metastable χ- alumina structure into γ- alumina enhanced catalytic activity and ethylene yield. As the result, it was found that the G50C50 catalyst exhibits the ethylene yield (80%) at the lowest reaction temperature ca. 250</w:instrText>
      </w:r>
      <w:r>
        <w:rPr>
          <w:rFonts w:ascii="Cambria Math" w:hAnsi="Cambria Math" w:cs="Cambria Math"/>
          <w:color w:val="000000"/>
          <w:sz w:val="22"/>
          <w:szCs w:val="22"/>
        </w:rPr>
        <w:instrText>℃</w:instrText>
      </w:r>
      <w:r>
        <w:rPr>
          <w:rFonts w:asciiTheme="minorHAnsi" w:hAnsiTheme="minorHAnsi"/>
          <w:color w:val="000000"/>
          <w:sz w:val="22"/>
          <w:szCs w:val="22"/>
        </w:rPr>
        <w:instrText xml:space="preserve"> among other catalysts.","container-title":"Journal of Oleo Science","DOI":"10.5650/jos.ess17026","ISSN":"1345-8957, 1347-3352","issue":"9","journalAbbreviation":"J. Oleo Sci.","language":"en","page":"1029-1039","source":"DOI.org (Crossref)","title":"Catalytic Ethanol Dehydration to Ethylene over Nanocrystalline χ- and γ-Al&lt;sub&gt;2&lt;/sub&gt;O&lt;sub&gt;3&lt;/sub&gt; Catalysts","volume":"66","author":[{"family":"Janlamool","given":"Jakrapan"},{"family":"Jongsomjit","given":"Bunjerd"}],"issued":{"date-parts":[["2017"]]}}}],"schema":"https://github.com/citation-style-language/schema/raw/master/csl-citation.json"} </w:instrText>
      </w:r>
      <w:r>
        <w:rPr>
          <w:rFonts w:asciiTheme="minorHAnsi" w:hAnsiTheme="minorHAnsi"/>
          <w:color w:val="000000"/>
          <w:sz w:val="22"/>
          <w:szCs w:val="22"/>
        </w:rPr>
        <w:fldChar w:fldCharType="separate"/>
      </w:r>
      <w:r w:rsidRPr="00C138A4">
        <w:rPr>
          <w:rFonts w:ascii="Aptos" w:eastAsiaTheme="minorHAnsi" w:hAnsiTheme="minorHAnsi"/>
          <w:color w:val="000000"/>
          <w:sz w:val="22"/>
          <w:vertAlign w:val="superscript"/>
          <w14:ligatures w14:val="standardContextual"/>
        </w:rPr>
        <w:t>19</w:t>
      </w:r>
      <w:r>
        <w:rPr>
          <w:rFonts w:asciiTheme="minorHAnsi" w:hAnsiTheme="minorHAnsi"/>
          <w:color w:val="000000"/>
          <w:sz w:val="22"/>
          <w:szCs w:val="22"/>
        </w:rPr>
        <w:fldChar w:fldCharType="end"/>
      </w:r>
      <w:r>
        <w:rPr>
          <w:rFonts w:asciiTheme="minorHAnsi" w:hAnsiTheme="minorHAnsi"/>
          <w:color w:val="000000"/>
          <w:sz w:val="22"/>
          <w:szCs w:val="22"/>
        </w:rPr>
        <w:t>.</w:t>
      </w:r>
    </w:p>
    <w:p w14:paraId="42A4F0C8" w14:textId="77777777" w:rsidR="00B3127D" w:rsidRPr="00B43D1C" w:rsidRDefault="00B3127D" w:rsidP="00B3127D">
      <w:pPr>
        <w:rPr>
          <w:rFonts w:asciiTheme="minorHAnsi" w:hAnsiTheme="minorHAnsi"/>
          <w:sz w:val="22"/>
          <w:szCs w:val="22"/>
        </w:rPr>
      </w:pPr>
    </w:p>
    <w:p w14:paraId="02FAB896" w14:textId="4CB60A4A" w:rsidR="00B3127D" w:rsidRDefault="00B3127D" w:rsidP="00B3127D">
      <w:pPr>
        <w:rPr>
          <w:rFonts w:asciiTheme="minorHAnsi" w:hAnsiTheme="minorHAnsi"/>
          <w:color w:val="000000"/>
          <w:sz w:val="22"/>
          <w:szCs w:val="22"/>
        </w:rPr>
      </w:pPr>
      <w:r w:rsidRPr="00B43D1C">
        <w:rPr>
          <w:rFonts w:asciiTheme="minorHAnsi" w:hAnsiTheme="minorHAnsi"/>
          <w:color w:val="000000"/>
          <w:sz w:val="22"/>
          <w:szCs w:val="22"/>
        </w:rPr>
        <w:t xml:space="preserve">Includes emissions from plant energy use, operation, and bottle manufacturing. Carbon is captured through the production of MEG and PTA via biomass fermentation. Assumes that PET is 30% EG and 70% PTA by </w:t>
      </w:r>
      <w:proofErr w:type="spellStart"/>
      <w:r w:rsidRPr="00B43D1C">
        <w:rPr>
          <w:rFonts w:asciiTheme="minorHAnsi" w:hAnsiTheme="minorHAnsi"/>
          <w:color w:val="000000"/>
          <w:sz w:val="22"/>
          <w:szCs w:val="22"/>
        </w:rPr>
        <w:t>wt</w:t>
      </w:r>
      <w:proofErr w:type="spellEnd"/>
      <w:r w:rsidRPr="00B43D1C">
        <w:rPr>
          <w:rFonts w:asciiTheme="minorHAnsi" w:hAnsiTheme="minorHAnsi"/>
          <w:color w:val="000000"/>
          <w:sz w:val="22"/>
          <w:szCs w:val="22"/>
        </w:rPr>
        <w:t>%. </w:t>
      </w:r>
    </w:p>
    <w:p w14:paraId="5235690B" w14:textId="77777777" w:rsidR="00B3127D" w:rsidRDefault="00B3127D" w:rsidP="00B3127D">
      <w:pPr>
        <w:rPr>
          <w:rFonts w:asciiTheme="minorHAnsi" w:hAnsiTheme="minorHAnsi"/>
          <w:sz w:val="22"/>
          <w:szCs w:val="22"/>
        </w:rPr>
      </w:pPr>
    </w:p>
    <w:p w14:paraId="6B0F7143" w14:textId="58402943" w:rsidR="00B3127D" w:rsidRPr="00B3127D" w:rsidRDefault="00B3127D" w:rsidP="00B3127D">
      <w:pPr>
        <w:rPr>
          <w:rFonts w:asciiTheme="minorHAnsi" w:hAnsiTheme="minorHAnsi"/>
          <w:b/>
          <w:bCs/>
          <w:color w:val="000000"/>
          <w:sz w:val="22"/>
          <w:szCs w:val="22"/>
        </w:rPr>
      </w:pPr>
      <w:r w:rsidRPr="00B43D1C">
        <w:rPr>
          <w:rFonts w:asciiTheme="minorHAnsi" w:hAnsiTheme="minorHAnsi"/>
          <w:b/>
          <w:bCs/>
          <w:color w:val="000000"/>
          <w:sz w:val="22"/>
          <w:szCs w:val="22"/>
        </w:rPr>
        <w:t>P+P CCS</w:t>
      </w:r>
    </w:p>
    <w:p w14:paraId="47EE6916" w14:textId="1D86FCC7" w:rsidR="00B3127D" w:rsidRPr="00B43D1C" w:rsidRDefault="00B3127D" w:rsidP="00B3127D">
      <w:pPr>
        <w:rPr>
          <w:rFonts w:asciiTheme="minorHAnsi" w:hAnsiTheme="minorHAnsi"/>
          <w:sz w:val="22"/>
          <w:szCs w:val="22"/>
        </w:rPr>
      </w:pPr>
      <w:r w:rsidRPr="00B43D1C">
        <w:rPr>
          <w:rFonts w:asciiTheme="minorHAnsi" w:hAnsiTheme="minorHAnsi"/>
          <w:color w:val="000000"/>
          <w:sz w:val="22"/>
          <w:szCs w:val="22"/>
        </w:rPr>
        <w:t xml:space="preserve">Retrofit pulp and paper plant, which converts biomass to paper industry products </w:t>
      </w:r>
      <w:proofErr w:type="gramStart"/>
      <w:r w:rsidRPr="00B43D1C">
        <w:rPr>
          <w:rFonts w:asciiTheme="minorHAnsi" w:hAnsiTheme="minorHAnsi"/>
          <w:color w:val="000000"/>
          <w:sz w:val="22"/>
          <w:szCs w:val="22"/>
        </w:rPr>
        <w:t>and also</w:t>
      </w:r>
      <w:proofErr w:type="gramEnd"/>
      <w:r w:rsidRPr="00B43D1C">
        <w:rPr>
          <w:rFonts w:asciiTheme="minorHAnsi" w:hAnsiTheme="minorHAnsi"/>
          <w:color w:val="000000"/>
          <w:sz w:val="22"/>
          <w:szCs w:val="22"/>
        </w:rPr>
        <w:t xml:space="preserve"> produces energy (heat and electricity). Assumes the same plant specifications as the biopower + CCS pathway above, but </w:t>
      </w:r>
      <w:r w:rsidR="008C1B6B">
        <w:rPr>
          <w:rFonts w:asciiTheme="minorHAnsi" w:hAnsiTheme="minorHAnsi"/>
          <w:color w:val="000000"/>
          <w:sz w:val="22"/>
          <w:szCs w:val="22"/>
        </w:rPr>
        <w:t>upstream emissions are calculated and net impacts are normalized based on</w:t>
      </w:r>
      <w:r w:rsidRPr="00B43D1C">
        <w:rPr>
          <w:rFonts w:asciiTheme="minorHAnsi" w:hAnsiTheme="minorHAnsi"/>
          <w:color w:val="000000"/>
          <w:sz w:val="22"/>
          <w:szCs w:val="22"/>
        </w:rPr>
        <w:t xml:space="preserve"> the additional biomass needed per unit of 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captured from a P+P flue gas</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{"citationID":"DvSdcEhy","properties":{"formattedCitation":"\\super 20\\nosupersub{}","plainCitation":"20","noteIndex":0},"citationItems":[{"id":5144,"uris":["http://zotero.org/groups/5665801/items/RQMZEUQQ"],"itemData":{"id":5144,"type":"article-journal","abstract":"CO 2 capture using monoethanolamine (MEA) is one of the important decarbonization options and often considered as a benchmark, while the optimal MEA contraction and systematic process study are still lacking. In this work, firstly, the MEA concentrations between 15-30 wt. % were studied from both process simulations with Aspen Plus and experimental measurements in the pilot-scale. 20 wt. % MEA was identified as the preferable solution. Subsequently, a systematic analysis was conducted for CO 2 capture using 20 wt. % MEA with/without CO 2 compression to study how various parameters, including gas flow rate, CO 2 concentration, and CO 2 removal rate, affected the energy demand and technoeconomic performances quantitatively. The influence of each parameter on both energy demand and cost showed an obvious non-linear relationship, evidencing the importance of systematic analysis for further study on decarbonization. The evaluation indicated that the regeneration heat required the largest portion of energy demand. The economic analysis showed that the capital cost was more sensitive to the selected parameters than the operational cost, while the operational cost created a major change in the overall cost. In addition, the gas flow rate and CO 2 concentration were the main parameters affecting the cost, rather than the CO 2 removal rate. Finally, it was suggested that, for a new plant, CO 2 capture showed the minimum investment cost per ton CO 2 when operating the plant on a large scale, high CO 2 concentration, and high CO 2 removal rate; for an existing plant, the capture preferred to run with the high CO 2 removal rate.","container-title":"Frontiers in Energy Research","DOI":"10.3389/fenrg.2023.1230743","ISSN":"2296-598X","journalAbbreviation":"Front. Energy Res.","language":"English","note":"publisher: Frontiers","source":"Frontiers","title":"MEA-based CO2 capture: a study focuses on MEA concentrations and process parameters","title-short":"MEA-based CO2 capture","URL":"https://www.frontiersin.org/journals/energy-research/articles/10.3389/fenrg.2023.1230743/full","volume":"11","author":[{"family":"Wang","given":"Nan"},{"family":"Wang","given":"Dong"},{"family":"Krook-Riekkola","given":"Anna"},{"family":"Ji","given":"Xiaoyan"}],"accessed":{"date-parts":[["2025",6,3]]},"issued":{"date-parts":[["2023",9,15]]}}}],"schema":"https://github.com/citation-style-language/schema/raw/master/csl-citation.json"} </w:instrText>
      </w:r>
      <w:r>
        <w:rPr>
          <w:rFonts w:asciiTheme="minorHAnsi" w:hAnsiTheme="minorHAnsi"/>
          <w:color w:val="000000"/>
          <w:sz w:val="22"/>
          <w:szCs w:val="22"/>
        </w:rPr>
        <w:fldChar w:fldCharType="separate"/>
      </w:r>
      <w:r w:rsidRPr="00C138A4">
        <w:rPr>
          <w:rFonts w:ascii="Aptos" w:eastAsiaTheme="minorHAnsi" w:hAnsiTheme="minorHAnsi"/>
          <w:color w:val="000000"/>
          <w:sz w:val="22"/>
          <w:vertAlign w:val="superscript"/>
          <w14:ligatures w14:val="standardContextual"/>
        </w:rPr>
        <w:t>20</w:t>
      </w:r>
      <w:r>
        <w:rPr>
          <w:rFonts w:asciiTheme="minorHAnsi" w:hAnsiTheme="minorHAnsi"/>
          <w:color w:val="000000"/>
          <w:sz w:val="22"/>
          <w:szCs w:val="22"/>
        </w:rPr>
        <w:fldChar w:fldCharType="end"/>
      </w:r>
      <w:r>
        <w:rPr>
          <w:rFonts w:asciiTheme="minorHAnsi" w:hAnsiTheme="minorHAnsi"/>
          <w:color w:val="000000"/>
          <w:sz w:val="22"/>
          <w:szCs w:val="22"/>
        </w:rPr>
        <w:t>.</w:t>
      </w:r>
      <w:r w:rsidRPr="00B43D1C">
        <w:rPr>
          <w:rFonts w:asciiTheme="minorHAnsi" w:hAnsiTheme="minorHAnsi"/>
          <w:color w:val="000000"/>
          <w:sz w:val="22"/>
          <w:szCs w:val="22"/>
        </w:rPr>
        <w:t> </w:t>
      </w:r>
    </w:p>
    <w:p w14:paraId="20425BEB" w14:textId="77777777" w:rsidR="00B3127D" w:rsidRPr="00B43D1C" w:rsidRDefault="00B3127D" w:rsidP="00B3127D">
      <w:pPr>
        <w:rPr>
          <w:rFonts w:asciiTheme="minorHAnsi" w:hAnsiTheme="minorHAnsi"/>
          <w:sz w:val="22"/>
          <w:szCs w:val="22"/>
        </w:rPr>
      </w:pPr>
    </w:p>
    <w:p w14:paraId="18FB6EB6" w14:textId="2CCD0191" w:rsidR="00B3127D" w:rsidRDefault="00B3127D" w:rsidP="00B3127D">
      <w:pPr>
        <w:rPr>
          <w:rFonts w:asciiTheme="minorHAnsi" w:hAnsiTheme="minorHAnsi"/>
          <w:color w:val="000000"/>
          <w:sz w:val="22"/>
          <w:szCs w:val="22"/>
        </w:rPr>
      </w:pPr>
      <w:r w:rsidRPr="00B43D1C">
        <w:rPr>
          <w:rFonts w:asciiTheme="minorHAnsi" w:hAnsiTheme="minorHAnsi"/>
          <w:color w:val="000000"/>
          <w:sz w:val="22"/>
          <w:szCs w:val="22"/>
        </w:rPr>
        <w:t>Includes emissions from consumption (natural gas) from plant operations, 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capture, compression, transportation, and storage. The plant has post-combustion absorption using </w:t>
      </w:r>
      <w:proofErr w:type="spellStart"/>
      <w:r w:rsidRPr="00B43D1C">
        <w:rPr>
          <w:rFonts w:asciiTheme="minorHAnsi" w:hAnsiTheme="minorHAnsi"/>
          <w:color w:val="000000"/>
          <w:sz w:val="22"/>
          <w:szCs w:val="22"/>
        </w:rPr>
        <w:t>monoethanolamine</w:t>
      </w:r>
      <w:proofErr w:type="spellEnd"/>
      <w:r w:rsidRPr="00B43D1C">
        <w:rPr>
          <w:rFonts w:asciiTheme="minorHAnsi" w:hAnsiTheme="minorHAnsi"/>
          <w:color w:val="000000"/>
          <w:sz w:val="22"/>
          <w:szCs w:val="22"/>
        </w:rPr>
        <w:t>. 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storage is 70 km away in a saline aquifer, transported via pipeline</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{"citationID":"2qlCYVNs","properties":{"formattedCitation":"\\super 11\\nosupersub{}","plainCitation":"11","noteIndex":0},"citationItems":[{"id":5126,"uris":["http://zotero.org/groups/5665801/items/UGILWI24"],"itemData":{"id":5126,"type":"article-journal","abstract":"Nowadays, much attention is being paid to so-called Negative Emissions Technologies (NETs), designed to remove carbon dioxide from the atmosphere and keep global temperature rise below 1.5 ◦C. The deployment of NETs can trigger environmental impacts, which can be addressed through the lens of Life Cycle Assessment (LCA). According to the literature, there are several drawbacks when NETs are assessed under the life cycle framework. In this sense, this study aims at contributing to the literature by assessing a NET in a manner that the existing drawbacks are overcome. For such purpose, dynamic LCA and land-water-energy nexus were applied to a Bioenergy with Carbon Capture and Storage system (BECCS). The results show that harnessing residual forest biomass for electricity generation and carbon storage accomplished a great positive climate performance. In line with European climate goals, climate change impact resulted in 2.49E+04 kg CO2eq/MWhe and 3.40E+04 kg CO2eq/t Cstored at year 20. However, the BECCS system analyzed comes at the expense of impacting land, water and energy that cannot be overlooked. The land impact was 3.57E+05Pt/t Cstored and 2.61 E+05Pt/MWhe, green water impact was 11.1 m3/t Cstored and 8.16 m3/MWhe, and the Energy Return on Energy Investment (EROI) was 3.34. The sensitive analysis indicates that special attention should be paid to the efficiency of the system since it directly impacts on land, water and energy (EROI). Finally, this study contributes to increasing the knowledge on NETs, thus supporting climate-energy policymaking.","container-title":"Energy Conversion and Management","DOI":"10.1016/j.enconman.2022.116014","ISSN":"01968904","journalAbbreviation":"Energy Conversion and Management","language":"en","page":"116014","source":"DOI.org (Crossref)","title":"Assessing a bio-energy system with carbon capture and storage (BECCS) through dynamic life cycle assessment and land-water-energy nexus","volume":"268","author":[{"family":"Briones-Hidrovo","given":"Andrei"},{"family":"Copa Rey","given":"José Ramón"},{"family":"Cláudia Dias","given":"Ana"},{"family":"Tarelho","given":"Luís A.C."},{"family":"Beauchet","given":"Sandra"}],"issued":{"date-parts":[["2022",9]]}}}],"schema":"https://github.com/citation-style-language/schema/raw/master/csl-citation.json"} </w:instrText>
      </w:r>
      <w:r>
        <w:rPr>
          <w:rFonts w:asciiTheme="minorHAnsi" w:hAnsiTheme="minorHAnsi"/>
          <w:color w:val="000000"/>
          <w:sz w:val="22"/>
          <w:szCs w:val="22"/>
        </w:rPr>
        <w:fldChar w:fldCharType="separate"/>
      </w:r>
      <w:r w:rsidRPr="00C138A4">
        <w:rPr>
          <w:rFonts w:ascii="Aptos" w:eastAsiaTheme="minorHAnsi" w:hAnsiTheme="minorHAnsi"/>
          <w:color w:val="000000"/>
          <w:sz w:val="22"/>
          <w:vertAlign w:val="superscript"/>
          <w14:ligatures w14:val="standardContextual"/>
        </w:rPr>
        <w:t>11</w:t>
      </w:r>
      <w:r>
        <w:rPr>
          <w:rFonts w:asciiTheme="minorHAnsi" w:hAnsiTheme="minorHAnsi"/>
          <w:color w:val="000000"/>
          <w:sz w:val="22"/>
          <w:szCs w:val="22"/>
        </w:rPr>
        <w:fldChar w:fldCharType="end"/>
      </w:r>
      <w:r>
        <w:rPr>
          <w:rFonts w:asciiTheme="minorHAnsi" w:hAnsiTheme="minorHAnsi"/>
          <w:color w:val="000000"/>
          <w:sz w:val="22"/>
          <w:szCs w:val="22"/>
        </w:rPr>
        <w:t>.</w:t>
      </w:r>
      <w:r w:rsidRPr="00B43D1C">
        <w:rPr>
          <w:rFonts w:asciiTheme="minorHAnsi" w:hAnsiTheme="minorHAnsi"/>
          <w:color w:val="000000"/>
          <w:sz w:val="22"/>
          <w:szCs w:val="22"/>
        </w:rPr>
        <w:t> </w:t>
      </w:r>
    </w:p>
    <w:p w14:paraId="7ABBF939" w14:textId="77777777" w:rsidR="00B3127D" w:rsidRDefault="00B3127D" w:rsidP="00B3127D">
      <w:pPr>
        <w:rPr>
          <w:rFonts w:asciiTheme="minorHAnsi" w:hAnsiTheme="minorHAnsi"/>
          <w:sz w:val="22"/>
          <w:szCs w:val="22"/>
        </w:rPr>
      </w:pPr>
    </w:p>
    <w:p w14:paraId="0E944EB6" w14:textId="6A9C46D3" w:rsidR="00B3127D" w:rsidRPr="00B3127D" w:rsidRDefault="00B3127D" w:rsidP="00B3127D">
      <w:pPr>
        <w:rPr>
          <w:rFonts w:asciiTheme="minorHAnsi" w:hAnsiTheme="minorHAnsi"/>
          <w:b/>
          <w:bCs/>
          <w:color w:val="000000"/>
          <w:sz w:val="22"/>
          <w:szCs w:val="22"/>
        </w:rPr>
      </w:pPr>
      <w:r w:rsidRPr="00B43D1C">
        <w:rPr>
          <w:rFonts w:asciiTheme="minorHAnsi" w:hAnsiTheme="minorHAnsi"/>
          <w:b/>
          <w:bCs/>
          <w:color w:val="000000"/>
          <w:sz w:val="22"/>
          <w:szCs w:val="22"/>
        </w:rPr>
        <w:t>SAF + CCS </w:t>
      </w:r>
    </w:p>
    <w:p w14:paraId="71404F5F" w14:textId="77777777" w:rsidR="00B3127D" w:rsidRPr="00B43D1C" w:rsidRDefault="00B3127D" w:rsidP="00B3127D">
      <w:pPr>
        <w:rPr>
          <w:rFonts w:asciiTheme="minorHAnsi" w:hAnsiTheme="minorHAnsi"/>
          <w:sz w:val="22"/>
          <w:szCs w:val="22"/>
        </w:rPr>
      </w:pPr>
      <w:r w:rsidRPr="00B43D1C">
        <w:rPr>
          <w:rFonts w:asciiTheme="minorHAnsi" w:hAnsiTheme="minorHAnsi"/>
          <w:color w:val="000000"/>
          <w:sz w:val="22"/>
          <w:szCs w:val="22"/>
        </w:rPr>
        <w:t>An integrated alcohol-to-</w:t>
      </w:r>
      <w:proofErr w:type="gramStart"/>
      <w:r w:rsidRPr="00B43D1C">
        <w:rPr>
          <w:rFonts w:asciiTheme="minorHAnsi" w:hAnsiTheme="minorHAnsi"/>
          <w:color w:val="000000"/>
          <w:sz w:val="22"/>
          <w:szCs w:val="22"/>
        </w:rPr>
        <w:t>jet  SAF</w:t>
      </w:r>
      <w:proofErr w:type="gramEnd"/>
      <w:r w:rsidRPr="00B43D1C">
        <w:rPr>
          <w:rFonts w:asciiTheme="minorHAnsi" w:hAnsiTheme="minorHAnsi"/>
          <w:color w:val="000000"/>
          <w:sz w:val="22"/>
          <w:szCs w:val="22"/>
        </w:rPr>
        <w:t xml:space="preserve"> plant, </w:t>
      </w:r>
      <w:proofErr w:type="spellStart"/>
      <w:r w:rsidRPr="00B43D1C">
        <w:rPr>
          <w:rFonts w:asciiTheme="minorHAnsi" w:hAnsiTheme="minorHAnsi"/>
          <w:color w:val="000000"/>
          <w:sz w:val="22"/>
          <w:szCs w:val="22"/>
        </w:rPr>
        <w:t>colocated</w:t>
      </w:r>
      <w:proofErr w:type="spellEnd"/>
      <w:r w:rsidRPr="00B43D1C">
        <w:rPr>
          <w:rFonts w:asciiTheme="minorHAnsi" w:hAnsiTheme="minorHAnsi"/>
          <w:color w:val="000000"/>
          <w:sz w:val="22"/>
          <w:szCs w:val="22"/>
        </w:rPr>
        <w:t xml:space="preserve"> with a methanol production facility. Methanol is produced by converting biomass to syngas via gasification, syngas cleaning and conditioning, </w:t>
      </w:r>
      <w:r w:rsidRPr="00B43D1C">
        <w:rPr>
          <w:rFonts w:asciiTheme="minorHAnsi" w:hAnsiTheme="minorHAnsi"/>
          <w:color w:val="000000"/>
          <w:sz w:val="22"/>
          <w:szCs w:val="22"/>
        </w:rPr>
        <w:lastRenderedPageBreak/>
        <w:t>methanol synthesis, refining, and purification. Methanol is upgraded to SAF via dehydration and methanol-to-olefin oligomerization. While the ICACO paper uses ethanol as the feedstock, it is analogous to methanol as they have a similar chemical structure, and both undergo oligomerization. Methanol produces a mix of light olefins, aromatics, and paraffins, which is likely to require more separation than ethanol, which produces mostly ethylene. But for simplicity, we assume these additional emissions are negligible. Assumes an olefin selectivity of 95%. The jet energy share in total energy output is 75%</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{"citationID":"3czMtCY9","properties":{"formattedCitation":"\\super 12\\nosupersub{}","plainCitation":"12","noteIndex":0},"citationItems":[{"id":5128,"uris":["http://zotero.org/groups/5665801/items/6LPS7YIS"],"itemData":{"id":5128,"type":"article-journal","container-title":"Chemical Engineering Transactions","DOI":"10.3303/CET2186112","language":"en","page":"667–672","source":"DOI.org (CSL JSON)","title":"Life Cycle Assessment of Bio-methanol Derived from Various Raw-materials","volume":"86","author":[{"literal":"Galusnyak Stefan C."},{"literal":"Petrescu Letitia"},{"literal":"Chisalita Dora A."},{"literal":"Cormos Calin-Cristian"}],"issued":{"date-parts":[["2021",6]]}}}],"schema":"https://github.com/citation-style-language/schema/raw/master/csl-citation.json"} </w:instrText>
      </w:r>
      <w:r>
        <w:rPr>
          <w:rFonts w:asciiTheme="minorHAnsi" w:hAnsiTheme="minorHAnsi"/>
          <w:color w:val="000000"/>
          <w:sz w:val="22"/>
          <w:szCs w:val="22"/>
        </w:rPr>
        <w:fldChar w:fldCharType="separate"/>
      </w:r>
      <w:r w:rsidRPr="00C138A4">
        <w:rPr>
          <w:rFonts w:ascii="Aptos" w:eastAsiaTheme="minorHAnsi" w:hAnsiTheme="minorHAnsi"/>
          <w:color w:val="000000"/>
          <w:sz w:val="22"/>
          <w:vertAlign w:val="superscript"/>
          <w14:ligatures w14:val="standardContextual"/>
        </w:rPr>
        <w:t>12</w:t>
      </w:r>
      <w:r>
        <w:rPr>
          <w:rFonts w:asciiTheme="minorHAnsi" w:hAnsiTheme="minorHAnsi"/>
          <w:color w:val="000000"/>
          <w:sz w:val="22"/>
          <w:szCs w:val="22"/>
        </w:rPr>
        <w:fldChar w:fldCharType="end"/>
      </w:r>
      <w:r w:rsidRPr="00B43D1C">
        <w:rPr>
          <w:rFonts w:asciiTheme="minorHAnsi" w:hAnsiTheme="minorHAnsi"/>
          <w:color w:val="000000"/>
          <w:sz w:val="22"/>
          <w:szCs w:val="22"/>
        </w:rPr>
        <w:t> </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{"citationID":"KfBGYLH9","properties":{"formattedCitation":"\\super 21\\nosupersub{}","plainCitation":"21","noteIndex":0},"citationItems":[{"id":5147,"uris":["http://zotero.org/groups/5665801/items/Y4FXFHKG"],"itemData":{"id":5147,"type":"document","publisher":"International Civil Aviation Organization","title":"CORSIA Eligible Fuels – Life Cycle Assessment Methodology","URL":"https://www.icao.int/environmental-protection/CORSIA/Documents/CORSIA_Eligible_Fuels/CORSIA_Supporting_Document_CORSIA%20Eligible%20Fuels_LCA_Methodology_V6.pdf","author":[{"family":"ICAO","given":""}],"issued":{"date-parts":[["2024",7]]}}}],"schema":"https://github.com/citation-style-language/schema/raw/master/csl-citation.json"} </w:instrText>
      </w:r>
      <w:r>
        <w:rPr>
          <w:rFonts w:asciiTheme="minorHAnsi" w:hAnsiTheme="minorHAnsi"/>
          <w:color w:val="000000"/>
          <w:sz w:val="22"/>
          <w:szCs w:val="22"/>
        </w:rPr>
        <w:fldChar w:fldCharType="separate"/>
      </w:r>
      <w:r w:rsidRPr="00C138A4">
        <w:rPr>
          <w:rFonts w:ascii="Aptos" w:eastAsiaTheme="minorHAnsi" w:hAnsiTheme="minorHAnsi"/>
          <w:color w:val="000000"/>
          <w:sz w:val="22"/>
          <w:vertAlign w:val="superscript"/>
          <w14:ligatures w14:val="standardContextual"/>
        </w:rPr>
        <w:t>21</w:t>
      </w:r>
      <w:r>
        <w:rPr>
          <w:rFonts w:asciiTheme="minorHAnsi" w:hAnsiTheme="minorHAnsi"/>
          <w:color w:val="000000"/>
          <w:sz w:val="22"/>
          <w:szCs w:val="22"/>
        </w:rPr>
        <w:fldChar w:fldCharType="end"/>
      </w:r>
      <w:r>
        <w:rPr>
          <w:rFonts w:asciiTheme="minorHAnsi" w:hAnsiTheme="minorHAnsi"/>
          <w:color w:val="000000"/>
          <w:sz w:val="22"/>
          <w:szCs w:val="22"/>
        </w:rPr>
        <w:t>.</w:t>
      </w:r>
    </w:p>
    <w:p w14:paraId="4B31E8BF" w14:textId="77777777" w:rsidR="00B3127D" w:rsidRPr="00B43D1C" w:rsidRDefault="00B3127D" w:rsidP="00B3127D">
      <w:pPr>
        <w:rPr>
          <w:rFonts w:asciiTheme="minorHAnsi" w:hAnsiTheme="minorHAnsi"/>
          <w:sz w:val="22"/>
          <w:szCs w:val="22"/>
        </w:rPr>
      </w:pPr>
    </w:p>
    <w:p w14:paraId="658BDE02" w14:textId="1AF866BA" w:rsidR="00B3127D" w:rsidRPr="00B3127D" w:rsidRDefault="00B3127D" w:rsidP="00B3127D">
      <w:pPr>
        <w:rPr>
          <w:rFonts w:asciiTheme="minorHAnsi" w:hAnsiTheme="minorHAnsi"/>
          <w:sz w:val="22"/>
          <w:szCs w:val="22"/>
        </w:rPr>
      </w:pPr>
      <w:r w:rsidRPr="00B43D1C">
        <w:rPr>
          <w:rFonts w:asciiTheme="minorHAnsi" w:hAnsiTheme="minorHAnsi"/>
          <w:color w:val="000000"/>
          <w:sz w:val="22"/>
          <w:szCs w:val="22"/>
        </w:rPr>
        <w:t>Includes emissions from energy consumption from plant gasification operations and upgrading methanol to SAF.  </w:t>
      </w:r>
    </w:p>
    <w:p w14:paraId="6A48679D" w14:textId="77777777" w:rsidR="00B43D1C" w:rsidRPr="009E433E" w:rsidRDefault="00B43D1C" w:rsidP="00B43D1C">
      <w:pPr>
        <w:rPr>
          <w:rFonts w:asciiTheme="minorHAnsi" w:hAnsiTheme="minorHAnsi"/>
          <w:b/>
          <w:bCs/>
          <w:sz w:val="22"/>
          <w:szCs w:val="22"/>
        </w:rPr>
      </w:pPr>
    </w:p>
    <w:p w14:paraId="3D873406" w14:textId="30435988" w:rsidR="00FD3822" w:rsidRPr="00B3127D" w:rsidRDefault="00B3127D" w:rsidP="00B43D1C">
      <w:pPr>
        <w:rPr>
          <w:rFonts w:asciiTheme="minorHAnsi" w:hAnsiTheme="minorHAnsi"/>
          <w:b/>
          <w:bCs/>
          <w:sz w:val="22"/>
          <w:szCs w:val="22"/>
        </w:rPr>
      </w:pPr>
      <w:proofErr w:type="gramStart"/>
      <w:r w:rsidRPr="00B3127D">
        <w:rPr>
          <w:rFonts w:asciiTheme="minorHAnsi" w:hAnsiTheme="minorHAnsi"/>
          <w:b/>
          <w:bCs/>
          <w:sz w:val="22"/>
          <w:szCs w:val="22"/>
        </w:rPr>
        <w:t xml:space="preserve">3.2 </w:t>
      </w:r>
      <w:r w:rsidR="00FD3822" w:rsidRPr="00B3127D">
        <w:rPr>
          <w:rFonts w:asciiTheme="minorHAnsi" w:hAnsiTheme="minorHAnsi"/>
          <w:b/>
          <w:bCs/>
          <w:sz w:val="22"/>
          <w:szCs w:val="22"/>
        </w:rPr>
        <w:t xml:space="preserve"> </w:t>
      </w:r>
      <w:r w:rsidRPr="00B3127D">
        <w:rPr>
          <w:rFonts w:asciiTheme="minorHAnsi" w:hAnsiTheme="minorHAnsi"/>
          <w:b/>
          <w:bCs/>
          <w:sz w:val="22"/>
          <w:szCs w:val="22"/>
        </w:rPr>
        <w:t>S</w:t>
      </w:r>
      <w:r w:rsidR="00FD3822" w:rsidRPr="00B3127D">
        <w:rPr>
          <w:rFonts w:asciiTheme="minorHAnsi" w:hAnsiTheme="minorHAnsi"/>
          <w:b/>
          <w:bCs/>
          <w:sz w:val="22"/>
          <w:szCs w:val="22"/>
        </w:rPr>
        <w:t>ubstitution</w:t>
      </w:r>
      <w:proofErr w:type="gramEnd"/>
      <w:r w:rsidR="00FD3822" w:rsidRPr="00B3127D">
        <w:rPr>
          <w:rFonts w:asciiTheme="minorHAnsi" w:hAnsiTheme="minorHAnsi"/>
          <w:b/>
          <w:bCs/>
          <w:sz w:val="22"/>
          <w:szCs w:val="22"/>
        </w:rPr>
        <w:t xml:space="preserve"> </w:t>
      </w:r>
      <w:r w:rsidRPr="00B3127D">
        <w:rPr>
          <w:rFonts w:asciiTheme="minorHAnsi" w:hAnsiTheme="minorHAnsi"/>
          <w:b/>
          <w:bCs/>
          <w:sz w:val="22"/>
          <w:szCs w:val="22"/>
        </w:rPr>
        <w:t>B</w:t>
      </w:r>
      <w:r w:rsidR="00FD3822" w:rsidRPr="00B3127D">
        <w:rPr>
          <w:rFonts w:asciiTheme="minorHAnsi" w:hAnsiTheme="minorHAnsi"/>
          <w:b/>
          <w:bCs/>
          <w:sz w:val="22"/>
          <w:szCs w:val="22"/>
        </w:rPr>
        <w:t xml:space="preserve">enefits </w:t>
      </w:r>
      <w:r w:rsidRPr="00B3127D">
        <w:rPr>
          <w:rFonts w:asciiTheme="minorHAnsi" w:hAnsiTheme="minorHAnsi"/>
          <w:b/>
          <w:bCs/>
          <w:sz w:val="22"/>
          <w:szCs w:val="22"/>
        </w:rPr>
        <w:t>A</w:t>
      </w:r>
      <w:r w:rsidR="00FF6095" w:rsidRPr="00B3127D">
        <w:rPr>
          <w:rFonts w:asciiTheme="minorHAnsi" w:hAnsiTheme="minorHAnsi"/>
          <w:b/>
          <w:bCs/>
          <w:sz w:val="22"/>
          <w:szCs w:val="22"/>
        </w:rPr>
        <w:t xml:space="preserve">ssumptions </w:t>
      </w:r>
      <w:r w:rsidRPr="00B3127D">
        <w:rPr>
          <w:rFonts w:asciiTheme="minorHAnsi" w:hAnsiTheme="minorHAnsi"/>
          <w:b/>
          <w:bCs/>
          <w:sz w:val="22"/>
          <w:szCs w:val="22"/>
        </w:rPr>
        <w:t>B</w:t>
      </w:r>
      <w:r w:rsidR="00FF6095" w:rsidRPr="00B3127D">
        <w:rPr>
          <w:rFonts w:asciiTheme="minorHAnsi" w:hAnsiTheme="minorHAnsi"/>
          <w:b/>
          <w:bCs/>
          <w:sz w:val="22"/>
          <w:szCs w:val="22"/>
        </w:rPr>
        <w:t xml:space="preserve">ased on </w:t>
      </w:r>
      <w:r w:rsidRPr="00B3127D">
        <w:rPr>
          <w:rFonts w:asciiTheme="minorHAnsi" w:hAnsiTheme="minorHAnsi"/>
          <w:b/>
          <w:bCs/>
          <w:sz w:val="22"/>
          <w:szCs w:val="22"/>
        </w:rPr>
        <w:t>P</w:t>
      </w:r>
      <w:r w:rsidR="00FF6095" w:rsidRPr="00B3127D">
        <w:rPr>
          <w:rFonts w:asciiTheme="minorHAnsi" w:hAnsiTheme="minorHAnsi"/>
          <w:b/>
          <w:bCs/>
          <w:sz w:val="22"/>
          <w:szCs w:val="22"/>
        </w:rPr>
        <w:t xml:space="preserve">athway. </w:t>
      </w:r>
    </w:p>
    <w:p w14:paraId="1E10F0C5" w14:textId="77777777" w:rsidR="00B3127D" w:rsidRDefault="00B3127D" w:rsidP="00B43D1C">
      <w:pPr>
        <w:rPr>
          <w:rFonts w:asciiTheme="minorHAnsi" w:hAnsiTheme="minorHAnsi"/>
          <w:color w:val="000000"/>
          <w:sz w:val="22"/>
          <w:szCs w:val="22"/>
        </w:rPr>
      </w:pPr>
    </w:p>
    <w:p w14:paraId="4DE99D32" w14:textId="05335A04" w:rsidR="00B3127D" w:rsidRPr="00B3127D" w:rsidRDefault="00B3127D" w:rsidP="00B43D1C">
      <w:pPr>
        <w:rPr>
          <w:rFonts w:asciiTheme="minorHAnsi" w:hAnsiTheme="minorHAnsi"/>
          <w:b/>
          <w:bCs/>
          <w:color w:val="000000"/>
          <w:sz w:val="22"/>
          <w:szCs w:val="22"/>
        </w:rPr>
      </w:pPr>
      <w:r w:rsidRPr="00B43D1C">
        <w:rPr>
          <w:rFonts w:asciiTheme="minorHAnsi" w:hAnsiTheme="minorHAnsi"/>
          <w:b/>
          <w:bCs/>
          <w:color w:val="000000"/>
          <w:sz w:val="22"/>
          <w:szCs w:val="22"/>
        </w:rPr>
        <w:t>Biopower + CCS</w:t>
      </w:r>
    </w:p>
    <w:p w14:paraId="6CF83E67" w14:textId="6E9639E4" w:rsidR="00B3127D" w:rsidRDefault="00B3127D" w:rsidP="00B43D1C">
      <w:pPr>
        <w:rPr>
          <w:rFonts w:asciiTheme="minorHAnsi" w:hAnsiTheme="minorHAnsi"/>
          <w:color w:val="000000"/>
          <w:sz w:val="22"/>
          <w:szCs w:val="22"/>
        </w:rPr>
      </w:pPr>
      <w:r w:rsidRPr="00B43D1C">
        <w:rPr>
          <w:rFonts w:asciiTheme="minorHAnsi" w:hAnsiTheme="minorHAnsi"/>
          <w:color w:val="000000"/>
          <w:sz w:val="22"/>
          <w:szCs w:val="22"/>
        </w:rPr>
        <w:t xml:space="preserve">Biopower-generated electricity displaces the average Louisiana grid electricity in 2023. Louisiana spans two </w:t>
      </w:r>
      <w:proofErr w:type="spellStart"/>
      <w:r w:rsidRPr="00B43D1C">
        <w:rPr>
          <w:rFonts w:asciiTheme="minorHAnsi" w:hAnsiTheme="minorHAnsi"/>
          <w:color w:val="000000"/>
          <w:sz w:val="22"/>
          <w:szCs w:val="22"/>
        </w:rPr>
        <w:t>eGRID</w:t>
      </w:r>
      <w:proofErr w:type="spellEnd"/>
      <w:r w:rsidRPr="00B43D1C">
        <w:rPr>
          <w:rFonts w:asciiTheme="minorHAnsi" w:hAnsiTheme="minorHAnsi"/>
          <w:color w:val="000000"/>
          <w:sz w:val="22"/>
          <w:szCs w:val="22"/>
        </w:rPr>
        <w:t xml:space="preserve"> subregions (SERC Mississippi Valley and SERC South), so the region with the lowest carbon intensity, SERC Mississippi Valley, is used to be conservative</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{"citationID":"4BlMmFtW","properties":{"formattedCitation":"\\super 22\\nosupersub{}","plainCitation":"22","noteIndex":0},"citationItems":[{"id":5148,"uris":["http://zotero.org/groups/5665801/items/WB4U5S7D"],"itemData":{"id":5148,"type":"webpage","abstract":"This page provides eGRID data.","genre":"Data and Tools","language":"en","title":"eGRID2023 GHG emission factors","URL":"https://www.epa.gov/egrid/detailed-data","author":[{"family":"U.S. EPA","given":""}],"accessed":{"date-parts":[["2025",6,3]]},"issued":{"date-parts":[["2022",5,17]]}}}],"schema":"https://github.com/citation-style-language/schema/raw/master/csl-citation.json"} </w:instrText>
      </w:r>
      <w:r>
        <w:rPr>
          <w:rFonts w:asciiTheme="minorHAnsi" w:hAnsiTheme="minorHAnsi"/>
          <w:color w:val="000000"/>
          <w:sz w:val="22"/>
          <w:szCs w:val="22"/>
        </w:rPr>
        <w:fldChar w:fldCharType="separate"/>
      </w:r>
      <w:r w:rsidRPr="00B94A23">
        <w:rPr>
          <w:rFonts w:ascii="Aptos" w:eastAsiaTheme="minorHAnsi" w:hAnsiTheme="minorHAnsi"/>
          <w:color w:val="000000"/>
          <w:sz w:val="22"/>
          <w:vertAlign w:val="superscript"/>
          <w14:ligatures w14:val="standardContextual"/>
        </w:rPr>
        <w:t>22</w:t>
      </w:r>
      <w:r>
        <w:rPr>
          <w:rFonts w:asciiTheme="minorHAnsi" w:hAnsiTheme="minorHAnsi"/>
          <w:color w:val="000000"/>
          <w:sz w:val="22"/>
          <w:szCs w:val="22"/>
        </w:rPr>
        <w:fldChar w:fldCharType="end"/>
      </w:r>
      <w:r>
        <w:rPr>
          <w:rFonts w:asciiTheme="minorHAnsi" w:hAnsiTheme="minorHAnsi"/>
          <w:color w:val="000000"/>
          <w:sz w:val="22"/>
          <w:szCs w:val="22"/>
        </w:rPr>
        <w:t>.</w:t>
      </w:r>
      <w:r w:rsidRPr="00B43D1C">
        <w:rPr>
          <w:rFonts w:asciiTheme="minorHAnsi" w:hAnsiTheme="minorHAnsi"/>
          <w:color w:val="000000"/>
          <w:sz w:val="22"/>
          <w:szCs w:val="22"/>
        </w:rPr>
        <w:t> </w:t>
      </w:r>
    </w:p>
    <w:p w14:paraId="3DBA2EBE" w14:textId="77777777" w:rsidR="00B3127D" w:rsidRDefault="00B3127D" w:rsidP="00B43D1C">
      <w:pPr>
        <w:rPr>
          <w:rFonts w:asciiTheme="minorHAnsi" w:hAnsiTheme="minorHAnsi"/>
          <w:color w:val="000000"/>
          <w:sz w:val="22"/>
          <w:szCs w:val="22"/>
        </w:rPr>
      </w:pPr>
    </w:p>
    <w:p w14:paraId="414502C3" w14:textId="77777777" w:rsidR="00B3127D" w:rsidRPr="00B3127D" w:rsidRDefault="00B3127D" w:rsidP="00B3127D">
      <w:pPr>
        <w:rPr>
          <w:rFonts w:asciiTheme="minorHAnsi" w:hAnsiTheme="minorHAnsi"/>
          <w:b/>
          <w:bCs/>
          <w:sz w:val="22"/>
          <w:szCs w:val="22"/>
        </w:rPr>
      </w:pPr>
      <w:r w:rsidRPr="00B43D1C">
        <w:rPr>
          <w:rFonts w:asciiTheme="minorHAnsi" w:hAnsiTheme="minorHAnsi"/>
          <w:b/>
          <w:bCs/>
          <w:color w:val="000000"/>
          <w:sz w:val="22"/>
          <w:szCs w:val="22"/>
        </w:rPr>
        <w:t>Methanol + CCS</w:t>
      </w:r>
    </w:p>
    <w:p w14:paraId="55E8D5D5" w14:textId="65DF2BEB" w:rsidR="00B3127D" w:rsidRDefault="00B3127D" w:rsidP="00B43D1C">
      <w:pPr>
        <w:rPr>
          <w:rFonts w:asciiTheme="minorHAnsi" w:hAnsiTheme="minorHAnsi"/>
          <w:color w:val="000000"/>
          <w:sz w:val="22"/>
          <w:szCs w:val="22"/>
        </w:rPr>
      </w:pPr>
      <w:r w:rsidRPr="00B43D1C">
        <w:rPr>
          <w:rFonts w:asciiTheme="minorHAnsi" w:hAnsiTheme="minorHAnsi"/>
          <w:color w:val="000000"/>
          <w:sz w:val="22"/>
          <w:szCs w:val="22"/>
        </w:rPr>
        <w:t>Methanol produced via biomass gasification displaces conventional methanol produced from natural gas via steam reforming in the US, which is combusted for energy. Methane Institute gives well-to-gate (cradle-to-gate) emissions, excluding combustion emissions. So combustion emissions are added</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{"citationID":"9THqSLd6","properties":{"formattedCitation":"\\super 23\\nosupersub{}","plainCitation":"23","noteIndex":0},"citationItems":[{"id":5151,"uris":["http://zotero.org/groups/5665801/items/3AXBVVRH"],"itemData":{"id":5151,"type":"document","publisher":"Methanol Institute","title":"Life-cycle emissions of conventional methanol","URL":"https://www.methanol.org/wp-content/uploads/2022/01/CARBON-FOOTPRINT-OF-METHANOL-PAPER_1-31-22.pdf","author":[{"family":"Methanol Institute","given":""}],"issued":{"date-parts":[["2022"]]}}}],"schema":"https://github.com/citation-style-language/schema/raw/master/csl-citation.json"} </w:instrText>
      </w:r>
      <w:r>
        <w:rPr>
          <w:rFonts w:asciiTheme="minorHAnsi" w:hAnsiTheme="minorHAnsi"/>
          <w:color w:val="000000"/>
          <w:sz w:val="22"/>
          <w:szCs w:val="22"/>
        </w:rPr>
        <w:fldChar w:fldCharType="separate"/>
      </w:r>
      <w:r w:rsidRPr="00B94A23">
        <w:rPr>
          <w:rFonts w:ascii="Aptos" w:eastAsiaTheme="minorHAnsi" w:hAnsiTheme="minorHAnsi"/>
          <w:color w:val="000000"/>
          <w:sz w:val="22"/>
          <w:vertAlign w:val="superscript"/>
          <w14:ligatures w14:val="standardContextual"/>
        </w:rPr>
        <w:t>23</w:t>
      </w:r>
      <w:r>
        <w:rPr>
          <w:rFonts w:asciiTheme="minorHAnsi" w:hAnsiTheme="minorHAnsi"/>
          <w:color w:val="000000"/>
          <w:sz w:val="22"/>
          <w:szCs w:val="22"/>
        </w:rPr>
        <w:fldChar w:fldCharType="end"/>
      </w:r>
      <w:r>
        <w:rPr>
          <w:rFonts w:asciiTheme="minorHAnsi" w:hAnsiTheme="minorHAnsi"/>
          <w:color w:val="000000"/>
          <w:sz w:val="22"/>
          <w:szCs w:val="22"/>
        </w:rPr>
        <w:t>.</w:t>
      </w:r>
    </w:p>
    <w:p w14:paraId="72F1AED0" w14:textId="77777777" w:rsidR="00B3127D" w:rsidRDefault="00B3127D" w:rsidP="00B43D1C">
      <w:pPr>
        <w:rPr>
          <w:rFonts w:asciiTheme="minorHAnsi" w:hAnsiTheme="minorHAnsi"/>
          <w:b/>
          <w:bCs/>
          <w:color w:val="000000"/>
          <w:sz w:val="22"/>
          <w:szCs w:val="22"/>
        </w:rPr>
      </w:pPr>
    </w:p>
    <w:p w14:paraId="7C64CFEC" w14:textId="77777777" w:rsidR="00B3127D" w:rsidRPr="00B3127D" w:rsidRDefault="00B3127D" w:rsidP="00B3127D">
      <w:pPr>
        <w:rPr>
          <w:rFonts w:asciiTheme="minorHAnsi" w:hAnsiTheme="minorHAnsi"/>
          <w:b/>
          <w:bCs/>
          <w:sz w:val="22"/>
          <w:szCs w:val="22"/>
        </w:rPr>
      </w:pPr>
      <w:r w:rsidRPr="00B43D1C">
        <w:rPr>
          <w:rFonts w:asciiTheme="minorHAnsi" w:hAnsiTheme="minorHAnsi"/>
          <w:b/>
          <w:bCs/>
          <w:color w:val="000000"/>
          <w:sz w:val="22"/>
          <w:szCs w:val="22"/>
        </w:rPr>
        <w:t>E-methanol</w:t>
      </w:r>
    </w:p>
    <w:p w14:paraId="362B0B8F" w14:textId="77777777" w:rsidR="00B3127D" w:rsidRDefault="00B3127D" w:rsidP="00B3127D">
      <w:pPr>
        <w:rPr>
          <w:rFonts w:asciiTheme="minorHAnsi" w:hAnsiTheme="minorHAnsi"/>
          <w:color w:val="000000"/>
          <w:sz w:val="22"/>
          <w:szCs w:val="22"/>
        </w:rPr>
      </w:pPr>
      <w:r w:rsidRPr="00B43D1C">
        <w:rPr>
          <w:rFonts w:asciiTheme="minorHAnsi" w:hAnsiTheme="minorHAnsi"/>
          <w:color w:val="000000"/>
          <w:sz w:val="22"/>
          <w:szCs w:val="22"/>
        </w:rPr>
        <w:t>E-methanol produced via biomass gasification and electrolysis (green hydrogen production) displaces conventional methanol produced from natural gas via steam reforming in the US, which is combusted for energy. Methane Institute gives well-to-gate (cradle-to-gate) emissions, excluding combustion emissions. So combustion emissions are added</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{"citationID":"b1Cw3Hc4","properties":{"formattedCitation":"\\super 23\\nosupersub{}","plainCitation":"23","noteIndex":0},"citationItems":[{"id":5151,"uris":["http://zotero.org/groups/5665801/items/3AXBVVRH"],"itemData":{"id":5151,"type":"document","publisher":"Methanol Institute","title":"Life-cycle emissions of conventional methanol","URL":"https://www.methanol.org/wp-content/uploads/2022/01/CARBON-FOOTPRINT-OF-METHANOL-PAPER_1-31-22.pdf","author":[{"family":"Methanol Institute","given":""}],"issued":{"date-parts":[["2022"]]}}}],"schema":"https://github.com/citation-style-language/schema/raw/master/csl-citation.json"} </w:instrText>
      </w:r>
      <w:r>
        <w:rPr>
          <w:rFonts w:asciiTheme="minorHAnsi" w:hAnsiTheme="minorHAnsi"/>
          <w:color w:val="000000"/>
          <w:sz w:val="22"/>
          <w:szCs w:val="22"/>
        </w:rPr>
        <w:fldChar w:fldCharType="separate"/>
      </w:r>
      <w:r w:rsidRPr="00B94A23">
        <w:rPr>
          <w:rFonts w:ascii="Aptos" w:eastAsiaTheme="minorHAnsi" w:hAnsiTheme="minorHAnsi"/>
          <w:color w:val="000000"/>
          <w:sz w:val="22"/>
          <w:vertAlign w:val="superscript"/>
          <w14:ligatures w14:val="standardContextual"/>
        </w:rPr>
        <w:t>23</w:t>
      </w:r>
      <w:r>
        <w:rPr>
          <w:rFonts w:asciiTheme="minorHAnsi" w:hAnsiTheme="minorHAnsi"/>
          <w:color w:val="000000"/>
          <w:sz w:val="22"/>
          <w:szCs w:val="22"/>
        </w:rPr>
        <w:fldChar w:fldCharType="end"/>
      </w:r>
      <w:r>
        <w:rPr>
          <w:rFonts w:asciiTheme="minorHAnsi" w:hAnsiTheme="minorHAnsi"/>
          <w:color w:val="000000"/>
          <w:sz w:val="22"/>
          <w:szCs w:val="22"/>
        </w:rPr>
        <w:t>.</w:t>
      </w:r>
    </w:p>
    <w:p w14:paraId="0F365A87" w14:textId="77777777" w:rsidR="00B3127D" w:rsidRDefault="00B3127D" w:rsidP="00B3127D">
      <w:pPr>
        <w:rPr>
          <w:rFonts w:asciiTheme="minorHAnsi" w:hAnsiTheme="minorHAnsi"/>
          <w:color w:val="000000"/>
          <w:sz w:val="22"/>
          <w:szCs w:val="22"/>
        </w:rPr>
      </w:pPr>
    </w:p>
    <w:p w14:paraId="10816BE4" w14:textId="45F1738B" w:rsidR="00B3127D" w:rsidRPr="00B3127D" w:rsidRDefault="00B3127D" w:rsidP="00B3127D">
      <w:pPr>
        <w:rPr>
          <w:rFonts w:asciiTheme="minorHAnsi" w:hAnsiTheme="minorHAnsi"/>
          <w:b/>
          <w:bCs/>
          <w:color w:val="000000"/>
          <w:sz w:val="22"/>
          <w:szCs w:val="22"/>
        </w:rPr>
      </w:pPr>
      <w:r w:rsidRPr="00B43D1C">
        <w:rPr>
          <w:rFonts w:asciiTheme="minorHAnsi" w:hAnsiTheme="minorHAnsi"/>
          <w:b/>
          <w:bCs/>
          <w:color w:val="000000"/>
          <w:sz w:val="22"/>
          <w:szCs w:val="22"/>
        </w:rPr>
        <w:t>Bioplastics</w:t>
      </w:r>
    </w:p>
    <w:p w14:paraId="12421732" w14:textId="26DAE7CA" w:rsidR="00B3127D" w:rsidRPr="00B43D1C" w:rsidRDefault="00B3127D" w:rsidP="00B3127D">
      <w:pPr>
        <w:rPr>
          <w:rFonts w:asciiTheme="minorHAnsi" w:hAnsiTheme="minorHAnsi"/>
          <w:sz w:val="22"/>
          <w:szCs w:val="22"/>
        </w:rPr>
      </w:pPr>
      <w:r w:rsidRPr="00B43D1C">
        <w:rPr>
          <w:rFonts w:asciiTheme="minorHAnsi" w:hAnsiTheme="minorHAnsi"/>
          <w:color w:val="000000"/>
          <w:sz w:val="22"/>
          <w:szCs w:val="22"/>
        </w:rPr>
        <w:t xml:space="preserve">Bio-based PET replaces conventional fossil-derived PET production. In the fossil case, PTA is made from p-xylene (derived from the catalytic reforming of petroleum naphtha), and MEG is made from ethylene (derived from steam cracking of petroleum-derived naphtha or natural gas liquids). PET is </w:t>
      </w:r>
      <w:r w:rsidR="00711ACF">
        <w:rPr>
          <w:rFonts w:asciiTheme="minorHAnsi" w:hAnsiTheme="minorHAnsi"/>
          <w:color w:val="000000"/>
          <w:sz w:val="22"/>
          <w:szCs w:val="22"/>
        </w:rPr>
        <w:t xml:space="preserve">assumed to be </w:t>
      </w:r>
      <w:r w:rsidRPr="00B43D1C">
        <w:rPr>
          <w:rFonts w:asciiTheme="minorHAnsi" w:hAnsiTheme="minorHAnsi"/>
          <w:color w:val="000000"/>
          <w:sz w:val="22"/>
          <w:szCs w:val="22"/>
        </w:rPr>
        <w:t>incinerated</w:t>
      </w:r>
      <w:r w:rsidR="00711ACF">
        <w:rPr>
          <w:rFonts w:asciiTheme="minorHAnsi" w:hAnsiTheme="minorHAnsi"/>
          <w:color w:val="000000"/>
          <w:sz w:val="22"/>
          <w:szCs w:val="22"/>
        </w:rPr>
        <w:t xml:space="preserve"> for disposal</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{"citationID":"zllslipD","properties":{"formattedCitation":"\\super 14\\nosupersub{}","plainCitation":"14","noteIndex":0},"citationItems":[{"id":5129,"uris":["http://zotero.org/groups/5665801/items/QN2TRDIZ"],"itemData":{"id":5129,"type":"article-journal","abstract":"Both biofuels and bioplastics are often regarded as sustainable solutions to current environmental problems such as climate change, fossil depletion and acidification. However, both have been criticized for being economically costly, competing with other societally beneficial goods such as food, and offering limited environmental benefits compared to their fossil counterparts. This study provides a comparative environmental Life Cycle Analysis (LCA) for 100% bio-based polyethylene terephthalate (PET) bottles, versus fully fossil-based and partially bio-based PET bottles. An attributional life cycle assessment (aLCA) and sensitivity analysis of key assumptions is carried out to compare cradle-to-factory-gate impacts (i.e. feedstock extraction, component production and product manufacturing) of twelve PET bottle production scenarios. Results indicate that woody-biomass based PET bottles have 21% less global warming potential and require 22% less fossil fuel than their fossil based counterparts, but perform worse in other categories such as ecotoxicity and ozone depletion impacts. Results are sensitive to impact allocation assumptions as well as parameter input assumptions related to isobutanol production. In most categories, with avoided impact credits considered, forest residue feedstocks result in overall better environmental performance than corn stover feedstocks for bio-PET bottle production. The variability in avoided burdens could alter the relative environmental rankings for fossil and bio-PET bottles. Depending on the biomass feedstock, extraction and pre-processing are likely more emission-intensive than the corresponding fossil refinery processes due to the significant upstream emissions embodied in the application of fertilizers, and the significant chemical and energy inputs required to break recalcitrant lignocellulosic bonds.","container-title":"Journal of Cleaner Production","DOI":"10.1016/j.jclepro.2016.07.094","ISSN":"0959-6526","journalAbbreviation":"Journal of Cleaner Production","page":"667-676","source":"ScienceDirect","title":"Comparative life cycle assessment of fossil and bio-based polyethylene terephthalate (PET) bottles","volume":"137","author":[{"family":"Chen","given":"Luyi"},{"family":"Pelton","given":"Rylie E. O."},{"family":"Smith","given":"Timothy M."}],"issued":{"date-parts":[["2016",11,20]]}}}],"schema":"https://github.com/citation-style-language/schema/raw/master/csl-citation.json"} </w:instrText>
      </w:r>
      <w:r>
        <w:rPr>
          <w:rFonts w:asciiTheme="minorHAnsi" w:hAnsiTheme="minorHAnsi"/>
          <w:color w:val="000000"/>
          <w:sz w:val="22"/>
          <w:szCs w:val="22"/>
        </w:rPr>
        <w:fldChar w:fldCharType="separate"/>
      </w:r>
      <w:r w:rsidRPr="00B94A23">
        <w:rPr>
          <w:rFonts w:ascii="Aptos" w:eastAsiaTheme="minorHAnsi" w:hAnsiTheme="minorHAnsi"/>
          <w:color w:val="000000"/>
          <w:sz w:val="22"/>
          <w:vertAlign w:val="superscript"/>
          <w14:ligatures w14:val="standardContextual"/>
        </w:rPr>
        <w:t>14</w:t>
      </w:r>
      <w:r>
        <w:rPr>
          <w:rFonts w:asciiTheme="minorHAnsi" w:hAnsiTheme="minorHAnsi"/>
          <w:color w:val="000000"/>
          <w:sz w:val="22"/>
          <w:szCs w:val="22"/>
        </w:rPr>
        <w:fldChar w:fldCharType="end"/>
      </w:r>
      <w:r>
        <w:rPr>
          <w:rFonts w:asciiTheme="minorHAnsi" w:hAnsiTheme="minorHAnsi"/>
          <w:color w:val="000000"/>
          <w:sz w:val="22"/>
          <w:szCs w:val="22"/>
        </w:rPr>
        <w:t xml:space="preserve"> </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{"citationID":"I8W4sFe4","properties":{"formattedCitation":"\\super 24\\nosupersub{}","plainCitation":"24","noteIndex":0},"citationItems":[{"id":5153,"uris":["http://zotero.org/groups/5665801/items/8ICGNFLN"],"itemData":{"id":5153,"type":"article-journal","container-title":"National Institutes of Health","language":"en","source":"Zotero","title":"Life Cycle Environmental Impact of PET Water Bottles","URL":"https://nems.nih.gov/Documents/PETWaterBottlesEnvironmentalImpact.pdf","author":[{"family":"NIH","given":""}],"issued":{"date-parts":[["2022"]]}}}],"schema":"https://github.com/citation-style-language/schema/raw/master/csl-citation.json"} </w:instrText>
      </w:r>
      <w:r>
        <w:rPr>
          <w:rFonts w:asciiTheme="minorHAnsi" w:hAnsiTheme="minorHAnsi"/>
          <w:color w:val="000000"/>
          <w:sz w:val="22"/>
          <w:szCs w:val="22"/>
        </w:rPr>
        <w:fldChar w:fldCharType="separate"/>
      </w:r>
      <w:r w:rsidRPr="00B94A23">
        <w:rPr>
          <w:rFonts w:ascii="Aptos" w:eastAsiaTheme="minorHAnsi" w:hAnsiTheme="minorHAnsi"/>
          <w:color w:val="000000"/>
          <w:sz w:val="22"/>
          <w:vertAlign w:val="superscript"/>
          <w14:ligatures w14:val="standardContextual"/>
        </w:rPr>
        <w:t>24</w:t>
      </w:r>
      <w:r>
        <w:rPr>
          <w:rFonts w:asciiTheme="minorHAnsi" w:hAnsiTheme="minorHAnsi"/>
          <w:color w:val="000000"/>
          <w:sz w:val="22"/>
          <w:szCs w:val="22"/>
        </w:rPr>
        <w:fldChar w:fldCharType="end"/>
      </w:r>
      <w:r>
        <w:rPr>
          <w:rFonts w:asciiTheme="minorHAnsi" w:hAnsiTheme="minorHAnsi"/>
          <w:color w:val="000000"/>
          <w:sz w:val="22"/>
          <w:szCs w:val="22"/>
        </w:rPr>
        <w:t>.</w:t>
      </w:r>
      <w:r w:rsidRPr="00B43D1C">
        <w:rPr>
          <w:rFonts w:asciiTheme="minorHAnsi" w:hAnsiTheme="minorHAnsi"/>
          <w:sz w:val="22"/>
          <w:szCs w:val="22"/>
        </w:rPr>
        <w:t xml:space="preserve"> </w:t>
      </w:r>
    </w:p>
    <w:p w14:paraId="701730BD" w14:textId="77777777" w:rsidR="00B3127D" w:rsidRDefault="00B3127D" w:rsidP="00B3127D">
      <w:pPr>
        <w:rPr>
          <w:rFonts w:asciiTheme="minorHAnsi" w:hAnsiTheme="minorHAnsi"/>
          <w:sz w:val="22"/>
          <w:szCs w:val="22"/>
        </w:rPr>
      </w:pPr>
    </w:p>
    <w:p w14:paraId="3C918AE1" w14:textId="584E4DE1" w:rsidR="00B3127D" w:rsidRPr="00B3127D" w:rsidRDefault="00B3127D" w:rsidP="00B3127D">
      <w:pPr>
        <w:rPr>
          <w:rFonts w:asciiTheme="minorHAnsi" w:hAnsiTheme="minorHAnsi"/>
          <w:b/>
          <w:bCs/>
          <w:color w:val="000000"/>
          <w:sz w:val="22"/>
          <w:szCs w:val="22"/>
        </w:rPr>
      </w:pPr>
      <w:r w:rsidRPr="00B43D1C">
        <w:rPr>
          <w:rFonts w:asciiTheme="minorHAnsi" w:hAnsiTheme="minorHAnsi"/>
          <w:b/>
          <w:bCs/>
          <w:color w:val="000000"/>
          <w:sz w:val="22"/>
          <w:szCs w:val="22"/>
        </w:rPr>
        <w:t>P+P CCS</w:t>
      </w:r>
    </w:p>
    <w:p w14:paraId="0039CFA7" w14:textId="2D5FA8D8" w:rsidR="00B3127D" w:rsidRDefault="00B3127D" w:rsidP="00B3127D">
      <w:pPr>
        <w:rPr>
          <w:rFonts w:asciiTheme="minorHAnsi" w:hAnsiTheme="minorHAnsi"/>
          <w:color w:val="000000"/>
          <w:sz w:val="22"/>
          <w:szCs w:val="22"/>
        </w:rPr>
      </w:pPr>
      <w:r>
        <w:rPr>
          <w:rFonts w:asciiTheme="minorHAnsi" w:hAnsiTheme="minorHAnsi"/>
          <w:color w:val="000000"/>
          <w:sz w:val="22"/>
          <w:szCs w:val="22"/>
        </w:rPr>
        <w:t xml:space="preserve">Not applicable. </w:t>
      </w:r>
    </w:p>
    <w:p w14:paraId="47D0AA2E" w14:textId="77777777" w:rsidR="00B3127D" w:rsidRDefault="00B3127D" w:rsidP="00B3127D">
      <w:pPr>
        <w:rPr>
          <w:rFonts w:asciiTheme="minorHAnsi" w:hAnsiTheme="minorHAnsi"/>
          <w:color w:val="000000"/>
          <w:sz w:val="22"/>
          <w:szCs w:val="22"/>
        </w:rPr>
      </w:pPr>
    </w:p>
    <w:p w14:paraId="28ADD24E" w14:textId="4896FDCC" w:rsidR="00B3127D" w:rsidRPr="00B3127D" w:rsidRDefault="00B3127D" w:rsidP="00B3127D">
      <w:pPr>
        <w:rPr>
          <w:rFonts w:asciiTheme="minorHAnsi" w:hAnsiTheme="minorHAnsi"/>
          <w:b/>
          <w:bCs/>
          <w:color w:val="000000"/>
          <w:sz w:val="22"/>
          <w:szCs w:val="22"/>
        </w:rPr>
      </w:pPr>
      <w:r w:rsidRPr="00B43D1C">
        <w:rPr>
          <w:rFonts w:asciiTheme="minorHAnsi" w:hAnsiTheme="minorHAnsi"/>
          <w:b/>
          <w:bCs/>
          <w:color w:val="000000"/>
          <w:sz w:val="22"/>
          <w:szCs w:val="22"/>
        </w:rPr>
        <w:t>SAF + CCS </w:t>
      </w:r>
    </w:p>
    <w:p w14:paraId="27D54CF1" w14:textId="0F0472A7" w:rsidR="00B3127D" w:rsidRPr="00B43D1C" w:rsidRDefault="00B3127D" w:rsidP="00B3127D">
      <w:pPr>
        <w:rPr>
          <w:rFonts w:asciiTheme="minorHAnsi" w:hAnsiTheme="minorHAnsi"/>
          <w:sz w:val="22"/>
          <w:szCs w:val="22"/>
        </w:rPr>
      </w:pPr>
      <w:r w:rsidRPr="00B43D1C">
        <w:rPr>
          <w:rFonts w:asciiTheme="minorHAnsi" w:hAnsiTheme="minorHAnsi"/>
          <w:color w:val="000000"/>
          <w:sz w:val="22"/>
          <w:szCs w:val="22"/>
        </w:rPr>
        <w:t>SAF replaces conventional petroleum jet fuel. International Civil Aviation Organization (ICAO) and the U.S. Renewable Fuels Standard (RFS) baseline value. Assumes that SAF has the same low heating value (LHV) as conventional jet fuel</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{"citationID":"mh72ASQ1","properties":{"formattedCitation":"\\super 21\\nosupersub{}","plainCitation":"21","noteIndex":0},"citationItems":[{"id":5147,"uris":["http://zotero.org/groups/5665801/items/Y4FXFHKG"],"itemData":{"id":5147,"type":"document","publisher":"International Civil Aviation Organization","title":"CORSIA Eligible Fuels – Life Cycle Assessment Methodology","URL":"https://www.icao.int/environmental-protection/CORSIA/Documents/CORSIA_Eligible_Fuels/CORSIA_Supporting_Document_CORSIA%20Eligible%20Fuels_LCA_Methodology_V6.pdf","author":[{"family":"ICAO","given":""}],"issued":{"date-parts":[["2024",7]]}}}],"schema":"https://github.com/citation-style-language/schema/raw/master/csl-citation.json"} </w:instrText>
      </w:r>
      <w:r>
        <w:rPr>
          <w:rFonts w:asciiTheme="minorHAnsi" w:hAnsiTheme="minorHAnsi"/>
          <w:color w:val="000000"/>
          <w:sz w:val="22"/>
          <w:szCs w:val="22"/>
        </w:rPr>
        <w:fldChar w:fldCharType="separate"/>
      </w:r>
      <w:r w:rsidRPr="00B94A23">
        <w:rPr>
          <w:rFonts w:ascii="Aptos" w:eastAsiaTheme="minorHAnsi" w:hAnsiTheme="minorHAnsi"/>
          <w:color w:val="000000"/>
          <w:sz w:val="22"/>
          <w:vertAlign w:val="superscript"/>
          <w14:ligatures w14:val="standardContextual"/>
        </w:rPr>
        <w:t>21</w:t>
      </w:r>
      <w:r>
        <w:rPr>
          <w:rFonts w:asciiTheme="minorHAnsi" w:hAnsiTheme="minorHAnsi"/>
          <w:color w:val="000000"/>
          <w:sz w:val="22"/>
          <w:szCs w:val="22"/>
        </w:rPr>
        <w:fldChar w:fldCharType="end"/>
      </w:r>
      <w:r>
        <w:rPr>
          <w:rFonts w:asciiTheme="minorHAnsi" w:hAnsiTheme="minorHAnsi"/>
          <w:color w:val="000000"/>
          <w:sz w:val="22"/>
          <w:szCs w:val="22"/>
        </w:rPr>
        <w:t>.</w:t>
      </w:r>
      <w:r w:rsidRPr="00B43D1C">
        <w:rPr>
          <w:rFonts w:asciiTheme="minorHAnsi" w:hAnsiTheme="minorHAnsi"/>
          <w:color w:val="000000"/>
          <w:sz w:val="22"/>
          <w:szCs w:val="22"/>
        </w:rPr>
        <w:t> </w:t>
      </w:r>
    </w:p>
    <w:p w14:paraId="1E4426A7" w14:textId="77777777" w:rsidR="00B43D1C" w:rsidRPr="009E433E" w:rsidRDefault="00B43D1C" w:rsidP="00B43D1C">
      <w:pPr>
        <w:rPr>
          <w:rFonts w:asciiTheme="minorHAnsi" w:hAnsiTheme="minorHAnsi"/>
          <w:sz w:val="22"/>
          <w:szCs w:val="22"/>
        </w:rPr>
      </w:pPr>
    </w:p>
    <w:p w14:paraId="7DA2AE7F" w14:textId="6A0D6C38" w:rsidR="00B43D1C" w:rsidRDefault="00B3127D" w:rsidP="00B43D1C">
      <w:pPr>
        <w:rPr>
          <w:rFonts w:asciiTheme="minorHAnsi" w:hAnsiTheme="minorHAnsi"/>
          <w:b/>
          <w:bCs/>
          <w:sz w:val="22"/>
          <w:szCs w:val="22"/>
        </w:rPr>
      </w:pPr>
      <w:r>
        <w:rPr>
          <w:rFonts w:asciiTheme="minorHAnsi" w:hAnsiTheme="minorHAnsi"/>
          <w:b/>
          <w:bCs/>
          <w:sz w:val="22"/>
          <w:szCs w:val="22"/>
        </w:rPr>
        <w:t>3.3</w:t>
      </w:r>
      <w:r w:rsidR="00FF6095">
        <w:rPr>
          <w:rFonts w:asciiTheme="minorHAnsi" w:hAnsiTheme="minorHAnsi"/>
          <w:b/>
          <w:bCs/>
          <w:sz w:val="22"/>
          <w:szCs w:val="22"/>
        </w:rPr>
        <w:t xml:space="preserve"> </w:t>
      </w:r>
      <w:r w:rsidRPr="00B3127D">
        <w:rPr>
          <w:rFonts w:asciiTheme="minorHAnsi" w:hAnsiTheme="minorHAnsi"/>
          <w:b/>
          <w:bCs/>
          <w:sz w:val="22"/>
          <w:szCs w:val="22"/>
        </w:rPr>
        <w:t>Carbon</w:t>
      </w:r>
      <w:r w:rsidR="00FD3822" w:rsidRPr="00B3127D">
        <w:rPr>
          <w:rFonts w:asciiTheme="minorHAnsi" w:hAnsiTheme="minorHAnsi"/>
          <w:b/>
          <w:bCs/>
          <w:sz w:val="22"/>
          <w:szCs w:val="22"/>
        </w:rPr>
        <w:t xml:space="preserve"> </w:t>
      </w:r>
      <w:r w:rsidRPr="00B3127D">
        <w:rPr>
          <w:rFonts w:asciiTheme="minorHAnsi" w:hAnsiTheme="minorHAnsi"/>
          <w:b/>
          <w:bCs/>
          <w:sz w:val="22"/>
          <w:szCs w:val="22"/>
        </w:rPr>
        <w:t>R</w:t>
      </w:r>
      <w:r w:rsidR="00FD3822" w:rsidRPr="00B3127D">
        <w:rPr>
          <w:rFonts w:asciiTheme="minorHAnsi" w:hAnsiTheme="minorHAnsi"/>
          <w:b/>
          <w:bCs/>
          <w:sz w:val="22"/>
          <w:szCs w:val="22"/>
        </w:rPr>
        <w:t xml:space="preserve">emoval </w:t>
      </w:r>
      <w:r w:rsidRPr="00B3127D">
        <w:rPr>
          <w:rFonts w:asciiTheme="minorHAnsi" w:hAnsiTheme="minorHAnsi"/>
          <w:b/>
          <w:bCs/>
          <w:sz w:val="22"/>
          <w:szCs w:val="22"/>
        </w:rPr>
        <w:t>P</w:t>
      </w:r>
      <w:r w:rsidR="00FD3822" w:rsidRPr="00B3127D">
        <w:rPr>
          <w:rFonts w:asciiTheme="minorHAnsi" w:hAnsiTheme="minorHAnsi"/>
          <w:b/>
          <w:bCs/>
          <w:sz w:val="22"/>
          <w:szCs w:val="22"/>
        </w:rPr>
        <w:t>otential</w:t>
      </w:r>
      <w:r w:rsidR="00FF6095" w:rsidRPr="00B3127D">
        <w:rPr>
          <w:rFonts w:asciiTheme="minorHAnsi" w:hAnsiTheme="minorHAnsi"/>
          <w:b/>
          <w:bCs/>
          <w:sz w:val="22"/>
          <w:szCs w:val="22"/>
        </w:rPr>
        <w:t xml:space="preserve"> </w:t>
      </w:r>
      <w:r w:rsidRPr="00B3127D">
        <w:rPr>
          <w:rFonts w:asciiTheme="minorHAnsi" w:hAnsiTheme="minorHAnsi"/>
          <w:b/>
          <w:bCs/>
          <w:sz w:val="22"/>
          <w:szCs w:val="22"/>
        </w:rPr>
        <w:t>A</w:t>
      </w:r>
      <w:r w:rsidR="00FF6095" w:rsidRPr="00B3127D">
        <w:rPr>
          <w:rFonts w:asciiTheme="minorHAnsi" w:hAnsiTheme="minorHAnsi"/>
          <w:b/>
          <w:bCs/>
          <w:sz w:val="22"/>
          <w:szCs w:val="22"/>
        </w:rPr>
        <w:t xml:space="preserve">ssumptions </w:t>
      </w:r>
      <w:r w:rsidRPr="00B3127D">
        <w:rPr>
          <w:rFonts w:asciiTheme="minorHAnsi" w:hAnsiTheme="minorHAnsi"/>
          <w:b/>
          <w:bCs/>
          <w:sz w:val="22"/>
          <w:szCs w:val="22"/>
        </w:rPr>
        <w:t>B</w:t>
      </w:r>
      <w:r w:rsidR="00FF6095" w:rsidRPr="00B3127D">
        <w:rPr>
          <w:rFonts w:asciiTheme="minorHAnsi" w:hAnsiTheme="minorHAnsi"/>
          <w:b/>
          <w:bCs/>
          <w:sz w:val="22"/>
          <w:szCs w:val="22"/>
        </w:rPr>
        <w:t xml:space="preserve">ased on </w:t>
      </w:r>
      <w:r w:rsidRPr="00B3127D">
        <w:rPr>
          <w:rFonts w:asciiTheme="minorHAnsi" w:hAnsiTheme="minorHAnsi"/>
          <w:b/>
          <w:bCs/>
          <w:sz w:val="22"/>
          <w:szCs w:val="22"/>
        </w:rPr>
        <w:t>P</w:t>
      </w:r>
      <w:r w:rsidR="00FF6095" w:rsidRPr="00B3127D">
        <w:rPr>
          <w:rFonts w:asciiTheme="minorHAnsi" w:hAnsiTheme="minorHAnsi"/>
          <w:b/>
          <w:bCs/>
          <w:sz w:val="22"/>
          <w:szCs w:val="22"/>
        </w:rPr>
        <w:t>athway.</w:t>
      </w:r>
      <w:r w:rsidR="00FF6095">
        <w:rPr>
          <w:rFonts w:asciiTheme="minorHAnsi" w:hAnsiTheme="minorHAnsi"/>
          <w:sz w:val="22"/>
          <w:szCs w:val="22"/>
        </w:rPr>
        <w:t xml:space="preserve"> </w:t>
      </w:r>
      <w:r w:rsidR="00FD3822" w:rsidRPr="009E433E">
        <w:rPr>
          <w:rFonts w:asciiTheme="minorHAnsi" w:hAnsiTheme="minorHAnsi"/>
          <w:sz w:val="22"/>
          <w:szCs w:val="22"/>
        </w:rPr>
        <w:t xml:space="preserve"> </w:t>
      </w:r>
      <w:r w:rsidR="00FD3822" w:rsidRPr="009E433E">
        <w:rPr>
          <w:rFonts w:asciiTheme="minorHAnsi" w:hAnsiTheme="minorHAnsi"/>
          <w:b/>
          <w:bCs/>
          <w:sz w:val="22"/>
          <w:szCs w:val="22"/>
        </w:rPr>
        <w:t xml:space="preserve"> </w:t>
      </w:r>
    </w:p>
    <w:p w14:paraId="33AE1E3C" w14:textId="5AE62E36" w:rsidR="00B3127D" w:rsidRDefault="00B3127D" w:rsidP="00B43D1C">
      <w:pPr>
        <w:rPr>
          <w:rFonts w:asciiTheme="minorHAnsi" w:hAnsiTheme="minorHAnsi"/>
          <w:b/>
          <w:bCs/>
          <w:sz w:val="22"/>
          <w:szCs w:val="22"/>
        </w:rPr>
      </w:pPr>
    </w:p>
    <w:p w14:paraId="32CA9027" w14:textId="144E5C06" w:rsidR="00B3127D" w:rsidRDefault="00B3127D" w:rsidP="00B43D1C">
      <w:pPr>
        <w:rPr>
          <w:rFonts w:asciiTheme="minorHAnsi" w:hAnsiTheme="minorHAnsi"/>
          <w:b/>
          <w:bCs/>
          <w:color w:val="000000"/>
          <w:sz w:val="22"/>
          <w:szCs w:val="22"/>
        </w:rPr>
      </w:pPr>
      <w:r w:rsidRPr="00B43D1C">
        <w:rPr>
          <w:rFonts w:asciiTheme="minorHAnsi" w:hAnsiTheme="minorHAnsi"/>
          <w:b/>
          <w:bCs/>
          <w:color w:val="000000"/>
          <w:sz w:val="22"/>
          <w:szCs w:val="22"/>
        </w:rPr>
        <w:t>Biopower + CCS</w:t>
      </w:r>
    </w:p>
    <w:p w14:paraId="63390FF6" w14:textId="73EF9557" w:rsidR="00B3127D" w:rsidRDefault="00B3127D" w:rsidP="00B43D1C">
      <w:pPr>
        <w:rPr>
          <w:rFonts w:asciiTheme="minorHAnsi" w:hAnsiTheme="minorHAnsi"/>
          <w:color w:val="000000"/>
          <w:sz w:val="22"/>
          <w:szCs w:val="22"/>
        </w:rPr>
      </w:pPr>
      <w:r w:rsidRPr="00B43D1C">
        <w:rPr>
          <w:rFonts w:asciiTheme="minorHAnsi" w:hAnsiTheme="minorHAnsi"/>
          <w:color w:val="000000"/>
          <w:sz w:val="22"/>
          <w:szCs w:val="22"/>
        </w:rPr>
        <w:lastRenderedPageBreak/>
        <w:t>Gross 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removal potential (total 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available for capture and storage) from biomass, calculated using the energy and carbon balance of </w:t>
      </w:r>
      <w:proofErr w:type="gramStart"/>
      <w:r w:rsidRPr="00B43D1C">
        <w:rPr>
          <w:rFonts w:asciiTheme="minorHAnsi" w:hAnsiTheme="minorHAnsi"/>
          <w:color w:val="000000"/>
          <w:sz w:val="22"/>
          <w:szCs w:val="22"/>
        </w:rPr>
        <w:t>bone dry</w:t>
      </w:r>
      <w:proofErr w:type="gramEnd"/>
      <w:r w:rsidRPr="00B43D1C">
        <w:rPr>
          <w:rFonts w:asciiTheme="minorHAnsi" w:hAnsiTheme="minorHAnsi"/>
          <w:color w:val="000000"/>
          <w:sz w:val="22"/>
          <w:szCs w:val="22"/>
        </w:rPr>
        <w:t xml:space="preserve"> biomass. Assumes the carbon content of bone dry biomass is 50 </w:t>
      </w:r>
      <w:proofErr w:type="spellStart"/>
      <w:r w:rsidRPr="00B43D1C">
        <w:rPr>
          <w:rFonts w:asciiTheme="minorHAnsi" w:hAnsiTheme="minorHAnsi"/>
          <w:color w:val="000000"/>
          <w:sz w:val="22"/>
          <w:szCs w:val="22"/>
        </w:rPr>
        <w:t>wt</w:t>
      </w:r>
      <w:proofErr w:type="spellEnd"/>
      <w:r w:rsidRPr="00B43D1C">
        <w:rPr>
          <w:rFonts w:asciiTheme="minorHAnsi" w:hAnsiTheme="minorHAnsi"/>
          <w:color w:val="000000"/>
          <w:sz w:val="22"/>
          <w:szCs w:val="22"/>
        </w:rPr>
        <w:t>%, that 1 tonne of bone dry biomass produces 18 GJ of energy, that the thermal efficiency of the process is 30%, and that the power requirement per tCO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capture is around 1 MWh/tCO</w:t>
      </w:r>
      <w:r w:rsidRPr="00B43D1C">
        <w:rPr>
          <w:rFonts w:asciiTheme="minorHAnsi" w:hAnsiTheme="minorHAnsi"/>
          <w:color w:val="000000"/>
          <w:sz w:val="22"/>
          <w:szCs w:val="22"/>
          <w:vertAlign w:val="subscript"/>
        </w:rPr>
        <w:t>2</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{"citationID":"lCfNTg1Q","properties":{"formattedCitation":"\\super 25\\nosupersub{}","plainCitation":"25","noteIndex":0},"citationItems":[{"id":5155,"uris":["http://zotero.org/groups/5665801/items/GGC6F3RG"],"itemData":{"id":5155,"type":"article-journal","container-title":"International Energy Agency","language":"en","source":"Zotero","title":"Bioenergy – a sustainable and reliable energy source: A review of status and prospects","author":[{"family":"Bauen","given":"Ausilio"},{"family":"Berndes","given":"Göran"},{"family":"Junginger","given":"Martin"},{"family":"Londo","given":"Marc"},{"family":"Vuille","given":"François"}],"issued":{"date-parts":[["2009"]]}}}],"schema":"https://github.com/citation-style-language/schema/raw/master/csl-citation.json"} </w:instrText>
      </w:r>
      <w:r>
        <w:rPr>
          <w:rFonts w:asciiTheme="minorHAnsi" w:hAnsiTheme="minorHAnsi"/>
          <w:color w:val="000000"/>
          <w:sz w:val="22"/>
          <w:szCs w:val="22"/>
        </w:rPr>
        <w:fldChar w:fldCharType="separate"/>
      </w:r>
      <w:r w:rsidRPr="00533C58">
        <w:rPr>
          <w:rFonts w:ascii="Aptos" w:eastAsiaTheme="minorHAnsi" w:hAnsiTheme="minorHAnsi"/>
          <w:color w:val="000000"/>
          <w:sz w:val="22"/>
          <w:vertAlign w:val="superscript"/>
          <w14:ligatures w14:val="standardContextual"/>
        </w:rPr>
        <w:t>25</w:t>
      </w:r>
      <w:r>
        <w:rPr>
          <w:rFonts w:asciiTheme="minorHAnsi" w:hAnsiTheme="minorHAnsi"/>
          <w:color w:val="000000"/>
          <w:sz w:val="22"/>
          <w:szCs w:val="22"/>
        </w:rPr>
        <w:fldChar w:fldCharType="end"/>
      </w:r>
      <w:r>
        <w:rPr>
          <w:rFonts w:asciiTheme="minorHAnsi" w:hAnsiTheme="minorHAnsi"/>
          <w:color w:val="000000"/>
          <w:sz w:val="22"/>
          <w:szCs w:val="22"/>
        </w:rPr>
        <w:t xml:space="preserve"> </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{"citationID":"LwkE4zHv","properties":{"formattedCitation":"\\super 26\\nosupersub{}","plainCitation":"26","noteIndex":0},"citationItems":[{"id":5157,"uris":["http://zotero.org/groups/5665801/items/XTVNMI2G"],"itemData":{"id":5157,"type":"article-journal","container-title":"International Renewable Energy Agency","language":"en","source":"Zotero","title":"Biomass for Heat and Power Technology Brief","URL":"https://www.irena.org/-/media/Files/IRENA/Agency/Publication/2015/IRENA-ETSAP_Tech_Brief_E05_Biomass-for-Heat-and-Power.pdf","author":[{"family":"IRENA","given":""}],"issued":{"date-parts":[["2015"]]}}}],"schema":"https://github.com/citation-style-language/schema/raw/master/csl-citation.json"} </w:instrText>
      </w:r>
      <w:r>
        <w:rPr>
          <w:rFonts w:asciiTheme="minorHAnsi" w:hAnsiTheme="minorHAnsi"/>
          <w:color w:val="000000"/>
          <w:sz w:val="22"/>
          <w:szCs w:val="22"/>
        </w:rPr>
        <w:fldChar w:fldCharType="separate"/>
      </w:r>
      <w:r w:rsidRPr="00533C58">
        <w:rPr>
          <w:rFonts w:ascii="Aptos" w:eastAsiaTheme="minorHAnsi" w:hAnsiTheme="minorHAnsi"/>
          <w:color w:val="000000"/>
          <w:sz w:val="22"/>
          <w:vertAlign w:val="superscript"/>
          <w14:ligatures w14:val="standardContextual"/>
        </w:rPr>
        <w:t>26</w:t>
      </w:r>
      <w:r>
        <w:rPr>
          <w:rFonts w:asciiTheme="minorHAnsi" w:hAnsiTheme="minorHAnsi"/>
          <w:color w:val="000000"/>
          <w:sz w:val="22"/>
          <w:szCs w:val="22"/>
        </w:rPr>
        <w:fldChar w:fldCharType="end"/>
      </w:r>
      <w:r>
        <w:rPr>
          <w:rFonts w:asciiTheme="minorHAnsi" w:hAnsiTheme="minorHAnsi"/>
          <w:color w:val="000000"/>
          <w:sz w:val="22"/>
          <w:szCs w:val="22"/>
        </w:rPr>
        <w:t xml:space="preserve">. </w:t>
      </w:r>
    </w:p>
    <w:p w14:paraId="4EE46EA4" w14:textId="77777777" w:rsidR="006D2CED" w:rsidRDefault="006D2CED" w:rsidP="00B43D1C">
      <w:pPr>
        <w:rPr>
          <w:rFonts w:asciiTheme="minorHAnsi" w:hAnsiTheme="minorHAnsi"/>
          <w:color w:val="000000"/>
          <w:sz w:val="22"/>
          <w:szCs w:val="22"/>
        </w:rPr>
      </w:pPr>
    </w:p>
    <w:p w14:paraId="2D20A0CE" w14:textId="22CAC65E" w:rsidR="006D2CED" w:rsidRPr="006D2CED" w:rsidRDefault="006D2CED" w:rsidP="00B43D1C">
      <w:pPr>
        <w:rPr>
          <w:rFonts w:asciiTheme="minorHAnsi" w:hAnsiTheme="minorHAnsi"/>
          <w:b/>
          <w:bCs/>
          <w:color w:val="000000"/>
          <w:sz w:val="22"/>
          <w:szCs w:val="22"/>
        </w:rPr>
      </w:pPr>
      <w:r w:rsidRPr="006D2CED">
        <w:rPr>
          <w:rFonts w:asciiTheme="minorHAnsi" w:hAnsiTheme="minorHAnsi"/>
          <w:b/>
          <w:bCs/>
          <w:color w:val="000000"/>
          <w:sz w:val="22"/>
          <w:szCs w:val="22"/>
        </w:rPr>
        <w:t>Methanol + CCS</w:t>
      </w:r>
    </w:p>
    <w:p w14:paraId="1839DC05" w14:textId="36FAF17F" w:rsidR="006D2CED" w:rsidRDefault="006D2CED" w:rsidP="006D2CED">
      <w:pPr>
        <w:rPr>
          <w:rFonts w:asciiTheme="minorHAnsi" w:hAnsiTheme="minorHAnsi"/>
          <w:color w:val="000000"/>
          <w:sz w:val="22"/>
          <w:szCs w:val="22"/>
        </w:rPr>
      </w:pPr>
      <w:r w:rsidRPr="00B43D1C">
        <w:rPr>
          <w:rFonts w:asciiTheme="minorHAnsi" w:hAnsiTheme="minorHAnsi"/>
          <w:color w:val="000000"/>
          <w:sz w:val="22"/>
          <w:szCs w:val="22"/>
        </w:rPr>
        <w:t>Gross 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removal potential (total 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available for capture and storage) from biomass, calculated using the carbon balance of </w:t>
      </w:r>
      <w:proofErr w:type="gramStart"/>
      <w:r w:rsidRPr="00B43D1C">
        <w:rPr>
          <w:rFonts w:asciiTheme="minorHAnsi" w:hAnsiTheme="minorHAnsi"/>
          <w:color w:val="000000"/>
          <w:sz w:val="22"/>
          <w:szCs w:val="22"/>
        </w:rPr>
        <w:t>bone dry</w:t>
      </w:r>
      <w:proofErr w:type="gramEnd"/>
      <w:r w:rsidRPr="00B43D1C">
        <w:rPr>
          <w:rFonts w:asciiTheme="minorHAnsi" w:hAnsiTheme="minorHAnsi"/>
          <w:color w:val="000000"/>
          <w:sz w:val="22"/>
          <w:szCs w:val="22"/>
        </w:rPr>
        <w:t xml:space="preserve"> biomass. Assumes the carbon content of bone dry biomass is 50 </w:t>
      </w:r>
      <w:proofErr w:type="spellStart"/>
      <w:r w:rsidRPr="00B43D1C">
        <w:rPr>
          <w:rFonts w:asciiTheme="minorHAnsi" w:hAnsiTheme="minorHAnsi"/>
          <w:color w:val="000000"/>
          <w:sz w:val="22"/>
          <w:szCs w:val="22"/>
        </w:rPr>
        <w:t>wt</w:t>
      </w:r>
      <w:proofErr w:type="spellEnd"/>
      <w:r w:rsidRPr="00B43D1C">
        <w:rPr>
          <w:rFonts w:asciiTheme="minorHAnsi" w:hAnsiTheme="minorHAnsi"/>
          <w:color w:val="000000"/>
          <w:sz w:val="22"/>
          <w:szCs w:val="22"/>
        </w:rPr>
        <w:t xml:space="preserve">%, that 1 tonne of biomass produces 0.458 </w:t>
      </w:r>
      <w:proofErr w:type="spellStart"/>
      <w:r w:rsidRPr="00B43D1C">
        <w:rPr>
          <w:rFonts w:asciiTheme="minorHAnsi" w:hAnsiTheme="minorHAnsi"/>
          <w:color w:val="000000"/>
          <w:sz w:val="22"/>
          <w:szCs w:val="22"/>
        </w:rPr>
        <w:t>kmol</w:t>
      </w:r>
      <w:proofErr w:type="spellEnd"/>
      <w:r w:rsidRPr="00B43D1C">
        <w:rPr>
          <w:rFonts w:asciiTheme="minorHAnsi" w:hAnsiTheme="minorHAnsi"/>
          <w:color w:val="000000"/>
          <w:sz w:val="22"/>
          <w:szCs w:val="22"/>
        </w:rPr>
        <w:t xml:space="preserve"> of methanol via gasification, with the remaining carbon being captured and stored as CDR</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{"citationID":"aNhA8K16","properties":{"formattedCitation":"\\super 27\\nosupersub{}","plainCitation":"27","noteIndex":0},"citationItems":[{"id":5158,"uris":["http://zotero.org/groups/5665801/items/DS46V3LI"],"itemData":{"id":5158,"type":"article-journal","abstract":"Methanol production from biomass gasification faces the problem of excess carbon, mostly carbon dioxide, in the produced synthesis gas. The stoichiometric ratio among hydrogen, carbon dioxide and carbon monoxide, required to optimise the energy efficiency of the process, can be achieved either by adding hydrogen produced by water electrolysis or by removing carbon dioxide through Rectisol process. These two processes are analysed and compared by means of a proper plant simulation. Moreover, methanol process demands a high amount of energy to get an almost pure product, implying elevated investments. Pinch analysis has been applied to minimize this energy consumption, designing an optimised heat exchanger network and investigating thermal integration opportunities among different sub-processes.","container-title":"Chemical Engineering Transactions","DOI":"10.3303/CET1437051","ISSN":"2283-9216","language":"en","license":"Copyright (c)","page":"301-306","source":"www.cetjournal.it","title":"Energy Efficiency Optimisation in Different Plant Solutions for Methanol Production from Biomass Gasification","volume":"37","author":[{"family":"Puerari","given":"F."},{"family":"Bosio","given":"B."},{"family":"Heyen","given":"G."}],"issued":{"date-parts":[["2014",6,20]]}}}],"schema":"https://github.com/citation-style-language/schema/raw/master/csl-citation.json"} </w:instrText>
      </w:r>
      <w:r>
        <w:rPr>
          <w:rFonts w:asciiTheme="minorHAnsi" w:hAnsiTheme="minorHAnsi"/>
          <w:color w:val="000000"/>
          <w:sz w:val="22"/>
          <w:szCs w:val="22"/>
        </w:rPr>
        <w:fldChar w:fldCharType="separate"/>
      </w:r>
      <w:r w:rsidRPr="00533C58">
        <w:rPr>
          <w:rFonts w:ascii="Aptos" w:eastAsiaTheme="minorHAnsi" w:hAnsiTheme="minorHAnsi"/>
          <w:color w:val="000000"/>
          <w:sz w:val="22"/>
          <w:vertAlign w:val="superscript"/>
          <w14:ligatures w14:val="standardContextual"/>
        </w:rPr>
        <w:t>27</w:t>
      </w:r>
      <w:r>
        <w:rPr>
          <w:rFonts w:asciiTheme="minorHAnsi" w:hAnsiTheme="minorHAnsi"/>
          <w:color w:val="000000"/>
          <w:sz w:val="22"/>
          <w:szCs w:val="22"/>
        </w:rPr>
        <w:fldChar w:fldCharType="end"/>
      </w:r>
      <w:r>
        <w:rPr>
          <w:rFonts w:asciiTheme="minorHAnsi" w:hAnsiTheme="minorHAnsi"/>
          <w:color w:val="000000"/>
          <w:sz w:val="22"/>
          <w:szCs w:val="22"/>
        </w:rPr>
        <w:t>.</w:t>
      </w:r>
    </w:p>
    <w:p w14:paraId="53366042" w14:textId="77777777" w:rsidR="006D2CED" w:rsidRDefault="006D2CED" w:rsidP="006D2CED">
      <w:pPr>
        <w:rPr>
          <w:rFonts w:asciiTheme="minorHAnsi" w:hAnsiTheme="minorHAnsi"/>
          <w:color w:val="000000"/>
          <w:sz w:val="22"/>
          <w:szCs w:val="22"/>
        </w:rPr>
      </w:pPr>
    </w:p>
    <w:p w14:paraId="6B8CFDED" w14:textId="4F72EAD7" w:rsidR="006D2CED" w:rsidRPr="006D2CED" w:rsidRDefault="006D2CED" w:rsidP="006D2CED">
      <w:pPr>
        <w:rPr>
          <w:rFonts w:asciiTheme="minorHAnsi" w:hAnsiTheme="minorHAnsi"/>
          <w:b/>
          <w:bCs/>
          <w:color w:val="000000"/>
          <w:sz w:val="22"/>
          <w:szCs w:val="22"/>
        </w:rPr>
      </w:pPr>
      <w:r w:rsidRPr="006D2CED">
        <w:rPr>
          <w:rFonts w:asciiTheme="minorHAnsi" w:hAnsiTheme="minorHAnsi"/>
          <w:b/>
          <w:bCs/>
          <w:color w:val="000000"/>
          <w:sz w:val="22"/>
          <w:szCs w:val="22"/>
        </w:rPr>
        <w:t>E-methanol</w:t>
      </w:r>
    </w:p>
    <w:p w14:paraId="7B9E7F3A" w14:textId="6E3E28B5" w:rsidR="006D2CED" w:rsidRDefault="006D2CED" w:rsidP="006D2CED">
      <w:pPr>
        <w:rPr>
          <w:rFonts w:asciiTheme="minorHAnsi" w:hAnsiTheme="minorHAnsi"/>
          <w:color w:val="000000"/>
          <w:sz w:val="22"/>
          <w:szCs w:val="22"/>
        </w:rPr>
      </w:pPr>
      <w:r w:rsidRPr="00B43D1C">
        <w:rPr>
          <w:rFonts w:asciiTheme="minorHAnsi" w:hAnsiTheme="minorHAnsi"/>
          <w:color w:val="000000"/>
          <w:sz w:val="22"/>
          <w:szCs w:val="22"/>
        </w:rPr>
        <w:t>Gross 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removal potential (total 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available for capture and storage) from biomass, calculated using the energy and carbon balance of </w:t>
      </w:r>
      <w:proofErr w:type="gramStart"/>
      <w:r w:rsidRPr="00B43D1C">
        <w:rPr>
          <w:rFonts w:asciiTheme="minorHAnsi" w:hAnsiTheme="minorHAnsi"/>
          <w:color w:val="000000"/>
          <w:sz w:val="22"/>
          <w:szCs w:val="22"/>
        </w:rPr>
        <w:t>bone dry</w:t>
      </w:r>
      <w:proofErr w:type="gramEnd"/>
      <w:r w:rsidRPr="00B43D1C">
        <w:rPr>
          <w:rFonts w:asciiTheme="minorHAnsi" w:hAnsiTheme="minorHAnsi"/>
          <w:color w:val="000000"/>
          <w:sz w:val="22"/>
          <w:szCs w:val="22"/>
        </w:rPr>
        <w:t xml:space="preserve"> biomass. For the bioenergy plant, it assumes the carbon content of </w:t>
      </w:r>
      <w:proofErr w:type="gramStart"/>
      <w:r w:rsidRPr="00B43D1C">
        <w:rPr>
          <w:rFonts w:asciiTheme="minorHAnsi" w:hAnsiTheme="minorHAnsi"/>
          <w:color w:val="000000"/>
          <w:sz w:val="22"/>
          <w:szCs w:val="22"/>
        </w:rPr>
        <w:t>bone dry</w:t>
      </w:r>
      <w:proofErr w:type="gramEnd"/>
      <w:r w:rsidRPr="00B43D1C">
        <w:rPr>
          <w:rFonts w:asciiTheme="minorHAnsi" w:hAnsiTheme="minorHAnsi"/>
          <w:color w:val="000000"/>
          <w:sz w:val="22"/>
          <w:szCs w:val="22"/>
        </w:rPr>
        <w:t xml:space="preserve"> biomass is 50 </w:t>
      </w:r>
      <w:proofErr w:type="spellStart"/>
      <w:r w:rsidRPr="00B43D1C">
        <w:rPr>
          <w:rFonts w:asciiTheme="minorHAnsi" w:hAnsiTheme="minorHAnsi"/>
          <w:color w:val="000000"/>
          <w:sz w:val="22"/>
          <w:szCs w:val="22"/>
        </w:rPr>
        <w:t>wt</w:t>
      </w:r>
      <w:proofErr w:type="spellEnd"/>
      <w:r w:rsidRPr="00B43D1C">
        <w:rPr>
          <w:rFonts w:asciiTheme="minorHAnsi" w:hAnsiTheme="minorHAnsi"/>
          <w:color w:val="000000"/>
          <w:sz w:val="22"/>
          <w:szCs w:val="22"/>
        </w:rPr>
        <w:t xml:space="preserve">%, that 1 tonne of </w:t>
      </w:r>
      <w:proofErr w:type="gramStart"/>
      <w:r w:rsidRPr="00B43D1C">
        <w:rPr>
          <w:rFonts w:asciiTheme="minorHAnsi" w:hAnsiTheme="minorHAnsi"/>
          <w:color w:val="000000"/>
          <w:sz w:val="22"/>
          <w:szCs w:val="22"/>
        </w:rPr>
        <w:t>bone dry</w:t>
      </w:r>
      <w:proofErr w:type="gramEnd"/>
      <w:r w:rsidRPr="00B43D1C">
        <w:rPr>
          <w:rFonts w:asciiTheme="minorHAnsi" w:hAnsiTheme="minorHAnsi"/>
          <w:color w:val="000000"/>
          <w:sz w:val="22"/>
          <w:szCs w:val="22"/>
        </w:rPr>
        <w:t xml:space="preserve"> biomass produces 18 GJ of energy, that the thermal efficiency of the process is 30%, and that the power requirement per tCO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capture is around 1 MWh/tCO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Also assumes that 1.4 tCO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is needed to produce 1 tonne of e-methanol. The remaining carbon is captured and stored as CDR</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{"citationID":"XKe6RcjV","properties":{"formattedCitation":"\\super 25\\nosupersub{}","plainCitation":"25","noteIndex":0},"citationItems":[{"id":5155,"uris":["http://zotero.org/groups/5665801/items/GGC6F3RG"],"itemData":{"id":5155,"type":"article-journal","container-title":"International Energy Agency","language":"en","source":"Zotero","title":"Bioenergy – a sustainable and reliable energy source: A review of status and prospects","author":[{"family":"Bauen","given":"Ausilio"},{"family":"Berndes","given":"Göran"},{"family":"Junginger","given":"Martin"},{"family":"Londo","given":"Marc"},{"family":"Vuille","given":"François"}],"issued":{"date-parts":[["2009"]]}}}],"schema":"https://github.com/citation-style-language/schema/raw/master/csl-citation.json"} </w:instrText>
      </w:r>
      <w:r>
        <w:rPr>
          <w:rFonts w:asciiTheme="minorHAnsi" w:hAnsiTheme="minorHAnsi"/>
          <w:color w:val="000000"/>
          <w:sz w:val="22"/>
          <w:szCs w:val="22"/>
        </w:rPr>
        <w:fldChar w:fldCharType="separate"/>
      </w:r>
      <w:r w:rsidRPr="00533C58">
        <w:rPr>
          <w:rFonts w:ascii="Aptos" w:eastAsiaTheme="minorHAnsi" w:hAnsiTheme="minorHAnsi"/>
          <w:color w:val="000000"/>
          <w:sz w:val="22"/>
          <w:vertAlign w:val="superscript"/>
          <w14:ligatures w14:val="standardContextual"/>
        </w:rPr>
        <w:t>25</w:t>
      </w:r>
      <w:r>
        <w:rPr>
          <w:rFonts w:asciiTheme="minorHAnsi" w:hAnsiTheme="minorHAnsi"/>
          <w:color w:val="000000"/>
          <w:sz w:val="22"/>
          <w:szCs w:val="22"/>
        </w:rPr>
        <w:fldChar w:fldCharType="end"/>
      </w:r>
      <w:r>
        <w:rPr>
          <w:rFonts w:asciiTheme="minorHAnsi" w:hAnsiTheme="minorHAnsi"/>
          <w:color w:val="000000"/>
          <w:sz w:val="22"/>
          <w:szCs w:val="22"/>
        </w:rPr>
        <w:t xml:space="preserve"> </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{"citationID":"0bpsfDgx","properties":{"formattedCitation":"\\super 28\\nosupersub{}","plainCitation":"28","noteIndex":0},"citationItems":[{"id":5160,"uris":["http://zotero.org/groups/5665801/items/LNTAT946"],"itemData":{"id":5160,"type":"post-weblog","abstract":"French green hydrogen producer Lhyfe estimates a renewables hydrogen-based DRI-EAF steelmaking process would cut CO2 emissions by 75-100% versus the blast furnace route, employing 54kg of green hydrogen/tonne of finished steel. The hydrogen producer is in talks with steelmakers in Europe for possible collaborations and hydrogen production plant development (see Kallanish passim). A DRI plant would require a","container-title":"EUROMETAL","language":"en-GB","title":"Lhyfe foresees 54kg green hydrogen per tonne requirement","URL":"https://eurometal.net/lhyfe-foresees-54kg-green-hydrogen-per-tonne-requirement/","author":[{"family":"Capro","given":"Natalia"}],"accessed":{"date-parts":[["2025",6,3]]},"issued":{"date-parts":[["2023",11,24]]}}}],"schema":"https://github.com/citation-style-language/schema/raw/master/csl-citation.json"} </w:instrText>
      </w:r>
      <w:r>
        <w:rPr>
          <w:rFonts w:asciiTheme="minorHAnsi" w:hAnsiTheme="minorHAnsi"/>
          <w:color w:val="000000"/>
          <w:sz w:val="22"/>
          <w:szCs w:val="22"/>
        </w:rPr>
        <w:fldChar w:fldCharType="separate"/>
      </w:r>
      <w:r w:rsidRPr="00533C58">
        <w:rPr>
          <w:rFonts w:ascii="Aptos" w:eastAsiaTheme="minorHAnsi" w:hAnsiTheme="minorHAnsi"/>
          <w:color w:val="000000"/>
          <w:sz w:val="22"/>
          <w:vertAlign w:val="superscript"/>
          <w14:ligatures w14:val="standardContextual"/>
        </w:rPr>
        <w:t>28</w:t>
      </w:r>
      <w:r>
        <w:rPr>
          <w:rFonts w:asciiTheme="minorHAnsi" w:hAnsiTheme="minorHAnsi"/>
          <w:color w:val="000000"/>
          <w:sz w:val="22"/>
          <w:szCs w:val="22"/>
        </w:rPr>
        <w:fldChar w:fldCharType="end"/>
      </w:r>
      <w:r>
        <w:rPr>
          <w:rFonts w:asciiTheme="minorHAnsi" w:hAnsiTheme="minorHAnsi"/>
          <w:color w:val="000000"/>
          <w:sz w:val="22"/>
          <w:szCs w:val="22"/>
        </w:rPr>
        <w:t>.</w:t>
      </w:r>
    </w:p>
    <w:p w14:paraId="28C577CF" w14:textId="77777777" w:rsidR="006D2CED" w:rsidRDefault="006D2CED" w:rsidP="006D2CED">
      <w:pPr>
        <w:rPr>
          <w:rFonts w:asciiTheme="minorHAnsi" w:hAnsiTheme="minorHAnsi"/>
          <w:color w:val="000000"/>
          <w:sz w:val="22"/>
          <w:szCs w:val="22"/>
        </w:rPr>
      </w:pPr>
    </w:p>
    <w:p w14:paraId="0DC7D3CE" w14:textId="4EE30596" w:rsidR="006D2CED" w:rsidRPr="006D2CED" w:rsidRDefault="006D2CED" w:rsidP="006D2CED">
      <w:pPr>
        <w:rPr>
          <w:rFonts w:asciiTheme="minorHAnsi" w:hAnsiTheme="minorHAnsi"/>
          <w:b/>
          <w:bCs/>
          <w:sz w:val="22"/>
          <w:szCs w:val="22"/>
        </w:rPr>
      </w:pPr>
      <w:r w:rsidRPr="006D2CED">
        <w:rPr>
          <w:rFonts w:asciiTheme="minorHAnsi" w:hAnsiTheme="minorHAnsi"/>
          <w:b/>
          <w:bCs/>
          <w:sz w:val="22"/>
          <w:szCs w:val="22"/>
        </w:rPr>
        <w:t>Bioplastics</w:t>
      </w:r>
    </w:p>
    <w:p w14:paraId="39EC2FD5" w14:textId="77777777" w:rsidR="006D2CED" w:rsidRPr="00B43D1C" w:rsidRDefault="006D2CED" w:rsidP="006D2CED">
      <w:pPr>
        <w:rPr>
          <w:rFonts w:asciiTheme="minorHAnsi" w:hAnsiTheme="minorHAnsi"/>
          <w:b/>
          <w:bCs/>
          <w:sz w:val="22"/>
          <w:szCs w:val="22"/>
        </w:rPr>
      </w:pPr>
      <w:r w:rsidRPr="00B43D1C">
        <w:rPr>
          <w:rFonts w:asciiTheme="minorHAnsi" w:hAnsiTheme="minorHAnsi"/>
          <w:color w:val="000000"/>
          <w:sz w:val="22"/>
          <w:szCs w:val="22"/>
        </w:rPr>
        <w:t>Gross 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removal potential (total 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available for capture and storage) from biomass, calculated using the carbon balance of lignocellulosic ethanol production, which is an analogue for MEG and PTA inputs</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{"citationID":"YSOiTISp","properties":{"formattedCitation":"\\super 29\\nosupersub{}","plainCitation":"29","noteIndex":0},"citationItems":[{"id":5162,"uris":["http://zotero.org/groups/5665801/items/IIGGHGP3"],"itemData":{"id":5162,"type":"article-journal","abstract":"The combination of bioethanol production and carbon capture and storage technologies (BECCS) is considered an indispensable method for the achievement of the targets set by the Paris agreement. In Croatia, a first-of-its-kind biorefinery project is currently underway that aims to integrate a second-generation ethanol plant into an existing fossil refinery. The goal is to replace the fossil fuel production by second-generation ethanol production using miscanthus. In the ethanol fermentation, CO2 is emitted in highly concentrated form and this can be directly compressed, injected and stored in exploited oil reservoirs. This study presents an assessment of the greenhouse gas (GHG) reduction potential of miscanthus ethanol produced in combination with CCS technology, based on data from the planning process of this biorefinery project. The GHG reduction potential is evaluated as part of a full environmental life cycle assessment. This is of particular relevance as a lignocellulosic ethanol industry is currently emerging in the European Union (EU) and LCAs of BECCS systems have, so far, often omitted environmental impacts other than GHG emissions. Overall, the ethanol to be produced in this planned biorefinery project would clearly achieve the EU's global warming potential (GWP) reduction target for biofuels. Depending on the accounting approach applied for the biological carbon storage, reduction potentials between 104% and 138% relative to the fossil comparator are likely. In addition, ethanol can reduce risks to resource availability. As such, the results generated from data based on the intended biorefinery project support the two major rationales for biofuel use. However, these reductions could come at the expense of human health and ecosystem quality impacts associated with the combustion of lignin and biogas. In order to prevent potential environmental trade-offs, it will be imperative to monitor and manage these emissions from residue combustion, as they represent significant drivers of the overall environmental impacts.","container-title":"GCB Bioenergy","DOI":"10.1111/gcbb.12781","ISSN":"1757-1707","issue":"2","language":"en","license":"© 2020 The Authors. GCB Bioenergy Published by John Wiley &amp; Sons Ltd","note":"_eprint: https://onlinelibrary.wiley.com/doi/pdf/10.1111/gcbb.12781","page":"336-347","source":"Wiley Online Library","title":"Lignocellulosic ethanol production combined with CCS—A study of GHG reductions and potential environmental trade-offs","volume":"13","author":[{"family":"Lask","given":"Jan"},{"family":"Rukavina","given":"Slavica"},{"family":"Zorić","given":"Ivana"},{"family":"Kam","given":"Jason"},{"family":"Kiesel","given":"Andreas"},{"family":"Lewandowski","given":"Iris"},{"family":"Wagner","given":"Moritz"}],"issued":{"date-parts":[["2021"]]}}}],"schema":"https://github.com/citation-style-language/schema/raw/master/csl-citation.json"} </w:instrText>
      </w:r>
      <w:r>
        <w:rPr>
          <w:rFonts w:asciiTheme="minorHAnsi" w:hAnsiTheme="minorHAnsi"/>
          <w:color w:val="000000"/>
          <w:sz w:val="22"/>
          <w:szCs w:val="22"/>
        </w:rPr>
        <w:fldChar w:fldCharType="separate"/>
      </w:r>
      <w:r w:rsidRPr="00533C58">
        <w:rPr>
          <w:rFonts w:ascii="Aptos" w:eastAsiaTheme="minorHAnsi" w:hAnsiTheme="minorHAnsi"/>
          <w:color w:val="000000"/>
          <w:sz w:val="22"/>
          <w:vertAlign w:val="superscript"/>
          <w14:ligatures w14:val="standardContextual"/>
        </w:rPr>
        <w:t>29</w:t>
      </w:r>
      <w:r>
        <w:rPr>
          <w:rFonts w:asciiTheme="minorHAnsi" w:hAnsiTheme="minorHAnsi"/>
          <w:color w:val="000000"/>
          <w:sz w:val="22"/>
          <w:szCs w:val="22"/>
        </w:rPr>
        <w:fldChar w:fldCharType="end"/>
      </w:r>
      <w:r>
        <w:rPr>
          <w:rFonts w:asciiTheme="minorHAnsi" w:hAnsiTheme="minorHAnsi"/>
          <w:color w:val="000000"/>
          <w:sz w:val="22"/>
          <w:szCs w:val="22"/>
        </w:rPr>
        <w:t>.</w:t>
      </w:r>
    </w:p>
    <w:p w14:paraId="7D5C6845" w14:textId="77777777" w:rsidR="006D2CED" w:rsidRDefault="006D2CED" w:rsidP="006D2CED">
      <w:pPr>
        <w:rPr>
          <w:rFonts w:asciiTheme="minorHAnsi" w:hAnsiTheme="minorHAnsi"/>
          <w:sz w:val="22"/>
          <w:szCs w:val="22"/>
        </w:rPr>
      </w:pPr>
    </w:p>
    <w:p w14:paraId="060EB84F" w14:textId="250873DC" w:rsidR="006D2CED" w:rsidRDefault="006D2CED" w:rsidP="006D2CED">
      <w:pPr>
        <w:rPr>
          <w:rFonts w:asciiTheme="minorHAnsi" w:hAnsiTheme="minorHAnsi"/>
          <w:b/>
          <w:bCs/>
          <w:sz w:val="22"/>
          <w:szCs w:val="22"/>
        </w:rPr>
      </w:pPr>
      <w:r>
        <w:rPr>
          <w:rFonts w:asciiTheme="minorHAnsi" w:hAnsiTheme="minorHAnsi"/>
          <w:b/>
          <w:bCs/>
          <w:sz w:val="22"/>
          <w:szCs w:val="22"/>
        </w:rPr>
        <w:t>P+P CCS</w:t>
      </w:r>
    </w:p>
    <w:p w14:paraId="4CEE2B6E" w14:textId="77777777" w:rsidR="006D2CED" w:rsidRPr="00B43D1C" w:rsidRDefault="006D2CED" w:rsidP="006D2CED">
      <w:pPr>
        <w:rPr>
          <w:rFonts w:asciiTheme="minorHAnsi" w:hAnsiTheme="minorHAnsi"/>
          <w:sz w:val="22"/>
          <w:szCs w:val="22"/>
        </w:rPr>
      </w:pPr>
      <w:r w:rsidRPr="00B43D1C">
        <w:rPr>
          <w:rFonts w:asciiTheme="minorHAnsi" w:hAnsiTheme="minorHAnsi"/>
          <w:color w:val="000000"/>
          <w:sz w:val="22"/>
          <w:szCs w:val="22"/>
        </w:rPr>
        <w:t>Gross 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removal potential (total 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available for capture and storage) from biomass, calculated using the energy and carbon balance of </w:t>
      </w:r>
      <w:proofErr w:type="gramStart"/>
      <w:r w:rsidRPr="00B43D1C">
        <w:rPr>
          <w:rFonts w:asciiTheme="minorHAnsi" w:hAnsiTheme="minorHAnsi"/>
          <w:color w:val="000000"/>
          <w:sz w:val="22"/>
          <w:szCs w:val="22"/>
        </w:rPr>
        <w:t>bone dry</w:t>
      </w:r>
      <w:proofErr w:type="gramEnd"/>
      <w:r w:rsidRPr="00B43D1C">
        <w:rPr>
          <w:rFonts w:asciiTheme="minorHAnsi" w:hAnsiTheme="minorHAnsi"/>
          <w:color w:val="000000"/>
          <w:sz w:val="22"/>
          <w:szCs w:val="22"/>
        </w:rPr>
        <w:t xml:space="preserve"> biomass. Assumes the carbon content of bone dry biomass is 50 </w:t>
      </w:r>
      <w:proofErr w:type="spellStart"/>
      <w:r w:rsidRPr="00B43D1C">
        <w:rPr>
          <w:rFonts w:asciiTheme="minorHAnsi" w:hAnsiTheme="minorHAnsi"/>
          <w:color w:val="000000"/>
          <w:sz w:val="22"/>
          <w:szCs w:val="22"/>
        </w:rPr>
        <w:t>wt</w:t>
      </w:r>
      <w:proofErr w:type="spellEnd"/>
      <w:r w:rsidRPr="00B43D1C">
        <w:rPr>
          <w:rFonts w:asciiTheme="minorHAnsi" w:hAnsiTheme="minorHAnsi"/>
          <w:color w:val="000000"/>
          <w:sz w:val="22"/>
          <w:szCs w:val="22"/>
        </w:rPr>
        <w:t>%, that 1 tonne of bone dry biomass produces 18 GJ of energy, that the thermal efficiency of the process is 15%, and that the power requirement per tCO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capture is around 1 MWh/tCO</w:t>
      </w:r>
      <w:r w:rsidRPr="00B43D1C">
        <w:rPr>
          <w:rFonts w:asciiTheme="minorHAnsi" w:hAnsiTheme="minorHAnsi"/>
          <w:color w:val="000000"/>
          <w:sz w:val="22"/>
          <w:szCs w:val="22"/>
          <w:vertAlign w:val="subscript"/>
        </w:rPr>
        <w:t>2</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{"citationID":"HOiGTYtu","properties":{"formattedCitation":"\\super 25\\nosupersub{}","plainCitation":"25","noteIndex":0},"citationItems":[{"id":5155,"uris":["http://zotero.org/groups/5665801/items/GGC6F3RG"],"itemData":{"id":5155,"type":"article-journal","container-title":"International Energy Agency","language":"en","source":"Zotero","title":"Bioenergy – a sustainable and reliable energy source: A review of status and prospects","author":[{"family":"Bauen","given":"Ausilio"},{"family":"Berndes","given":"Göran"},{"family":"Junginger","given":"Martin"},{"family":"Londo","given":"Marc"},{"family":"Vuille","given":"François"}],"issued":{"date-parts":[["2009"]]}}}],"schema":"https://github.com/citation-style-language/schema/raw/master/csl-citation.json"} </w:instrText>
      </w:r>
      <w:r>
        <w:rPr>
          <w:rFonts w:asciiTheme="minorHAnsi" w:hAnsiTheme="minorHAnsi"/>
          <w:color w:val="000000"/>
          <w:sz w:val="22"/>
          <w:szCs w:val="22"/>
        </w:rPr>
        <w:fldChar w:fldCharType="separate"/>
      </w:r>
      <w:r w:rsidRPr="00533C58">
        <w:rPr>
          <w:rFonts w:ascii="Aptos" w:eastAsiaTheme="minorHAnsi" w:hAnsiTheme="minorHAnsi"/>
          <w:color w:val="000000"/>
          <w:sz w:val="22"/>
          <w:vertAlign w:val="superscript"/>
          <w14:ligatures w14:val="standardContextual"/>
        </w:rPr>
        <w:t>25</w:t>
      </w:r>
      <w:r>
        <w:rPr>
          <w:rFonts w:asciiTheme="minorHAnsi" w:hAnsiTheme="minorHAnsi"/>
          <w:color w:val="000000"/>
          <w:sz w:val="22"/>
          <w:szCs w:val="22"/>
        </w:rPr>
        <w:fldChar w:fldCharType="end"/>
      </w:r>
      <w:r>
        <w:rPr>
          <w:rFonts w:asciiTheme="minorHAnsi" w:hAnsiTheme="minorHAnsi"/>
          <w:color w:val="000000"/>
          <w:sz w:val="22"/>
          <w:szCs w:val="22"/>
        </w:rPr>
        <w:t xml:space="preserve"> </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{"citationID":"7HKnZdMp","properties":{"formattedCitation":"\\super 30\\nosupersub{}","plainCitation":"30","noteIndex":0},"citationItems":[{"id":5165,"uris":["http://zotero.org/groups/5665801/items/PPKRQJRZ"],"itemData":{"id":5165,"type":"article-journal","abstract":"Paper has shaped society for centuries and is considered one of humanity's most important inventions. However, pulp and paper products can be damaging to social and natural systems along their lifecycle of material extraction, processing, transportation, and waste handling. The pulp and paper industry is among the top five most energy-intensive industries globally and is the fourth largest industrial energy user. This industry accounts for approximately 6% of global industrial energy use and 2% of direct industrial CO2 emissions. The pulp and paper industry is also the largest user of original or virgin wood, with deleterious impacts on both human health and local flora and fauna, including aquatic ecosystems. This critical and systematic review seeks to identify alternatives for mitigating the climate impacts of pulp and paper processes and products, thus making the pulp and paper industry more environmentally sustainable. This study reviews 466 studies to answer the following questions: what are the main determinants of energy and carbon emissions emerging from the pulp and paper industry? What are the benefits of this industry adopting low-carbon manufacturing processes, and what barriers will need to be tackled to enable such adoption? Using a sociotechnical lens, we answer these questions, identify barriers for the pulp and paper industry's decarbonization, and present promising avenues for future research.","container-title":"Renewable and Sustainable Energy Reviews","DOI":"10.1016/j.rser.2022.112706","ISSN":"1364-0321","journalAbbreviation":"Renewable and Sustainable Energy Reviews","page":"112706","source":"ScienceDirect","title":"Decarbonizing the pulp and paper industry: A critical and systematic review of sociotechnical developments and policy options","title-short":"Decarbonizing the pulp and paper industry","volume":"167","author":[{"family":"Furszyfer Del Rio","given":"Dylan D."},{"family":"Sovacool","given":"Benjamin K."},{"family":"Griffiths","given":"Steve"},{"family":"Bazilian","given":"Morgan"},{"family":"Kim","given":"Jinsoo"},{"family":"Foley","given":"Aoife M."},{"family":"Rooney","given":"David"}],"issued":{"date-parts":[["2022",10,1]]}}}],"schema":"https://github.com/citation-style-language/schema/raw/master/csl-citation.json"} </w:instrText>
      </w:r>
      <w:r>
        <w:rPr>
          <w:rFonts w:asciiTheme="minorHAnsi" w:hAnsiTheme="minorHAnsi"/>
          <w:color w:val="000000"/>
          <w:sz w:val="22"/>
          <w:szCs w:val="22"/>
        </w:rPr>
        <w:fldChar w:fldCharType="separate"/>
      </w:r>
      <w:r w:rsidRPr="00533C58">
        <w:rPr>
          <w:rFonts w:ascii="Aptos" w:eastAsiaTheme="minorHAnsi" w:hAnsiTheme="minorHAnsi"/>
          <w:color w:val="000000"/>
          <w:sz w:val="22"/>
          <w:vertAlign w:val="superscript"/>
          <w14:ligatures w14:val="standardContextual"/>
        </w:rPr>
        <w:t>30</w:t>
      </w:r>
      <w:r>
        <w:rPr>
          <w:rFonts w:asciiTheme="minorHAnsi" w:hAnsiTheme="minorHAnsi"/>
          <w:color w:val="000000"/>
          <w:sz w:val="22"/>
          <w:szCs w:val="22"/>
        </w:rPr>
        <w:fldChar w:fldCharType="end"/>
      </w:r>
      <w:r>
        <w:rPr>
          <w:rFonts w:asciiTheme="minorHAnsi" w:hAnsiTheme="minorHAnsi"/>
          <w:color w:val="000000"/>
          <w:sz w:val="22"/>
          <w:szCs w:val="22"/>
        </w:rPr>
        <w:t xml:space="preserve">. </w:t>
      </w:r>
    </w:p>
    <w:p w14:paraId="631F5C60" w14:textId="77777777" w:rsidR="006D2CED" w:rsidRDefault="006D2CED" w:rsidP="006D2CED">
      <w:pPr>
        <w:rPr>
          <w:rFonts w:asciiTheme="minorHAnsi" w:hAnsiTheme="minorHAnsi"/>
          <w:b/>
          <w:bCs/>
          <w:sz w:val="22"/>
          <w:szCs w:val="22"/>
        </w:rPr>
      </w:pPr>
    </w:p>
    <w:p w14:paraId="23CB1025" w14:textId="3C1A0EED" w:rsidR="006D2CED" w:rsidRDefault="006D2CED" w:rsidP="006D2CED">
      <w:pPr>
        <w:rPr>
          <w:rFonts w:asciiTheme="minorHAnsi" w:hAnsiTheme="minorHAnsi"/>
          <w:b/>
          <w:bCs/>
          <w:sz w:val="22"/>
          <w:szCs w:val="22"/>
        </w:rPr>
      </w:pPr>
      <w:r>
        <w:rPr>
          <w:rFonts w:asciiTheme="minorHAnsi" w:hAnsiTheme="minorHAnsi"/>
          <w:b/>
          <w:bCs/>
          <w:sz w:val="22"/>
          <w:szCs w:val="22"/>
        </w:rPr>
        <w:t>SAF + CCS</w:t>
      </w:r>
    </w:p>
    <w:p w14:paraId="05F18BAB" w14:textId="6BB36D4E" w:rsidR="006D2CED" w:rsidRPr="006D2CED" w:rsidRDefault="006D2CED" w:rsidP="006D2CED">
      <w:pPr>
        <w:rPr>
          <w:rFonts w:asciiTheme="minorHAnsi" w:hAnsiTheme="minorHAnsi"/>
          <w:sz w:val="22"/>
          <w:szCs w:val="22"/>
        </w:rPr>
      </w:pPr>
      <w:r w:rsidRPr="00B43D1C">
        <w:rPr>
          <w:rFonts w:asciiTheme="minorHAnsi" w:hAnsiTheme="minorHAnsi"/>
          <w:color w:val="000000"/>
          <w:sz w:val="22"/>
          <w:szCs w:val="22"/>
        </w:rPr>
        <w:t>Gross 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removal potential (total 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available for capture and storage) from biomass, calculated using the energy and carbon balance of </w:t>
      </w:r>
      <w:proofErr w:type="gramStart"/>
      <w:r w:rsidRPr="00B43D1C">
        <w:rPr>
          <w:rFonts w:asciiTheme="minorHAnsi" w:hAnsiTheme="minorHAnsi"/>
          <w:color w:val="000000"/>
          <w:sz w:val="22"/>
          <w:szCs w:val="22"/>
        </w:rPr>
        <w:t>bone dry</w:t>
      </w:r>
      <w:proofErr w:type="gramEnd"/>
      <w:r w:rsidRPr="00B43D1C">
        <w:rPr>
          <w:rFonts w:asciiTheme="minorHAnsi" w:hAnsiTheme="minorHAnsi"/>
          <w:color w:val="000000"/>
          <w:sz w:val="22"/>
          <w:szCs w:val="22"/>
        </w:rPr>
        <w:t xml:space="preserve"> biomass. Assumes the carbon content of bone dry biomass is 50 </w:t>
      </w:r>
      <w:proofErr w:type="spellStart"/>
      <w:r w:rsidRPr="00B43D1C">
        <w:rPr>
          <w:rFonts w:asciiTheme="minorHAnsi" w:hAnsiTheme="minorHAnsi"/>
          <w:color w:val="000000"/>
          <w:sz w:val="22"/>
          <w:szCs w:val="22"/>
        </w:rPr>
        <w:t>wt</w:t>
      </w:r>
      <w:proofErr w:type="spellEnd"/>
      <w:r w:rsidRPr="00B43D1C">
        <w:rPr>
          <w:rFonts w:asciiTheme="minorHAnsi" w:hAnsiTheme="minorHAnsi"/>
          <w:color w:val="000000"/>
          <w:sz w:val="22"/>
          <w:szCs w:val="22"/>
        </w:rPr>
        <w:t>%, that 1 tonne of bone dry biomass produces 18 GJ of energy, that the thermal efficiency of the process is 15%, and that the power requirement per tCO</w:t>
      </w:r>
      <w:r w:rsidRPr="00B43D1C">
        <w:rPr>
          <w:rFonts w:asciiTheme="minorHAnsi" w:hAnsiTheme="minorHAnsi"/>
          <w:color w:val="000000"/>
          <w:sz w:val="22"/>
          <w:szCs w:val="22"/>
          <w:vertAlign w:val="subscript"/>
        </w:rPr>
        <w:t>2</w:t>
      </w:r>
      <w:r w:rsidRPr="00B43D1C">
        <w:rPr>
          <w:rFonts w:asciiTheme="minorHAnsi" w:hAnsiTheme="minorHAnsi"/>
          <w:color w:val="000000"/>
          <w:sz w:val="22"/>
          <w:szCs w:val="22"/>
        </w:rPr>
        <w:t xml:space="preserve"> capture is around 1 MWh/tCO</w:t>
      </w:r>
      <w:r w:rsidRPr="00B43D1C">
        <w:rPr>
          <w:rFonts w:asciiTheme="minorHAnsi" w:hAnsiTheme="minorHAnsi"/>
          <w:color w:val="000000"/>
          <w:sz w:val="22"/>
          <w:szCs w:val="22"/>
          <w:vertAlign w:val="subscript"/>
        </w:rPr>
        <w:t>2</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{"citationID":"HOiGTYtu","properties":{"formattedCitation":"\\super 25\\nosupersub{}","plainCitation":"25","noteIndex":0},"citationItems":[{"id":5155,"uris":["http://zotero.org/groups/5665801/items/GGC6F3RG"],"itemData":{"id":5155,"type":"article-journal","container-title":"International Energy Agency","language":"en","source":"Zotero","title":"Bioenergy – a sustainable and reliable energy source: A review of status and prospects","author":[{"family":"Bauen","given":"Ausilio"},{"family":"Berndes","given":"Göran"},{"family":"Junginger","given":"Martin"},{"family":"Londo","given":"Marc"},{"family":"Vuille","given":"François"}],"issued":{"date-parts":[["2009"]]}}}],"schema":"https://github.com/citation-style-language/schema/raw/master/csl-citation.json"} </w:instrText>
      </w:r>
      <w:r>
        <w:rPr>
          <w:rFonts w:asciiTheme="minorHAnsi" w:hAnsiTheme="minorHAnsi"/>
          <w:color w:val="000000"/>
          <w:sz w:val="22"/>
          <w:szCs w:val="22"/>
        </w:rPr>
        <w:fldChar w:fldCharType="separate"/>
      </w:r>
      <w:r w:rsidRPr="00533C58">
        <w:rPr>
          <w:rFonts w:ascii="Aptos" w:eastAsiaTheme="minorHAnsi" w:hAnsiTheme="minorHAnsi"/>
          <w:color w:val="000000"/>
          <w:sz w:val="22"/>
          <w:vertAlign w:val="superscript"/>
          <w14:ligatures w14:val="standardContextual"/>
        </w:rPr>
        <w:t>25</w:t>
      </w:r>
      <w:r>
        <w:rPr>
          <w:rFonts w:asciiTheme="minorHAnsi" w:hAnsiTheme="minorHAnsi"/>
          <w:color w:val="000000"/>
          <w:sz w:val="22"/>
          <w:szCs w:val="22"/>
        </w:rPr>
        <w:fldChar w:fldCharType="end"/>
      </w:r>
      <w:r>
        <w:rPr>
          <w:rFonts w:asciiTheme="minorHAnsi" w:hAnsiTheme="minorHAnsi"/>
          <w:color w:val="000000"/>
          <w:sz w:val="22"/>
          <w:szCs w:val="22"/>
        </w:rPr>
        <w:t xml:space="preserve"> </w:t>
      </w:r>
      <w:r>
        <w:rPr>
          <w:rFonts w:asciiTheme="minorHAnsi" w:hAnsiTheme="minorHAnsi"/>
          <w:color w:val="000000"/>
          <w:sz w:val="22"/>
          <w:szCs w:val="22"/>
        </w:rPr>
        <w:fldChar w:fldCharType="begin"/>
      </w:r>
      <w:r>
        <w:rPr>
          <w:rFonts w:asciiTheme="minorHAnsi" w:hAnsiTheme="minorHAnsi"/>
          <w:color w:val="000000"/>
          <w:sz w:val="22"/>
          <w:szCs w:val="22"/>
        </w:rPr>
        <w:instrText xml:space="preserve"> ADDIN ZOTERO_ITEM CSL_CITATION {"citationID":"7HKnZdMp","properties":{"formattedCitation":"\\super 30\\nosupersub{}","plainCitation":"30","noteIndex":0},"citationItems":[{"id":5165,"uris":["http://zotero.org/groups/5665801/items/PPKRQJRZ"],"itemData":{"id":5165,"type":"article-journal","abstract":"Paper has shaped society for centuries and is considered one of humanity's most important inventions. However, pulp and paper products can be damaging to social and natural systems along their lifecycle of material extraction, processing, transportation, and waste handling. The pulp and paper industry is among the top five most energy-intensive industries globally and is the fourth largest industrial energy user. This industry accounts for approximately 6% of global industrial energy use and 2% of direct industrial CO2 emissions. The pulp and paper industry is also the largest user of original or virgin wood, with deleterious impacts on both human health and local flora and fauna, including aquatic ecosystems. This critical and systematic review seeks to identify alternatives for mitigating the climate impacts of pulp and paper processes and products, thus making the pulp and paper industry more environmentally sustainable. This study reviews 466 studies to answer the following questions: what are the main determinants of energy and carbon emissions emerging from the pulp and paper industry? What are the benefits of this industry adopting low-carbon manufacturing processes, and what barriers will need to be tackled to enable such adoption? Using a sociotechnical lens, we answer these questions, identify barriers for the pulp and paper industry's decarbonization, and present promising avenues for future research.","container-title":"Renewable and Sustainable Energy Reviews","DOI":"10.1016/j.rser.2022.112706","ISSN":"1364-0321","journalAbbreviation":"Renewable and Sustainable Energy Reviews","page":"112706","source":"ScienceDirect","title":"Decarbonizing the pulp and paper industry: A critical and systematic review of sociotechnical developments and policy options","title-short":"Decarbonizing the pulp and paper industry","volume":"167","author":[{"family":"Furszyfer Del Rio","given":"Dylan D."},{"family":"Sovacool","given":"Benjamin K."},{"family":"Griffiths","given":"Steve"},{"family":"Bazilian","given":"Morgan"},{"family":"Kim","given":"Jinsoo"},{"family":"Foley","given":"Aoife M."},{"family":"Rooney","given":"David"}],"issued":{"date-parts":[["2022",10,1]]}}}],"schema":"https://github.com/citation-style-language/schema/raw/master/csl-citation.json"} </w:instrText>
      </w:r>
      <w:r>
        <w:rPr>
          <w:rFonts w:asciiTheme="minorHAnsi" w:hAnsiTheme="minorHAnsi"/>
          <w:color w:val="000000"/>
          <w:sz w:val="22"/>
          <w:szCs w:val="22"/>
        </w:rPr>
        <w:fldChar w:fldCharType="separate"/>
      </w:r>
      <w:r w:rsidRPr="00533C58">
        <w:rPr>
          <w:rFonts w:ascii="Aptos" w:eastAsiaTheme="minorHAnsi" w:hAnsiTheme="minorHAnsi"/>
          <w:color w:val="000000"/>
          <w:sz w:val="22"/>
          <w:vertAlign w:val="superscript"/>
          <w14:ligatures w14:val="standardContextual"/>
        </w:rPr>
        <w:t>30</w:t>
      </w:r>
      <w:r>
        <w:rPr>
          <w:rFonts w:asciiTheme="minorHAnsi" w:hAnsiTheme="minorHAnsi"/>
          <w:color w:val="000000"/>
          <w:sz w:val="22"/>
          <w:szCs w:val="22"/>
        </w:rPr>
        <w:fldChar w:fldCharType="end"/>
      </w:r>
      <w:r>
        <w:rPr>
          <w:rFonts w:asciiTheme="minorHAnsi" w:hAnsiTheme="minorHAnsi"/>
          <w:color w:val="000000"/>
          <w:sz w:val="22"/>
          <w:szCs w:val="22"/>
        </w:rPr>
        <w:t xml:space="preserve">. </w:t>
      </w:r>
    </w:p>
    <w:p w14:paraId="42A9AA1D" w14:textId="77777777" w:rsidR="00B43D1C" w:rsidRPr="009E433E" w:rsidRDefault="00B43D1C" w:rsidP="00B43D1C">
      <w:pPr>
        <w:rPr>
          <w:rFonts w:asciiTheme="minorHAnsi" w:hAnsiTheme="minorHAnsi"/>
          <w:sz w:val="22"/>
          <w:szCs w:val="22"/>
        </w:rPr>
      </w:pPr>
    </w:p>
    <w:p w14:paraId="3602704D" w14:textId="73E95C64" w:rsidR="00FD3822" w:rsidRPr="009E433E" w:rsidRDefault="00FD3822" w:rsidP="00FD3822">
      <w:pPr>
        <w:pStyle w:val="ListParagraph"/>
        <w:numPr>
          <w:ilvl w:val="0"/>
          <w:numId w:val="2"/>
        </w:numPr>
        <w:spacing w:after="240"/>
        <w:rPr>
          <w:rFonts w:asciiTheme="minorHAnsi" w:hAnsiTheme="minorHAnsi"/>
          <w:sz w:val="22"/>
          <w:szCs w:val="22"/>
        </w:rPr>
      </w:pPr>
      <w:r w:rsidRPr="009E433E">
        <w:rPr>
          <w:rFonts w:asciiTheme="minorHAnsi" w:hAnsiTheme="minorHAnsi"/>
          <w:b/>
          <w:bCs/>
          <w:color w:val="000000"/>
          <w:sz w:val="22"/>
          <w:szCs w:val="22"/>
        </w:rPr>
        <w:t>Land Use and Resource Allocation Modeling</w:t>
      </w:r>
      <w:r w:rsidR="00FA00A2">
        <w:rPr>
          <w:rFonts w:asciiTheme="minorHAnsi" w:hAnsiTheme="minorHAnsi"/>
          <w:b/>
          <w:bCs/>
          <w:color w:val="000000"/>
          <w:sz w:val="22"/>
          <w:szCs w:val="22"/>
        </w:rPr>
        <w:t>.</w:t>
      </w:r>
    </w:p>
    <w:p w14:paraId="03DB206A" w14:textId="2CD26990" w:rsidR="009E433E" w:rsidRPr="009E433E" w:rsidRDefault="009E433E" w:rsidP="009E433E">
      <w:pPr>
        <w:rPr>
          <w:rFonts w:asciiTheme="minorHAnsi" w:hAnsiTheme="minorHAnsi"/>
          <w:sz w:val="22"/>
          <w:szCs w:val="22"/>
        </w:rPr>
      </w:pPr>
      <w:r w:rsidRPr="009E433E">
        <w:rPr>
          <w:rFonts w:asciiTheme="minorHAnsi" w:hAnsiTheme="minorHAnsi"/>
          <w:sz w:val="22"/>
          <w:szCs w:val="22"/>
        </w:rPr>
        <w:t xml:space="preserve">Using facility locations and assumed resource demands, we apply the Land Use and Resource Allocation (LURA) model to project shifts in the spatial allocation of biomass in the case study region. </w:t>
      </w:r>
    </w:p>
    <w:p w14:paraId="22FBC28A" w14:textId="77777777" w:rsidR="009E433E" w:rsidRPr="009E433E" w:rsidRDefault="009E433E" w:rsidP="009E433E">
      <w:pPr>
        <w:rPr>
          <w:rFonts w:asciiTheme="minorHAnsi" w:hAnsiTheme="minorHAnsi"/>
          <w:sz w:val="22"/>
          <w:szCs w:val="22"/>
        </w:rPr>
      </w:pPr>
    </w:p>
    <w:p w14:paraId="43EE724E" w14:textId="2DEA91BF" w:rsidR="009E433E" w:rsidRPr="009E433E" w:rsidRDefault="009E433E" w:rsidP="009E433E">
      <w:pPr>
        <w:rPr>
          <w:rFonts w:asciiTheme="minorHAnsi" w:hAnsiTheme="minorHAnsi"/>
          <w:sz w:val="22"/>
          <w:szCs w:val="22"/>
        </w:rPr>
      </w:pPr>
      <w:r w:rsidRPr="009E433E">
        <w:rPr>
          <w:rFonts w:asciiTheme="minorHAnsi" w:hAnsiTheme="minorHAnsi"/>
          <w:sz w:val="22"/>
          <w:szCs w:val="22"/>
        </w:rPr>
        <w:t xml:space="preserve">LURA is a price endogenous, partial equilibrium economic model of the US forest sector that captures detailed spatial dependencies between supply points (forest plots, with heterogeneous attributes) and demand points (forest product manufacturing facilities [mills], electricity </w:t>
      </w:r>
      <w:r w:rsidRPr="009E433E">
        <w:rPr>
          <w:rFonts w:asciiTheme="minorHAnsi" w:hAnsiTheme="minorHAnsi"/>
          <w:sz w:val="22"/>
          <w:szCs w:val="22"/>
        </w:rPr>
        <w:lastRenderedPageBreak/>
        <w:t>generation units, and ports). The model has been used to develop spatially refined forest carbon projections</w:t>
      </w:r>
      <w:r w:rsidR="00FE7403">
        <w:rPr>
          <w:rFonts w:asciiTheme="minorHAnsi" w:hAnsiTheme="minorHAnsi"/>
          <w:sz w:val="22"/>
          <w:szCs w:val="22"/>
        </w:rPr>
        <w:fldChar w:fldCharType="begin"/>
      </w:r>
      <w:r w:rsidR="00FE7403">
        <w:rPr>
          <w:rFonts w:asciiTheme="minorHAnsi" w:hAnsiTheme="minorHAnsi"/>
          <w:sz w:val="22"/>
          <w:szCs w:val="22"/>
        </w:rPr>
        <w:instrText xml:space="preserve"> ADDIN ZOTERO_ITEM CSL_CITATION {"citationID":"QvJ9pLBd","properties":{"formattedCitation":"\\super 31\\nosupersub{}","plainCitation":"31","noteIndex":0},"citationItems":[{"id":1714,"uris":["http://zotero.org/groups/5285972/items/HJ7MEJ2C"],"itemData":{"id":1714,"type":"article-journal","abstract":"The United States has recently set ambitious national goals for greenhouse gas (GHG) reductions over the coming decades. A portion of these reductions are based on expected sequestration and storage contributions from land use, land use change, and forestry (LULUCF). Significant uncertainty exists in future forest markets and thus the potential LULUCF contribution to US GHG reduction goals. This study seeks to inform the discussion by modeling US forest GHG accounts per different simulated demand scenarios across a grid of over 130,000 USDA Forest Service Forest Inventory and Analysis (FIA) forestland plots over the conterminous United States. This spatially disaggregated future supply is based on empirical yield functions for log volume, biomass and carbon. Demand data is based on a spatial database of over 2300 forest product manufacturing facilities representing 11 intermediate and 13 final solid and pulpwood products. Transportation costs are derived from fuel prices and the locations of FIA plot from which a log is harvested and mill or port destination. Trade between mills in intermediate products such as sawmill residues or planer shavings is also captured within the model formulation. The resulting partial spatial equilibrium model of the US forest sector is solved annually for the period 2015–2035 with demand shifted by energy prices and macroeconomic indicators from the US EIA's Annual Energy Outlook for a Reference, Low Economic Growth, and High Economic Growth case. For each macroeconomic scenario simulated, figures showing historic and scenario-specific live tree carnon emissions and sequestration are generated. Maps of the spatial allocation of both forest harvesting and related carbon fluxes are presented at the National level and detail is given for both regions and ownerships.","container-title":"Forest Policy and Economics","DOI":"10.1016/j.forpol.2017.10.003","ISSN":"1389-9341","journalAbbreviation":"Forest Policy and Economics","page":"35-48","source":"ScienceDirect","title":"A Land Use and Resource Allocation (LURA) modeling system for projecting localized forest CO2 effects of alternative macroeconomic futures","volume":"87","author":[{"family":"Latta","given":"Gregory S."},{"family":"Baker","given":"Justin S."},{"family":"Ohrel","given":"Sara"}],"issued":{"date-parts":[["2018",2,1]]}}}],"schema":"https://github.com/citation-style-language/schema/raw/master/csl-citation.json"} </w:instrText>
      </w:r>
      <w:r w:rsidR="00FE7403">
        <w:rPr>
          <w:rFonts w:asciiTheme="minorHAnsi" w:hAnsiTheme="minorHAnsi"/>
          <w:sz w:val="22"/>
          <w:szCs w:val="22"/>
        </w:rPr>
        <w:fldChar w:fldCharType="separate"/>
      </w:r>
      <w:r w:rsidR="00FE7403" w:rsidRPr="00FE7403">
        <w:rPr>
          <w:rFonts w:ascii="Aptos" w:eastAsiaTheme="minorHAnsi" w:hAnsiTheme="minorHAnsi"/>
          <w:sz w:val="22"/>
          <w:vertAlign w:val="superscript"/>
          <w14:ligatures w14:val="standardContextual"/>
        </w:rPr>
        <w:t>31</w:t>
      </w:r>
      <w:r w:rsidR="00FE7403">
        <w:rPr>
          <w:rFonts w:asciiTheme="minorHAnsi" w:hAnsiTheme="minorHAnsi"/>
          <w:sz w:val="22"/>
          <w:szCs w:val="22"/>
        </w:rPr>
        <w:fldChar w:fldCharType="end"/>
      </w:r>
      <w:r w:rsidR="00FE7403">
        <w:rPr>
          <w:rFonts w:asciiTheme="minorHAnsi" w:hAnsiTheme="minorHAnsi"/>
          <w:sz w:val="22"/>
          <w:szCs w:val="22"/>
        </w:rPr>
        <w:t xml:space="preserve"> </w:t>
      </w:r>
      <w:r w:rsidR="00FE7403">
        <w:rPr>
          <w:rFonts w:asciiTheme="minorHAnsi" w:hAnsiTheme="minorHAnsi"/>
          <w:sz w:val="22"/>
          <w:szCs w:val="22"/>
        </w:rPr>
        <w:fldChar w:fldCharType="begin"/>
      </w:r>
      <w:r w:rsidR="00FE7403">
        <w:rPr>
          <w:rFonts w:asciiTheme="minorHAnsi" w:hAnsiTheme="minorHAnsi"/>
          <w:sz w:val="22"/>
          <w:szCs w:val="22"/>
        </w:rPr>
        <w:instrText xml:space="preserve"> ADDIN ZOTERO_ITEM CSL_CITATION {"citationID":"BCTcr4Vg","properties":{"formattedCitation":"\\super 32\\nosupersub{}","plainCitation":"32","noteIndex":0},"citationItems":[{"id":3967,"uris":["http://zotero.org/groups/5665801/items/WMPMMWLY"],"itemData":{"id":3967,"type":"article-journal","abstract":"Structural economic optimization models of the forestry and land use sectors can be used to develop baseline projections of future forest carbon stocks and annual fluxes, which inform policy dialog and investment in programs that maintain or enhance forest carbon stocks. Such analyses vary in terms of the degree of spatial, temporal, and activity-level aggregation used to represent forest resources, land cover, and markets. While the statistical and econometric modeling communities widely discuss the effects of aggregation bias and have developed correction techniques, there is limited prior research investigating how aggregation bias may affect structural optimization models. This paper explores potential aggregation bias using the Land Use and Resource Allocation model (LURA), a detailed spatial allocation partial equilibrium model of the U.S. forest sector. We ran a series of projections representing alternative aggregation approaches including averaging forest stocks at plot, county, state, and regional levels, across one-, five, or ten-year age classes, and by two or fourteen forest types. We compared the resulting projections of forest carbon stocks and harvesting activities across each aggregation scenario. This allows us to isolate the effect of aggregation on key variables of interest (e.g., GHG emissions and supply costs), while holding all other structural characteristics of the modeling framework constant. We find that age-class and forest type aggregations have the greatest impact on modeling results, with the potential to substantially impact market and greenhouse gas projections. On the other hand, spatial aggregation has a small impact on national carbon stock projections. Importantly, regional results are greatly impacted by different aggregation approaches, with projected regional cumulative carbon stocks differing by more than 25% across scenarios.","container-title":"Journal of forest economics","DOI":"10.1561/112.00000503","ISSN":"1104-6899","issue":"3-4","journalAbbreviation":"J For Econ","note":"PMID: 32161437\nPMCID: PMC7065410","page":"337-366","source":"PubMed Central","title":"Evaluating Potential Sources of Aggregation Bias with a Structural Optimization Model of the U.S. Forest Sector","volume":"34","author":[{"family":"Wade","given":"Christopher M."},{"family":"Baker","given":"Justin S."},{"family":"Latta","given":"Greg"},{"family":"Ohrel","given":"Sara B."}],"issued":{"date-parts":[["2019"]]}}}],"schema":"https://github.com/citation-style-language/schema/raw/master/csl-citation.json"} </w:instrText>
      </w:r>
      <w:r w:rsidR="00FE7403">
        <w:rPr>
          <w:rFonts w:asciiTheme="minorHAnsi" w:hAnsiTheme="minorHAnsi"/>
          <w:sz w:val="22"/>
          <w:szCs w:val="22"/>
        </w:rPr>
        <w:fldChar w:fldCharType="separate"/>
      </w:r>
      <w:r w:rsidR="00FE7403" w:rsidRPr="00FE7403">
        <w:rPr>
          <w:rFonts w:ascii="Aptos" w:eastAsiaTheme="minorHAnsi" w:hAnsiTheme="minorHAnsi"/>
          <w:sz w:val="22"/>
          <w:vertAlign w:val="superscript"/>
          <w14:ligatures w14:val="standardContextual"/>
        </w:rPr>
        <w:t>32</w:t>
      </w:r>
      <w:r w:rsidR="00FE7403">
        <w:rPr>
          <w:rFonts w:asciiTheme="minorHAnsi" w:hAnsiTheme="minorHAnsi"/>
          <w:sz w:val="22"/>
          <w:szCs w:val="22"/>
        </w:rPr>
        <w:fldChar w:fldCharType="end"/>
      </w:r>
      <w:r w:rsidRPr="009E433E">
        <w:rPr>
          <w:rFonts w:asciiTheme="minorHAnsi" w:hAnsiTheme="minorHAnsi"/>
          <w:sz w:val="22"/>
          <w:szCs w:val="22"/>
        </w:rPr>
        <w:t>, evaluate regional implications of bioenergy developments</w:t>
      </w:r>
      <w:r w:rsidR="00FE7403">
        <w:rPr>
          <w:rFonts w:asciiTheme="minorHAnsi" w:hAnsiTheme="minorHAnsi"/>
          <w:sz w:val="22"/>
          <w:szCs w:val="22"/>
        </w:rPr>
        <w:fldChar w:fldCharType="begin"/>
      </w:r>
      <w:r w:rsidR="00FE7403">
        <w:rPr>
          <w:rFonts w:asciiTheme="minorHAnsi" w:hAnsiTheme="minorHAnsi"/>
          <w:sz w:val="22"/>
          <w:szCs w:val="22"/>
        </w:rPr>
        <w:instrText xml:space="preserve"> ADDIN ZOTERO_ITEM CSL_CITATION {"citationID":"hdZY1syZ","properties":{"formattedCitation":"\\super 33\\nosupersub{}","plainCitation":"33","noteIndex":0},"citationItems":[{"id":5168,"uris":["http://zotero.org/groups/5665801/items/GQTA3F5W"],"itemData":{"id":5168,"type":"article-journal","abstract":"With rising demand for wood pellets from the US Southeast (US SE), the environmental limits to additional biomass demand are increasingly questioned. This study analyses the impact of increased pellet production in the US SE until 2030 on feedstock allocation, carbon flux in forest areas and costs of pre-treatment and transport of feedstock and pellets. This by linking locations of forest biomass supply and demand through supply-side logistics, allocating feedstock based on lowest costs of pre-treatment, transport of feedstock and pellets, for the entire wood products sector. The impact is analysed for different scenarios with varied pellet production levels, additional inclusion of logging residues and optimization either on costs or on maintaining total carbon stock in sourcing areas of new pellet mills. In a scenario of 20 Mt pellet production, the roundwood share increases from 0% in 2020 to 37% pulplogs and 11% sawlogs in 2030. Costs increase with 57% towards 2030 compared to 2020, largely because of higher costs for pulplogs and sawlogs. In a scenario without pellet production, forest carbon removal in the US SE is 3 Mt CO2/year lower than in 2020. In the Reference scenario, additional carbon removal of 6, 21 and 38 Mt CO2/year is observed for 10, 20 and 30 Mt pellet production, respectively. In all cases, the forests of the US SE remain a net sink until 2030. The impact of a selection criteria for new pellet mill locations based on keeping local growth/drain ratios above 1 in sourcing areas is small since this mostly results in displacement of impacts and does not affect the total feedstock availability. Additional mobilization of logging residues is a key strategy to reduce carbon impacts, resulting in a smaller additional flux of 2, 11 and 29 Mt CO2/year for 10–30 Mt pellet production.","container-title":"GCB Bioenergy","DOI":"10.1111/gcbb.12946","ISSN":"1757-1707","issue":"8","language":"en","license":"© 2022 The Authors. GCB Bioenergy published by John Wiley &amp; Sons Ltd.","note":"_eprint: https://onlinelibrary.wiley.com/doi/pdf/10.1111/gcbb.12946","page":"896-917","source":"Wiley Online Library","title":"Exploring the limits to sustainable pellet production for international markets: The impact of increasing pellet production in the US Southeast on feedstock use, production cost and carbon sequestration in forest areas","title-short":"Exploring the limits to sustainable pellet production for international markets","volume":"14","author":[{"family":"Visser","given":"Lotte"},{"family":"Latta","given":"Greg"},{"family":"Pokharel","given":"Raju"},{"family":"Hoefnagels","given":"Ric"},{"family":"Junginger","given":"Martin"}],"issued":{"date-parts":[["2022"]]}}}],"schema":"https://github.com/citation-style-language/schema/raw/master/csl-citation.json"} </w:instrText>
      </w:r>
      <w:r w:rsidR="00FE7403">
        <w:rPr>
          <w:rFonts w:asciiTheme="minorHAnsi" w:hAnsiTheme="minorHAnsi"/>
          <w:sz w:val="22"/>
          <w:szCs w:val="22"/>
        </w:rPr>
        <w:fldChar w:fldCharType="separate"/>
      </w:r>
      <w:r w:rsidR="00FE7403" w:rsidRPr="00FE7403">
        <w:rPr>
          <w:rFonts w:ascii="Aptos" w:eastAsiaTheme="minorHAnsi" w:hAnsiTheme="minorHAnsi"/>
          <w:sz w:val="22"/>
          <w:vertAlign w:val="superscript"/>
          <w14:ligatures w14:val="standardContextual"/>
        </w:rPr>
        <w:t>33</w:t>
      </w:r>
      <w:r w:rsidR="00FE7403">
        <w:rPr>
          <w:rFonts w:asciiTheme="minorHAnsi" w:hAnsiTheme="minorHAnsi"/>
          <w:sz w:val="22"/>
          <w:szCs w:val="22"/>
        </w:rPr>
        <w:fldChar w:fldCharType="end"/>
      </w:r>
      <w:r w:rsidRPr="009E433E">
        <w:rPr>
          <w:rFonts w:asciiTheme="minorHAnsi" w:hAnsiTheme="minorHAnsi"/>
          <w:sz w:val="22"/>
          <w:szCs w:val="22"/>
        </w:rPr>
        <w:t xml:space="preserve">, and to explore timber </w:t>
      </w:r>
      <w:proofErr w:type="spellStart"/>
      <w:r w:rsidRPr="009E433E">
        <w:rPr>
          <w:rFonts w:asciiTheme="minorHAnsi" w:hAnsiTheme="minorHAnsi"/>
          <w:sz w:val="22"/>
          <w:szCs w:val="22"/>
        </w:rPr>
        <w:t>merchantibility</w:t>
      </w:r>
      <w:proofErr w:type="spellEnd"/>
      <w:r w:rsidRPr="009E433E">
        <w:rPr>
          <w:rFonts w:asciiTheme="minorHAnsi" w:hAnsiTheme="minorHAnsi"/>
          <w:sz w:val="22"/>
          <w:szCs w:val="22"/>
        </w:rPr>
        <w:t xml:space="preserve"> as a function of spatial dependencies and transportation logistics</w:t>
      </w:r>
      <w:r w:rsidR="00FE7403">
        <w:rPr>
          <w:rFonts w:asciiTheme="minorHAnsi" w:hAnsiTheme="minorHAnsi"/>
          <w:sz w:val="22"/>
          <w:szCs w:val="22"/>
        </w:rPr>
        <w:fldChar w:fldCharType="begin"/>
      </w:r>
      <w:r w:rsidR="00FE7403">
        <w:rPr>
          <w:rFonts w:asciiTheme="minorHAnsi" w:hAnsiTheme="minorHAnsi"/>
          <w:sz w:val="22"/>
          <w:szCs w:val="22"/>
        </w:rPr>
        <w:instrText xml:space="preserve"> ADDIN ZOTERO_ITEM CSL_CITATION {"citationID":"S4p8gGR9","properties":{"formattedCitation":"\\super 34\\nosupersub{}","plainCitation":"34","noteIndex":0},"citationItems":[{"id":5171,"uris":["http://zotero.org/groups/5665801/items/3HT26GJ2"],"itemData":{"id":5171,"type":"article-journal","abstract":"Large-scale silvicultural programs designed to alter forest characteristics to accomplish either financial or ecological goals often involve the extraction of significant volumes. The operational costs, and thus extend over which these programs can be applied, depend in large part on supply chain considerations and the degree to which removals can be merchandized. Forestry supply chain considerations include the spatial allocation of forest products processing facilities, the array of primary forest commodities they consume, and the transportation infrastructure. This study conducts a network analysis utilizing the location of 2543 primary forest product producers in the contiguous United States along with a national road dataset to evaluate hotspots where a better opportunity to merchandise forest products enables flexibility in forest management, and coldspots where alternatives are limited. This study establishes service areas of processing facilities for sawlogs, pulpwood, and biomass at varying haul-times and two scenarios as a function of transportation costs and constructs a Cumulative Merchantability Index (CMI) by summing the Merchantability Index values defining the current market extent. In the Short Haul scenario, 26% (61.71 million hectares) and the Long Haul scenario, 9% (21.32 million hectares) of the forests have low merchantability for all three commodities. Only 3% of forests in Short Haul and 20% forests in the Long Haul scenario have an opportunity to market all three forest commodities. Results are helpful in prioritizing differing management objectives by evaluating the potential cost saving afforded by selling forest commodities.","container-title":"Forest Policy and Economics","DOI":"10.1016/j.forpol.2020.102181","ISSN":"1389-9341","journalAbbreviation":"Forest Policy and Economics","page":"102181","source":"ScienceDirect","title":"A network analysis to identify forest merchantability limitations across the United States","volume":"116","author":[{"family":"Pokharel","given":"Raju"},{"family":"Latta","given":"Gregory S."}],"issued":{"date-parts":[["2020",7,1]]}}}],"schema":"https://github.com/citation-style-language/schema/raw/master/csl-citation.json"} </w:instrText>
      </w:r>
      <w:r w:rsidR="00FE7403">
        <w:rPr>
          <w:rFonts w:asciiTheme="minorHAnsi" w:hAnsiTheme="minorHAnsi"/>
          <w:sz w:val="22"/>
          <w:szCs w:val="22"/>
        </w:rPr>
        <w:fldChar w:fldCharType="separate"/>
      </w:r>
      <w:r w:rsidR="00FE7403" w:rsidRPr="00FE7403">
        <w:rPr>
          <w:rFonts w:ascii="Aptos" w:eastAsiaTheme="minorHAnsi" w:hAnsiTheme="minorHAnsi"/>
          <w:sz w:val="22"/>
          <w:vertAlign w:val="superscript"/>
          <w14:ligatures w14:val="standardContextual"/>
        </w:rPr>
        <w:t>34</w:t>
      </w:r>
      <w:r w:rsidR="00FE7403">
        <w:rPr>
          <w:rFonts w:asciiTheme="minorHAnsi" w:hAnsiTheme="minorHAnsi"/>
          <w:sz w:val="22"/>
          <w:szCs w:val="22"/>
        </w:rPr>
        <w:fldChar w:fldCharType="end"/>
      </w:r>
      <w:r w:rsidRPr="009E433E">
        <w:rPr>
          <w:rFonts w:asciiTheme="minorHAnsi" w:hAnsiTheme="minorHAnsi"/>
          <w:sz w:val="22"/>
          <w:szCs w:val="22"/>
        </w:rPr>
        <w:t xml:space="preserve">.  The model has a rich supply-side representation representing more than 130,000 forest plots from the Forest Inventory and Analysis dataset (FIA). For each plot, LURA records a site class measure (a broad index of stand quality), aggregates forest tree species into 14 broad forest </w:t>
      </w:r>
      <w:r w:rsidR="00FE7403" w:rsidRPr="009E433E">
        <w:rPr>
          <w:rFonts w:asciiTheme="minorHAnsi" w:hAnsiTheme="minorHAnsi"/>
          <w:sz w:val="22"/>
          <w:szCs w:val="22"/>
        </w:rPr>
        <w:t>types, different</w:t>
      </w:r>
      <w:r w:rsidRPr="009E433E">
        <w:rPr>
          <w:rFonts w:asciiTheme="minorHAnsi" w:hAnsiTheme="minorHAnsi"/>
          <w:sz w:val="22"/>
          <w:szCs w:val="22"/>
        </w:rPr>
        <w:t xml:space="preserve"> condition classes, and age class (in five</w:t>
      </w:r>
      <w:r w:rsidR="00F93B1E">
        <w:rPr>
          <w:rFonts w:asciiTheme="minorHAnsi" w:hAnsiTheme="minorHAnsi"/>
          <w:sz w:val="22"/>
          <w:szCs w:val="22"/>
        </w:rPr>
        <w:t>-</w:t>
      </w:r>
      <w:r w:rsidRPr="009E433E">
        <w:rPr>
          <w:rFonts w:asciiTheme="minorHAnsi" w:hAnsiTheme="minorHAnsi"/>
          <w:sz w:val="22"/>
          <w:szCs w:val="22"/>
        </w:rPr>
        <w:t xml:space="preserve">year increments). </w:t>
      </w:r>
    </w:p>
    <w:p w14:paraId="02F0CEE9" w14:textId="77777777" w:rsidR="009E433E" w:rsidRPr="009E433E" w:rsidRDefault="009E433E" w:rsidP="009E433E">
      <w:pPr>
        <w:rPr>
          <w:rFonts w:asciiTheme="minorHAnsi" w:hAnsiTheme="minorHAnsi"/>
          <w:sz w:val="22"/>
          <w:szCs w:val="22"/>
        </w:rPr>
      </w:pPr>
    </w:p>
    <w:p w14:paraId="2DA3FEE4" w14:textId="0AE395D6" w:rsidR="009E433E" w:rsidRPr="009E433E" w:rsidRDefault="009E433E" w:rsidP="009E433E">
      <w:pPr>
        <w:rPr>
          <w:rFonts w:asciiTheme="minorHAnsi" w:hAnsiTheme="minorHAnsi"/>
          <w:sz w:val="22"/>
          <w:szCs w:val="22"/>
        </w:rPr>
      </w:pPr>
      <w:r w:rsidRPr="009E433E">
        <w:rPr>
          <w:rFonts w:asciiTheme="minorHAnsi" w:hAnsiTheme="minorHAnsi"/>
          <w:sz w:val="22"/>
          <w:szCs w:val="22"/>
        </w:rPr>
        <w:t xml:space="preserve">Once volume is collected for each plot and condition class, empirical growth curves are estimated for each Eco-Province using a standard von </w:t>
      </w:r>
      <w:proofErr w:type="spellStart"/>
      <w:r w:rsidRPr="009E433E">
        <w:rPr>
          <w:rFonts w:asciiTheme="minorHAnsi" w:hAnsiTheme="minorHAnsi"/>
          <w:sz w:val="22"/>
          <w:szCs w:val="22"/>
        </w:rPr>
        <w:t>Bertalanffy</w:t>
      </w:r>
      <w:proofErr w:type="spellEnd"/>
      <w:r w:rsidRPr="009E433E">
        <w:rPr>
          <w:rFonts w:asciiTheme="minorHAnsi" w:hAnsiTheme="minorHAnsi"/>
          <w:sz w:val="22"/>
          <w:szCs w:val="22"/>
        </w:rPr>
        <w:t xml:space="preserve"> functional form (for each forest type and site class combination). These growth curves are applied to each plot to simulate forest growth (net of mortality) at each forest plot in the absence of new removals. Latta et al. (2018) provides a detailed overview of the supply side of the model, including relevant structural equations</w:t>
      </w:r>
      <w:r w:rsidR="00D36F01">
        <w:rPr>
          <w:rFonts w:asciiTheme="minorHAnsi" w:hAnsiTheme="minorHAnsi"/>
          <w:sz w:val="22"/>
          <w:szCs w:val="22"/>
        </w:rPr>
        <w:fldChar w:fldCharType="begin"/>
      </w:r>
      <w:r w:rsidR="00D36F01">
        <w:rPr>
          <w:rFonts w:asciiTheme="minorHAnsi" w:hAnsiTheme="minorHAnsi"/>
          <w:sz w:val="22"/>
          <w:szCs w:val="22"/>
        </w:rPr>
        <w:instrText xml:space="preserve"> ADDIN ZOTERO_ITEM CSL_CITATION {"citationID":"xQjLRnJi","properties":{"formattedCitation":"\\super 31\\nosupersub{}","plainCitation":"31","noteIndex":0},"citationItems":[{"id":1714,"uris":["http://zotero.org/groups/5285972/items/HJ7MEJ2C"],"itemData":{"id":1714,"type":"article-journal","abstract":"The United States has recently set ambitious national goals for greenhouse gas (GHG) reductions over the coming decades. A portion of these reductions are based on expected sequestration and storage contributions from land use, land use change, and forestry (LULUCF). Significant uncertainty exists in future forest markets and thus the potential LULUCF contribution to US GHG reduction goals. This study seeks to inform the discussion by modeling US forest GHG accounts per different simulated demand scenarios across a grid of over 130,000 USDA Forest Service Forest Inventory and Analysis (FIA) forestland plots over the conterminous United States. This spatially disaggregated future supply is based on empirical yield functions for log volume, biomass and carbon. Demand data is based on a spatial database of over 2300 forest product manufacturing facilities representing 11 intermediate and 13 final solid and pulpwood products. Transportation costs are derived from fuel prices and the locations of FIA plot from which a log is harvested and mill or port destination. Trade between mills in intermediate products such as sawmill residues or planer shavings is also captured within the model formulation. The resulting partial spatial equilibrium model of the US forest sector is solved annually for the period 2015–2035 with demand shifted by energy prices and macroeconomic indicators from the US EIA's Annual Energy Outlook for a Reference, Low Economic Growth, and High Economic Growth case. For each macroeconomic scenario simulated, figures showing historic and scenario-specific live tree carnon emissions and sequestration are generated. Maps of the spatial allocation of both forest harvesting and related carbon fluxes are presented at the National level and detail is given for both regions and ownerships.","container-title":"Forest Policy and Economics","DOI":"10.1016/j.forpol.2017.10.003","ISSN":"1389-9341","journalAbbreviation":"Forest Policy and Economics","page":"35-48","source":"ScienceDirect","title":"A Land Use and Resource Allocation (LURA) modeling system for projecting localized forest CO2 effects of alternative macroeconomic futures","volume":"87","author":[{"family":"Latta","given":"Gregory S."},{"family":"Baker","given":"Justin S."},{"family":"Ohrel","given":"Sara"}],"issued":{"date-parts":[["2018",2,1]]}}}],"schema":"https://github.com/citation-style-language/schema/raw/master/csl-citation.json"} </w:instrText>
      </w:r>
      <w:r w:rsidR="00D36F01">
        <w:rPr>
          <w:rFonts w:asciiTheme="minorHAnsi" w:hAnsiTheme="minorHAnsi"/>
          <w:sz w:val="22"/>
          <w:szCs w:val="22"/>
        </w:rPr>
        <w:fldChar w:fldCharType="separate"/>
      </w:r>
      <w:r w:rsidR="00D36F01" w:rsidRPr="00D36F01">
        <w:rPr>
          <w:rFonts w:ascii="Aptos" w:eastAsiaTheme="minorHAnsi" w:hAnsiTheme="minorHAnsi"/>
          <w:sz w:val="22"/>
          <w:vertAlign w:val="superscript"/>
          <w14:ligatures w14:val="standardContextual"/>
        </w:rPr>
        <w:t>31</w:t>
      </w:r>
      <w:r w:rsidR="00D36F01">
        <w:rPr>
          <w:rFonts w:asciiTheme="minorHAnsi" w:hAnsiTheme="minorHAnsi"/>
          <w:sz w:val="22"/>
          <w:szCs w:val="22"/>
        </w:rPr>
        <w:fldChar w:fldCharType="end"/>
      </w:r>
      <w:r w:rsidR="00D36F01">
        <w:rPr>
          <w:rFonts w:asciiTheme="minorHAnsi" w:hAnsiTheme="minorHAnsi"/>
          <w:sz w:val="22"/>
          <w:szCs w:val="22"/>
        </w:rPr>
        <w:t>.</w:t>
      </w:r>
      <w:r w:rsidRPr="009E433E">
        <w:rPr>
          <w:rFonts w:asciiTheme="minorHAnsi" w:hAnsiTheme="minorHAnsi"/>
          <w:sz w:val="22"/>
          <w:szCs w:val="22"/>
        </w:rPr>
        <w:t xml:space="preserve"> </w:t>
      </w:r>
    </w:p>
    <w:p w14:paraId="568394BA" w14:textId="77777777" w:rsidR="009E433E" w:rsidRPr="009E433E" w:rsidRDefault="009E433E" w:rsidP="009E433E">
      <w:pPr>
        <w:rPr>
          <w:rFonts w:asciiTheme="minorHAnsi" w:hAnsiTheme="minorHAnsi"/>
          <w:sz w:val="22"/>
          <w:szCs w:val="22"/>
        </w:rPr>
      </w:pPr>
    </w:p>
    <w:p w14:paraId="07764188" w14:textId="07E86CAE" w:rsidR="009E433E" w:rsidRPr="009E433E" w:rsidRDefault="009E433E" w:rsidP="009E433E">
      <w:pPr>
        <w:rPr>
          <w:rFonts w:asciiTheme="minorHAnsi" w:hAnsiTheme="minorHAnsi"/>
          <w:sz w:val="22"/>
          <w:szCs w:val="22"/>
        </w:rPr>
      </w:pPr>
      <w:r w:rsidRPr="009E433E">
        <w:rPr>
          <w:rFonts w:asciiTheme="minorHAnsi" w:hAnsiTheme="minorHAnsi"/>
          <w:sz w:val="22"/>
          <w:szCs w:val="22"/>
        </w:rPr>
        <w:t>In this analysis, we optimize net economic welfare for the US forest industry, or the sum of consumer and producer surplus. We use product-specific demand elasticities pulled from the literature (or estimated directly) for 14 different product categories, including bioenergy products such as wood pellets, as well as 19 additional intermediate products that are inputs to final finished product processes (e.g., logs, wood chips, sawdust, etc.). National demand is then disaggregated to the mill level based on relative capacity shares such that each mill has an individual demand curve. National demand for different product categories</w:t>
      </w:r>
      <w:r w:rsidR="00FE7403">
        <w:rPr>
          <w:rFonts w:asciiTheme="minorHAnsi" w:hAnsiTheme="minorHAnsi"/>
          <w:sz w:val="22"/>
          <w:szCs w:val="22"/>
        </w:rPr>
        <w:t xml:space="preserve"> </w:t>
      </w:r>
      <w:r w:rsidRPr="009E433E">
        <w:rPr>
          <w:rFonts w:asciiTheme="minorHAnsi" w:hAnsiTheme="minorHAnsi"/>
          <w:sz w:val="22"/>
          <w:szCs w:val="22"/>
        </w:rPr>
        <w:t>including housing start projections,  grow over time based on income elasticities and macroeconomic growth projections from the U.S. Annual Energy Outlook 2023 report</w:t>
      </w:r>
      <w:r w:rsidR="00FE7403">
        <w:rPr>
          <w:rFonts w:asciiTheme="minorHAnsi" w:hAnsiTheme="minorHAnsi"/>
          <w:sz w:val="22"/>
          <w:szCs w:val="22"/>
        </w:rPr>
        <w:fldChar w:fldCharType="begin"/>
      </w:r>
      <w:r w:rsidR="00FE7403">
        <w:rPr>
          <w:rFonts w:asciiTheme="minorHAnsi" w:hAnsiTheme="minorHAnsi"/>
          <w:sz w:val="22"/>
          <w:szCs w:val="22"/>
        </w:rPr>
        <w:instrText xml:space="preserve"> ADDIN ZOTERO_ITEM CSL_CITATION {"citationID":"ZvPdmW5Z","properties":{"formattedCitation":"\\super 35\\nosupersub{}","plainCitation":"35","noteIndex":0},"citationItems":[{"id":5174,"uris":["http://zotero.org/groups/5665801/items/K44V983S"],"itemData":{"id":5174,"type":"webpage","abstract":"Energy Information Administration - EIA - Official Energy Statistics from the U.S. Government","container-title":"U.S. Energy Information Administration","title":"Annual Energy Outlook 2025","URL":"https://www.eia.gov/outlooks/aeo/index.php","author":[{"family":"EIA","given":""}],"accessed":{"date-parts":[["2025",6,3]]}}}],"schema":"https://github.com/citation-style-language/schema/raw/master/csl-citation.json"} </w:instrText>
      </w:r>
      <w:r w:rsidR="00FE7403">
        <w:rPr>
          <w:rFonts w:asciiTheme="minorHAnsi" w:hAnsiTheme="minorHAnsi"/>
          <w:sz w:val="22"/>
          <w:szCs w:val="22"/>
        </w:rPr>
        <w:fldChar w:fldCharType="separate"/>
      </w:r>
      <w:r w:rsidR="00FE7403" w:rsidRPr="00FE7403">
        <w:rPr>
          <w:rFonts w:ascii="Aptos" w:eastAsiaTheme="minorHAnsi" w:hAnsiTheme="minorHAnsi"/>
          <w:sz w:val="22"/>
          <w:vertAlign w:val="superscript"/>
          <w14:ligatures w14:val="standardContextual"/>
        </w:rPr>
        <w:t>35</w:t>
      </w:r>
      <w:r w:rsidR="00FE7403">
        <w:rPr>
          <w:rFonts w:asciiTheme="minorHAnsi" w:hAnsiTheme="minorHAnsi"/>
          <w:sz w:val="22"/>
          <w:szCs w:val="22"/>
        </w:rPr>
        <w:fldChar w:fldCharType="end"/>
      </w:r>
      <w:r w:rsidR="00FE7403">
        <w:rPr>
          <w:rFonts w:asciiTheme="minorHAnsi" w:hAnsiTheme="minorHAnsi"/>
          <w:sz w:val="22"/>
          <w:szCs w:val="22"/>
        </w:rPr>
        <w:t xml:space="preserve">. </w:t>
      </w:r>
      <w:r w:rsidRPr="009E433E">
        <w:rPr>
          <w:rFonts w:asciiTheme="minorHAnsi" w:hAnsiTheme="minorHAnsi"/>
          <w:sz w:val="22"/>
          <w:szCs w:val="22"/>
        </w:rPr>
        <w:t>Latta et al. (2018) documents structural equations on the demand-side of the LURA model</w:t>
      </w:r>
      <w:r w:rsidR="00FE7403">
        <w:rPr>
          <w:rFonts w:asciiTheme="minorHAnsi" w:hAnsiTheme="minorHAnsi"/>
          <w:sz w:val="22"/>
          <w:szCs w:val="22"/>
        </w:rPr>
        <w:fldChar w:fldCharType="begin"/>
      </w:r>
      <w:r w:rsidR="00FE7403">
        <w:rPr>
          <w:rFonts w:asciiTheme="minorHAnsi" w:hAnsiTheme="minorHAnsi"/>
          <w:sz w:val="22"/>
          <w:szCs w:val="22"/>
        </w:rPr>
        <w:instrText xml:space="preserve"> ADDIN ZOTERO_ITEM CSL_CITATION {"citationID":"rZ3szwZC","properties":{"formattedCitation":"\\super 31\\nosupersub{}","plainCitation":"31","noteIndex":0},"citationItems":[{"id":1714,"uris":["http://zotero.org/groups/5285972/items/HJ7MEJ2C"],"itemData":{"id":1714,"type":"article-journal","abstract":"The United States has recently set ambitious national goals for greenhouse gas (GHG) reductions over the coming decades. A portion of these reductions are based on expected sequestration and storage contributions from land use, land use change, and forestry (LULUCF). Significant uncertainty exists in future forest markets and thus the potential LULUCF contribution to US GHG reduction goals. This study seeks to inform the discussion by modeling US forest GHG accounts per different simulated demand scenarios across a grid of over 130,000 USDA Forest Service Forest Inventory and Analysis (FIA) forestland plots over the conterminous United States. This spatially disaggregated future supply is based on empirical yield functions for log volume, biomass and carbon. Demand data is based on a spatial database of over 2300 forest product manufacturing facilities representing 11 intermediate and 13 final solid and pulpwood products. Transportation costs are derived from fuel prices and the locations of FIA plot from which a log is harvested and mill or port destination. Trade between mills in intermediate products such as sawmill residues or planer shavings is also captured within the model formulation. The resulting partial spatial equilibrium model of the US forest sector is solved annually for the period 2015–2035 with demand shifted by energy prices and macroeconomic indicators from the US EIA's Annual Energy Outlook for a Reference, Low Economic Growth, and High Economic Growth case. For each macroeconomic scenario simulated, figures showing historic and scenario-specific live tree carnon emissions and sequestration are generated. Maps of the spatial allocation of both forest harvesting and related carbon fluxes are presented at the National level and detail is given for both regions and ownerships.","container-title":"Forest Policy and Economics","DOI":"10.1016/j.forpol.2017.10.003","ISSN":"1389-9341","journalAbbreviation":"Forest Policy and Economics","page":"35-48","source":"ScienceDirect","title":"A Land Use and Resource Allocation (LURA) modeling system for projecting localized forest CO2 effects of alternative macroeconomic futures","volume":"87","author":[{"family":"Latta","given":"Gregory S."},{"family":"Baker","given":"Justin S."},{"family":"Ohrel","given":"Sara"}],"issued":{"date-parts":[["2018",2,1]]}}}],"schema":"https://github.com/citation-style-language/schema/raw/master/csl-citation.json"} </w:instrText>
      </w:r>
      <w:r w:rsidR="00FE7403">
        <w:rPr>
          <w:rFonts w:asciiTheme="minorHAnsi" w:hAnsiTheme="minorHAnsi"/>
          <w:sz w:val="22"/>
          <w:szCs w:val="22"/>
        </w:rPr>
        <w:fldChar w:fldCharType="separate"/>
      </w:r>
      <w:r w:rsidR="00FE7403" w:rsidRPr="00FE7403">
        <w:rPr>
          <w:rFonts w:ascii="Aptos" w:eastAsiaTheme="minorHAnsi" w:hAnsiTheme="minorHAnsi"/>
          <w:sz w:val="22"/>
          <w:vertAlign w:val="superscript"/>
          <w14:ligatures w14:val="standardContextual"/>
        </w:rPr>
        <w:t>31</w:t>
      </w:r>
      <w:r w:rsidR="00FE7403">
        <w:rPr>
          <w:rFonts w:asciiTheme="minorHAnsi" w:hAnsiTheme="minorHAnsi"/>
          <w:sz w:val="22"/>
          <w:szCs w:val="22"/>
        </w:rPr>
        <w:fldChar w:fldCharType="end"/>
      </w:r>
      <w:r w:rsidR="00D36F01">
        <w:rPr>
          <w:rFonts w:asciiTheme="minorHAnsi" w:hAnsiTheme="minorHAnsi"/>
          <w:sz w:val="22"/>
          <w:szCs w:val="22"/>
        </w:rPr>
        <w:t>.</w:t>
      </w:r>
      <w:r w:rsidRPr="009E433E">
        <w:rPr>
          <w:rFonts w:asciiTheme="minorHAnsi" w:hAnsiTheme="minorHAnsi"/>
          <w:sz w:val="22"/>
          <w:szCs w:val="22"/>
        </w:rPr>
        <w:t xml:space="preserve"> </w:t>
      </w:r>
    </w:p>
    <w:p w14:paraId="04695A5E" w14:textId="77777777" w:rsidR="009E433E" w:rsidRPr="009E433E" w:rsidRDefault="009E433E" w:rsidP="009E433E">
      <w:pPr>
        <w:rPr>
          <w:rFonts w:asciiTheme="minorHAnsi" w:hAnsiTheme="minorHAnsi"/>
          <w:sz w:val="22"/>
          <w:szCs w:val="22"/>
        </w:rPr>
      </w:pPr>
    </w:p>
    <w:p w14:paraId="5EBCA392" w14:textId="5E7F9E61" w:rsidR="009E433E" w:rsidRPr="009E433E" w:rsidRDefault="009E433E" w:rsidP="009E433E">
      <w:pPr>
        <w:rPr>
          <w:rFonts w:asciiTheme="minorHAnsi" w:hAnsiTheme="minorHAnsi"/>
          <w:sz w:val="22"/>
          <w:szCs w:val="22"/>
        </w:rPr>
      </w:pPr>
      <w:r w:rsidRPr="009E433E">
        <w:rPr>
          <w:rFonts w:asciiTheme="minorHAnsi" w:hAnsiTheme="minorHAnsi"/>
          <w:sz w:val="22"/>
          <w:szCs w:val="22"/>
        </w:rPr>
        <w:t xml:space="preserve">LURA depicts detailed transportation networks by mapping road </w:t>
      </w:r>
      <w:r w:rsidR="00FE7403" w:rsidRPr="009E433E">
        <w:rPr>
          <w:rFonts w:asciiTheme="minorHAnsi" w:hAnsiTheme="minorHAnsi"/>
          <w:sz w:val="22"/>
          <w:szCs w:val="22"/>
        </w:rPr>
        <w:t>networks between</w:t>
      </w:r>
      <w:r w:rsidRPr="009E433E">
        <w:rPr>
          <w:rFonts w:asciiTheme="minorHAnsi" w:hAnsiTheme="minorHAnsi"/>
          <w:sz w:val="22"/>
          <w:szCs w:val="22"/>
        </w:rPr>
        <w:t xml:space="preserve"> plots and mills, </w:t>
      </w:r>
      <w:proofErr w:type="gramStart"/>
      <w:r w:rsidRPr="009E433E">
        <w:rPr>
          <w:rFonts w:asciiTheme="minorHAnsi" w:hAnsiTheme="minorHAnsi"/>
          <w:sz w:val="22"/>
          <w:szCs w:val="22"/>
        </w:rPr>
        <w:t>and also</w:t>
      </w:r>
      <w:proofErr w:type="gramEnd"/>
      <w:r w:rsidRPr="009E433E">
        <w:rPr>
          <w:rFonts w:asciiTheme="minorHAnsi" w:hAnsiTheme="minorHAnsi"/>
          <w:sz w:val="22"/>
          <w:szCs w:val="22"/>
        </w:rPr>
        <w:t xml:space="preserve"> between demand points (between mills and ports). Road networks and hauling cost parameters capture mill-to-mill interactions and the supply of sawmill residuals to meet pulpwood demand for traditional wood products or bioenergy. Road networks are converted to average travel time and distance and then average hauling costs based on projected diesel prices and assumed truck load capacities for different log or residual types (e.g., softwood pulp and saw logs, hardwood pulp and saw logs). Pokharel and Latta (2020) provide additional information on LURA transportation networks</w:t>
      </w:r>
      <w:r w:rsidR="00FE7403">
        <w:rPr>
          <w:rFonts w:asciiTheme="minorHAnsi" w:hAnsiTheme="minorHAnsi"/>
          <w:sz w:val="22"/>
          <w:szCs w:val="22"/>
        </w:rPr>
        <w:fldChar w:fldCharType="begin"/>
      </w:r>
      <w:r w:rsidR="00FE7403">
        <w:rPr>
          <w:rFonts w:asciiTheme="minorHAnsi" w:hAnsiTheme="minorHAnsi"/>
          <w:sz w:val="22"/>
          <w:szCs w:val="22"/>
        </w:rPr>
        <w:instrText xml:space="preserve"> ADDIN ZOTERO_ITEM CSL_CITATION {"citationID":"52vMfF4D","properties":{"formattedCitation":"\\super 34\\nosupersub{}","plainCitation":"34","noteIndex":0},"citationItems":[{"id":5171,"uris":["http://zotero.org/groups/5665801/items/3HT26GJ2"],"itemData":{"id":5171,"type":"article-journal","abstract":"Large-scale silvicultural programs designed to alter forest characteristics to accomplish either financial or ecological goals often involve the extraction of significant volumes. The operational costs, and thus extend over which these programs can be applied, depend in large part on supply chain considerations and the degree to which removals can be merchandized. Forestry supply chain considerations include the spatial allocation of forest products processing facilities, the array of primary forest commodities they consume, and the transportation infrastructure. This study conducts a network analysis utilizing the location of 2543 primary forest product producers in the contiguous United States along with a national road dataset to evaluate hotspots where a better opportunity to merchandise forest products enables flexibility in forest management, and coldspots where alternatives are limited. This study establishes service areas of processing facilities for sawlogs, pulpwood, and biomass at varying haul-times and two scenarios as a function of transportation costs and constructs a Cumulative Merchantability Index (CMI) by summing the Merchantability Index values defining the current market extent. In the Short Haul scenario, 26% (61.71 million hectares) and the Long Haul scenario, 9% (21.32 million hectares) of the forests have low merchantability for all three commodities. Only 3% of forests in Short Haul and 20% forests in the Long Haul scenario have an opportunity to market all three forest commodities. Results are helpful in prioritizing differing management objectives by evaluating the potential cost saving afforded by selling forest commodities.","container-title":"Forest Policy and Economics","DOI":"10.1016/j.forpol.2020.102181","ISSN":"1389-9341","journalAbbreviation":"Forest Policy and Economics","page":"102181","source":"ScienceDirect","title":"A network analysis to identify forest merchantability limitations across the United States","volume":"116","author":[{"family":"Pokharel","given":"Raju"},{"family":"Latta","given":"Gregory S."}],"issued":{"date-parts":[["2020",7,1]]}}}],"schema":"https://github.com/citation-style-language/schema/raw/master/csl-citation.json"} </w:instrText>
      </w:r>
      <w:r w:rsidR="00FE7403">
        <w:rPr>
          <w:rFonts w:asciiTheme="minorHAnsi" w:hAnsiTheme="minorHAnsi"/>
          <w:sz w:val="22"/>
          <w:szCs w:val="22"/>
        </w:rPr>
        <w:fldChar w:fldCharType="separate"/>
      </w:r>
      <w:r w:rsidR="00FE7403" w:rsidRPr="00FE7403">
        <w:rPr>
          <w:rFonts w:ascii="Aptos" w:eastAsiaTheme="minorHAnsi" w:hAnsiTheme="minorHAnsi"/>
          <w:sz w:val="22"/>
          <w:vertAlign w:val="superscript"/>
          <w14:ligatures w14:val="standardContextual"/>
        </w:rPr>
        <w:t>34</w:t>
      </w:r>
      <w:r w:rsidR="00FE7403">
        <w:rPr>
          <w:rFonts w:asciiTheme="minorHAnsi" w:hAnsiTheme="minorHAnsi"/>
          <w:sz w:val="22"/>
          <w:szCs w:val="22"/>
        </w:rPr>
        <w:fldChar w:fldCharType="end"/>
      </w:r>
      <w:r w:rsidR="00D36F01">
        <w:rPr>
          <w:rFonts w:asciiTheme="minorHAnsi" w:hAnsiTheme="minorHAnsi"/>
          <w:sz w:val="22"/>
          <w:szCs w:val="22"/>
        </w:rPr>
        <w:t>.</w:t>
      </w:r>
      <w:r w:rsidRPr="009E433E">
        <w:rPr>
          <w:rFonts w:asciiTheme="minorHAnsi" w:hAnsiTheme="minorHAnsi"/>
          <w:sz w:val="22"/>
          <w:szCs w:val="22"/>
        </w:rPr>
        <w:t xml:space="preserve"> </w:t>
      </w:r>
    </w:p>
    <w:p w14:paraId="53EAA342" w14:textId="77777777" w:rsidR="009E433E" w:rsidRPr="009E433E" w:rsidRDefault="009E433E" w:rsidP="009E433E">
      <w:pPr>
        <w:rPr>
          <w:rFonts w:asciiTheme="minorHAnsi" w:hAnsiTheme="minorHAnsi"/>
          <w:sz w:val="22"/>
          <w:szCs w:val="22"/>
        </w:rPr>
      </w:pPr>
    </w:p>
    <w:p w14:paraId="05DBF57B" w14:textId="534B3662" w:rsidR="009E433E" w:rsidRPr="009E433E" w:rsidRDefault="009E433E" w:rsidP="009E433E">
      <w:pPr>
        <w:rPr>
          <w:rFonts w:asciiTheme="minorHAnsi" w:hAnsiTheme="minorHAnsi"/>
          <w:sz w:val="22"/>
          <w:szCs w:val="22"/>
        </w:rPr>
      </w:pPr>
      <w:r w:rsidRPr="009E433E">
        <w:rPr>
          <w:rFonts w:asciiTheme="minorHAnsi" w:hAnsiTheme="minorHAnsi"/>
          <w:sz w:val="22"/>
          <w:szCs w:val="22"/>
        </w:rPr>
        <w:t>For this analysis, we ran national-scale simulations with the LURA model under assumed business as usual market demand growth (following an AEO reference case scenario). Then, we included five additional bioenergy demand scenarios, adding new mills to the landscape at each point in time when we expect the facility to come online. Each facility was provided a geographic location and an exogenous demand requirement, with restrictions on feedstock type. For each new facility, we calculated hauling costs from plot to facility and between each facility and other demand points using the approach outlined in Pokharel and Latta (2020)</w:t>
      </w:r>
      <w:r w:rsidR="00FE7403">
        <w:rPr>
          <w:rFonts w:asciiTheme="minorHAnsi" w:hAnsiTheme="minorHAnsi"/>
          <w:sz w:val="22"/>
          <w:szCs w:val="22"/>
        </w:rPr>
        <w:fldChar w:fldCharType="begin"/>
      </w:r>
      <w:r w:rsidR="00FE7403">
        <w:rPr>
          <w:rFonts w:asciiTheme="minorHAnsi" w:hAnsiTheme="minorHAnsi"/>
          <w:sz w:val="22"/>
          <w:szCs w:val="22"/>
        </w:rPr>
        <w:instrText xml:space="preserve"> ADDIN ZOTERO_ITEM CSL_CITATION {"citationID":"yrte0N4m","properties":{"formattedCitation":"\\super 34\\nosupersub{}","plainCitation":"34","noteIndex":0},"citationItems":[{"id":5171,"uris":["http://zotero.org/groups/5665801/items/3HT26GJ2"],"itemData":{"id":5171,"type":"article-journal","abstract":"Large-scale silvicultural programs designed to alter forest characteristics to accomplish either financial or ecological goals often involve the extraction of significant volumes. The operational costs, and thus extend over which these programs can be applied, depend in large part on supply chain considerations and the degree to which removals can be merchandized. Forestry supply chain considerations include the spatial allocation of forest products processing facilities, the array of primary forest commodities they consume, and the transportation infrastructure. This study conducts a network analysis utilizing the location of 2543 primary forest product producers in the contiguous United States along with a national road dataset to evaluate hotspots where a better opportunity to merchandise forest products enables flexibility in forest management, and coldspots where alternatives are limited. This study establishes service areas of processing facilities for sawlogs, pulpwood, and biomass at varying haul-times and two scenarios as a function of transportation costs and constructs a Cumulative Merchantability Index (CMI) by summing the Merchantability Index values defining the current market extent. In the Short Haul scenario, 26% (61.71 million hectares) and the Long Haul scenario, 9% (21.32 million hectares) of the forests have low merchantability for all three commodities. Only 3% of forests in Short Haul and 20% forests in the Long Haul scenario have an opportunity to market all three forest commodities. Results are helpful in prioritizing differing management objectives by evaluating the potential cost saving afforded by selling forest commodities.","container-title":"Forest Policy and Economics","DOI":"10.1016/j.forpol.2020.102181","ISSN":"1389-9341","journalAbbreviation":"Forest Policy and Economics","page":"102181","source":"ScienceDirect","title":"A network analysis to identify forest merchantability limitations across the United States","volume":"116","author":[{"family":"Pokharel","given":"Raju"},{"family":"Latta","given":"Gregory S."}],"issued":{"date-parts":[["2020",7,1]]}}}],"schema":"https://github.com/citation-style-language/schema/raw/master/csl-citation.json"} </w:instrText>
      </w:r>
      <w:r w:rsidR="00FE7403">
        <w:rPr>
          <w:rFonts w:asciiTheme="minorHAnsi" w:hAnsiTheme="minorHAnsi"/>
          <w:sz w:val="22"/>
          <w:szCs w:val="22"/>
        </w:rPr>
        <w:fldChar w:fldCharType="separate"/>
      </w:r>
      <w:r w:rsidR="00FE7403" w:rsidRPr="00FE7403">
        <w:rPr>
          <w:rFonts w:ascii="Aptos" w:eastAsiaTheme="minorHAnsi" w:hAnsiTheme="minorHAnsi"/>
          <w:sz w:val="22"/>
          <w:vertAlign w:val="superscript"/>
          <w14:ligatures w14:val="standardContextual"/>
        </w:rPr>
        <w:t>34</w:t>
      </w:r>
      <w:r w:rsidR="00FE7403">
        <w:rPr>
          <w:rFonts w:asciiTheme="minorHAnsi" w:hAnsiTheme="minorHAnsi"/>
          <w:sz w:val="22"/>
          <w:szCs w:val="22"/>
        </w:rPr>
        <w:fldChar w:fldCharType="end"/>
      </w:r>
      <w:r w:rsidR="00D36F01">
        <w:rPr>
          <w:rFonts w:asciiTheme="minorHAnsi" w:hAnsiTheme="minorHAnsi"/>
          <w:sz w:val="22"/>
          <w:szCs w:val="22"/>
        </w:rPr>
        <w:t>.</w:t>
      </w:r>
    </w:p>
    <w:p w14:paraId="0F91AAA2" w14:textId="77777777" w:rsidR="009E433E" w:rsidRPr="009E433E" w:rsidRDefault="009E433E" w:rsidP="009E433E">
      <w:pPr>
        <w:rPr>
          <w:rFonts w:asciiTheme="minorHAnsi" w:hAnsiTheme="minorHAnsi"/>
          <w:sz w:val="22"/>
          <w:szCs w:val="22"/>
        </w:rPr>
      </w:pPr>
    </w:p>
    <w:p w14:paraId="62651033" w14:textId="77777777" w:rsidR="009E433E" w:rsidRPr="009E433E" w:rsidRDefault="009E433E" w:rsidP="009E433E">
      <w:pPr>
        <w:rPr>
          <w:rFonts w:asciiTheme="minorHAnsi" w:hAnsiTheme="minorHAnsi"/>
          <w:sz w:val="22"/>
          <w:szCs w:val="22"/>
        </w:rPr>
      </w:pPr>
      <w:r w:rsidRPr="009E433E">
        <w:rPr>
          <w:rFonts w:asciiTheme="minorHAnsi" w:hAnsiTheme="minorHAnsi"/>
          <w:sz w:val="22"/>
          <w:szCs w:val="22"/>
        </w:rPr>
        <w:t xml:space="preserve">For each scenario, we saved feedstock sourcing results to map out plots individual plots and mills providing feedstock to each new bioenergy facility over time. We also compare this to the original regional sourcing map to assess changes in regional procurement zones for SRTS analysis, described in the next section. </w:t>
      </w:r>
    </w:p>
    <w:p w14:paraId="7F2E695F" w14:textId="08773DA1" w:rsidR="009E433E" w:rsidRPr="009E433E" w:rsidRDefault="009E433E" w:rsidP="009E433E">
      <w:pPr>
        <w:spacing w:after="240"/>
        <w:rPr>
          <w:rFonts w:asciiTheme="minorHAnsi" w:hAnsiTheme="minorHAnsi"/>
          <w:sz w:val="22"/>
          <w:szCs w:val="22"/>
        </w:rPr>
      </w:pPr>
    </w:p>
    <w:p w14:paraId="3A2802FF" w14:textId="5A8A66CF" w:rsidR="00FD3822" w:rsidRPr="009E433E" w:rsidRDefault="00FD3822" w:rsidP="00FD3822">
      <w:pPr>
        <w:pStyle w:val="ListParagraph"/>
        <w:numPr>
          <w:ilvl w:val="0"/>
          <w:numId w:val="2"/>
        </w:numPr>
        <w:spacing w:after="240"/>
        <w:rPr>
          <w:rFonts w:asciiTheme="minorHAnsi" w:hAnsiTheme="minorHAnsi"/>
          <w:sz w:val="22"/>
          <w:szCs w:val="22"/>
        </w:rPr>
      </w:pPr>
      <w:r w:rsidRPr="009E433E">
        <w:rPr>
          <w:rFonts w:asciiTheme="minorHAnsi" w:hAnsiTheme="minorHAnsi"/>
          <w:b/>
          <w:bCs/>
          <w:color w:val="000000"/>
          <w:sz w:val="22"/>
          <w:szCs w:val="22"/>
        </w:rPr>
        <w:lastRenderedPageBreak/>
        <w:t>Sub-Regional Timber Supply</w:t>
      </w:r>
      <w:r w:rsidR="002B1DC9" w:rsidRPr="009E433E">
        <w:rPr>
          <w:rFonts w:asciiTheme="minorHAnsi" w:hAnsiTheme="minorHAnsi"/>
          <w:b/>
          <w:bCs/>
          <w:color w:val="000000"/>
          <w:sz w:val="22"/>
          <w:szCs w:val="22"/>
        </w:rPr>
        <w:t xml:space="preserve"> (SRTS)</w:t>
      </w:r>
      <w:r w:rsidRPr="009E433E">
        <w:rPr>
          <w:rFonts w:asciiTheme="minorHAnsi" w:hAnsiTheme="minorHAnsi"/>
          <w:b/>
          <w:bCs/>
          <w:color w:val="000000"/>
          <w:sz w:val="22"/>
          <w:szCs w:val="22"/>
        </w:rPr>
        <w:t xml:space="preserve"> Modeling</w:t>
      </w:r>
      <w:r w:rsidR="00FA00A2">
        <w:rPr>
          <w:rFonts w:asciiTheme="minorHAnsi" w:hAnsiTheme="minorHAnsi"/>
          <w:b/>
          <w:bCs/>
          <w:color w:val="000000"/>
          <w:sz w:val="22"/>
          <w:szCs w:val="22"/>
        </w:rPr>
        <w:t>.</w:t>
      </w:r>
      <w:r w:rsidRPr="009E433E">
        <w:rPr>
          <w:rFonts w:asciiTheme="minorHAnsi" w:hAnsiTheme="minorHAnsi"/>
          <w:b/>
          <w:bCs/>
          <w:color w:val="000000"/>
          <w:sz w:val="22"/>
          <w:szCs w:val="22"/>
        </w:rPr>
        <w:t xml:space="preserve"> </w:t>
      </w:r>
    </w:p>
    <w:p w14:paraId="410722E4" w14:textId="77777777" w:rsidR="002B1DC9" w:rsidRPr="009E433E" w:rsidRDefault="002B1DC9" w:rsidP="002B1DC9">
      <w:pPr>
        <w:pStyle w:val="ListParagraph"/>
        <w:ind w:left="360"/>
        <w:rPr>
          <w:rFonts w:asciiTheme="minorHAnsi" w:hAnsiTheme="minorHAnsi"/>
          <w:color w:val="000000"/>
          <w:sz w:val="22"/>
          <w:szCs w:val="22"/>
        </w:rPr>
      </w:pPr>
    </w:p>
    <w:p w14:paraId="574DEE0D" w14:textId="77777777" w:rsidR="009E433E" w:rsidRPr="009E433E" w:rsidRDefault="009E433E" w:rsidP="009E433E">
      <w:pPr>
        <w:rPr>
          <w:rFonts w:asciiTheme="minorHAnsi" w:hAnsiTheme="minorHAnsi"/>
          <w:sz w:val="22"/>
          <w:szCs w:val="22"/>
        </w:rPr>
      </w:pPr>
      <w:r w:rsidRPr="009E433E">
        <w:rPr>
          <w:rFonts w:asciiTheme="minorHAnsi" w:hAnsiTheme="minorHAnsi"/>
          <w:sz w:val="22"/>
          <w:szCs w:val="22"/>
        </w:rPr>
        <w:t>Projections for the forest composition, landscape carbon, and market dynamics are made with the Sub-Regional Timber Supply model (SRTS) Excel Add-in v0.2.2. The goal of modeling was three-fold</w:t>
      </w:r>
    </w:p>
    <w:p w14:paraId="63B23D04" w14:textId="77777777" w:rsidR="009E433E" w:rsidRPr="009E433E" w:rsidRDefault="009E433E" w:rsidP="009E433E">
      <w:pPr>
        <w:numPr>
          <w:ilvl w:val="0"/>
          <w:numId w:val="13"/>
        </w:numPr>
        <w:spacing w:after="160" w:line="278" w:lineRule="auto"/>
        <w:rPr>
          <w:rFonts w:asciiTheme="minorHAnsi" w:hAnsiTheme="minorHAnsi"/>
          <w:sz w:val="22"/>
          <w:szCs w:val="22"/>
        </w:rPr>
      </w:pPr>
      <w:r w:rsidRPr="009E433E">
        <w:rPr>
          <w:rFonts w:asciiTheme="minorHAnsi" w:hAnsiTheme="minorHAnsi"/>
          <w:sz w:val="22"/>
          <w:szCs w:val="22"/>
        </w:rPr>
        <w:t>Integrate outputs from Land Use and Resource Allocation model (LURA) to determine the spatial boundaries of our analysis.</w:t>
      </w:r>
    </w:p>
    <w:p w14:paraId="47DBA98E" w14:textId="77777777" w:rsidR="009E433E" w:rsidRPr="009E433E" w:rsidRDefault="009E433E" w:rsidP="009E433E">
      <w:pPr>
        <w:numPr>
          <w:ilvl w:val="0"/>
          <w:numId w:val="13"/>
        </w:numPr>
        <w:spacing w:after="160" w:line="278" w:lineRule="auto"/>
        <w:rPr>
          <w:rFonts w:asciiTheme="minorHAnsi" w:hAnsiTheme="minorHAnsi"/>
          <w:sz w:val="22"/>
          <w:szCs w:val="22"/>
        </w:rPr>
      </w:pPr>
      <w:r w:rsidRPr="009E433E">
        <w:rPr>
          <w:rFonts w:asciiTheme="minorHAnsi" w:hAnsiTheme="minorHAnsi"/>
          <w:sz w:val="22"/>
          <w:szCs w:val="22"/>
        </w:rPr>
        <w:t>Model the influence of staged, yearly pulpwood consumption capacity increases on market dynamics and forest inventory.</w:t>
      </w:r>
    </w:p>
    <w:p w14:paraId="51048407" w14:textId="77777777" w:rsidR="009E433E" w:rsidRPr="009E433E" w:rsidRDefault="009E433E" w:rsidP="009E433E">
      <w:pPr>
        <w:numPr>
          <w:ilvl w:val="0"/>
          <w:numId w:val="13"/>
        </w:numPr>
        <w:spacing w:after="160" w:line="278" w:lineRule="auto"/>
        <w:rPr>
          <w:rFonts w:asciiTheme="minorHAnsi" w:hAnsiTheme="minorHAnsi"/>
          <w:sz w:val="22"/>
          <w:szCs w:val="22"/>
        </w:rPr>
      </w:pPr>
      <w:r w:rsidRPr="009E433E">
        <w:rPr>
          <w:rFonts w:asciiTheme="minorHAnsi" w:hAnsiTheme="minorHAnsi"/>
          <w:sz w:val="22"/>
          <w:szCs w:val="22"/>
        </w:rPr>
        <w:t>Test the sensitivity of our analysis to different model specifications and spatial areas.</w:t>
      </w:r>
    </w:p>
    <w:p w14:paraId="3549D969" w14:textId="77777777" w:rsidR="009E433E" w:rsidRDefault="009E433E" w:rsidP="009E433E">
      <w:pPr>
        <w:rPr>
          <w:rFonts w:asciiTheme="minorHAnsi" w:hAnsiTheme="minorHAnsi"/>
          <w:sz w:val="22"/>
          <w:szCs w:val="22"/>
        </w:rPr>
      </w:pPr>
      <w:r w:rsidRPr="009E433E">
        <w:rPr>
          <w:rFonts w:asciiTheme="minorHAnsi" w:hAnsiTheme="minorHAnsi"/>
          <w:sz w:val="22"/>
          <w:szCs w:val="22"/>
        </w:rPr>
        <w:t xml:space="preserve">The data were derived from USDA Forest Service, Forest Inventory and Analysis (FIA) including plot-level data from the National Forest Inventory (volume, species, diameter, growth, removals) and mill consumption data from the National Resource Use Monitoring (NRUM) survey (previously the Timber Product Output (TPO) survey). This data provides standard inputs for the SRTS model. One </w:t>
      </w:r>
      <w:proofErr w:type="gramStart"/>
      <w:r w:rsidRPr="009E433E">
        <w:rPr>
          <w:rFonts w:asciiTheme="minorHAnsi" w:hAnsiTheme="minorHAnsi"/>
          <w:sz w:val="22"/>
          <w:szCs w:val="22"/>
        </w:rPr>
        <w:t>particular note</w:t>
      </w:r>
      <w:proofErr w:type="gramEnd"/>
      <w:r w:rsidRPr="009E433E">
        <w:rPr>
          <w:rFonts w:asciiTheme="minorHAnsi" w:hAnsiTheme="minorHAnsi"/>
          <w:sz w:val="22"/>
          <w:szCs w:val="22"/>
        </w:rPr>
        <w:t>, we left out the NRUM data associated with Texas as their survey changed in 2020 and thus was unsuitable for our purposes.</w:t>
      </w:r>
    </w:p>
    <w:p w14:paraId="4AB7937F" w14:textId="77777777" w:rsidR="00FE7403" w:rsidRPr="009E433E" w:rsidRDefault="00FE7403" w:rsidP="009E433E">
      <w:pPr>
        <w:rPr>
          <w:rFonts w:asciiTheme="minorHAnsi" w:hAnsiTheme="minorHAnsi"/>
          <w:sz w:val="22"/>
          <w:szCs w:val="22"/>
        </w:rPr>
      </w:pPr>
    </w:p>
    <w:p w14:paraId="6D2654F4" w14:textId="7ACDE518" w:rsidR="009E433E" w:rsidRPr="009E433E" w:rsidRDefault="009E433E" w:rsidP="009E433E">
      <w:pPr>
        <w:rPr>
          <w:rFonts w:asciiTheme="minorHAnsi" w:hAnsiTheme="minorHAnsi"/>
          <w:sz w:val="22"/>
          <w:szCs w:val="22"/>
        </w:rPr>
      </w:pPr>
      <w:r w:rsidRPr="009E433E">
        <w:rPr>
          <w:rFonts w:asciiTheme="minorHAnsi" w:hAnsiTheme="minorHAnsi"/>
          <w:sz w:val="22"/>
          <w:szCs w:val="22"/>
        </w:rPr>
        <w:t>Our data was structured in two regions, both defined by LURA. There was a core region, from which the new mills would be drawing feedstocks directly, and an outer region where existing mills, that had been drawing from the core region, were now getting their feed stocks. As documented in the SRTS User Guide</w:t>
      </w:r>
      <w:r w:rsidR="00FE7403">
        <w:rPr>
          <w:rFonts w:asciiTheme="minorHAnsi" w:hAnsiTheme="minorHAnsi"/>
          <w:sz w:val="22"/>
          <w:szCs w:val="22"/>
        </w:rPr>
        <w:fldChar w:fldCharType="begin"/>
      </w:r>
      <w:r w:rsidR="00FE7403">
        <w:rPr>
          <w:rFonts w:asciiTheme="minorHAnsi" w:hAnsiTheme="minorHAnsi"/>
          <w:sz w:val="22"/>
          <w:szCs w:val="22"/>
        </w:rPr>
        <w:instrText xml:space="preserve"> ADDIN ZOTERO_ITEM CSL_CITATION {"citationID":"HemQBmXG","properties":{"formattedCitation":"\\super 36\\nosupersub{}","plainCitation":"36","noteIndex":0},"citationItems":[{"id":5176,"uris":["http://zotero.org/groups/5665801/items/5X68CVJX"],"itemData":{"id":5176,"type":"webpage","abstract":"Just another Sites site","container-title":"Southern Forest Resource Assessment Consortium","language":"en-US","title":"SRTS Model","URL":"https://research.cnr.ncsu.edu/sofac/srts-model/","accessed":{"date-parts":[["2025",6,3]]}}}],"schema":"https://github.com/citation-style-language/schema/raw/master/csl-citation.json"} </w:instrText>
      </w:r>
      <w:r w:rsidR="00FE7403">
        <w:rPr>
          <w:rFonts w:asciiTheme="minorHAnsi" w:hAnsiTheme="minorHAnsi"/>
          <w:sz w:val="22"/>
          <w:szCs w:val="22"/>
        </w:rPr>
        <w:fldChar w:fldCharType="separate"/>
      </w:r>
      <w:r w:rsidR="00FE7403" w:rsidRPr="00FE7403">
        <w:rPr>
          <w:rFonts w:ascii="Aptos" w:eastAsiaTheme="minorHAnsi" w:hAnsiTheme="minorHAnsi"/>
          <w:sz w:val="22"/>
          <w:vertAlign w:val="superscript"/>
          <w14:ligatures w14:val="standardContextual"/>
        </w:rPr>
        <w:t>36</w:t>
      </w:r>
      <w:r w:rsidR="00FE7403">
        <w:rPr>
          <w:rFonts w:asciiTheme="minorHAnsi" w:hAnsiTheme="minorHAnsi"/>
          <w:sz w:val="22"/>
          <w:szCs w:val="22"/>
        </w:rPr>
        <w:fldChar w:fldCharType="end"/>
      </w:r>
      <w:r w:rsidRPr="009E433E">
        <w:rPr>
          <w:rFonts w:asciiTheme="minorHAnsi" w:hAnsiTheme="minorHAnsi"/>
          <w:sz w:val="22"/>
          <w:szCs w:val="22"/>
        </w:rPr>
        <w:t>, the NRUM/TPO adjustments were applied at the beginning of our run to "true-up" removals. We used the same set of TPO adjustments in both regions. They are based on FIA Survey Unit level</w:t>
      </w:r>
      <w:r w:rsidR="00FE7403">
        <w:rPr>
          <w:rFonts w:asciiTheme="minorHAnsi" w:hAnsiTheme="minorHAnsi"/>
          <w:sz w:val="22"/>
          <w:szCs w:val="22"/>
        </w:rPr>
        <w:fldChar w:fldCharType="begin"/>
      </w:r>
      <w:r w:rsidR="00FE7403">
        <w:rPr>
          <w:rFonts w:asciiTheme="minorHAnsi" w:hAnsiTheme="minorHAnsi"/>
          <w:sz w:val="22"/>
          <w:szCs w:val="22"/>
        </w:rPr>
        <w:instrText xml:space="preserve"> ADDIN ZOTERO_ITEM CSL_CITATION {"citationID":"jBu6gMwW","properties":{"formattedCitation":"\\super 37\\nosupersub{}","plainCitation":"37","noteIndex":0},"citationItems":[{"id":5178,"uris":["http://zotero.org/groups/5665801/items/Q7BNTARS"],"itemData":{"id":5178,"type":"webpage","title":"The Forest Inventory and Analysis Database User Guide (NFI) | US Forest Service Research and Development","URL":"https://research.fs.usda.gov/understory/forest-inventory-and-analysis-database-user-guide-nfi","accessed":{"date-parts":[["2025",6,3]]}}}],"schema":"https://github.com/citation-style-language/schema/raw/master/csl-citation.json"} </w:instrText>
      </w:r>
      <w:r w:rsidR="00FE7403">
        <w:rPr>
          <w:rFonts w:asciiTheme="minorHAnsi" w:hAnsiTheme="minorHAnsi"/>
          <w:sz w:val="22"/>
          <w:szCs w:val="22"/>
        </w:rPr>
        <w:fldChar w:fldCharType="separate"/>
      </w:r>
      <w:r w:rsidR="00FE7403" w:rsidRPr="00FE7403">
        <w:rPr>
          <w:rFonts w:ascii="Aptos" w:eastAsiaTheme="minorHAnsi" w:hAnsiTheme="minorHAnsi"/>
          <w:sz w:val="22"/>
          <w:vertAlign w:val="superscript"/>
          <w14:ligatures w14:val="standardContextual"/>
        </w:rPr>
        <w:t>37</w:t>
      </w:r>
      <w:r w:rsidR="00FE7403">
        <w:rPr>
          <w:rFonts w:asciiTheme="minorHAnsi" w:hAnsiTheme="minorHAnsi"/>
          <w:sz w:val="22"/>
          <w:szCs w:val="22"/>
        </w:rPr>
        <w:fldChar w:fldCharType="end"/>
      </w:r>
      <w:r w:rsidRPr="009E433E">
        <w:rPr>
          <w:rFonts w:asciiTheme="minorHAnsi" w:hAnsiTheme="minorHAnsi"/>
          <w:sz w:val="22"/>
          <w:szCs w:val="22"/>
        </w:rPr>
        <w:t xml:space="preserve"> (see FIADB User Guide for Survey Unit definition) of adjustment factors weighted by inventory volume and averaged.</w:t>
      </w:r>
    </w:p>
    <w:p w14:paraId="12EFCCCD" w14:textId="77777777" w:rsidR="00FE7403" w:rsidRDefault="00FE7403" w:rsidP="009E433E">
      <w:pPr>
        <w:rPr>
          <w:rFonts w:asciiTheme="minorHAnsi" w:hAnsiTheme="minorHAnsi"/>
          <w:sz w:val="22"/>
          <w:szCs w:val="22"/>
        </w:rPr>
      </w:pPr>
    </w:p>
    <w:p w14:paraId="7295FD3D" w14:textId="218517AE" w:rsidR="009E433E" w:rsidRDefault="009E433E" w:rsidP="009E433E">
      <w:pPr>
        <w:rPr>
          <w:rFonts w:asciiTheme="minorHAnsi" w:hAnsiTheme="minorHAnsi"/>
          <w:sz w:val="22"/>
          <w:szCs w:val="22"/>
        </w:rPr>
      </w:pPr>
      <w:r w:rsidRPr="009E433E">
        <w:rPr>
          <w:rFonts w:asciiTheme="minorHAnsi" w:hAnsiTheme="minorHAnsi"/>
          <w:sz w:val="22"/>
          <w:szCs w:val="22"/>
        </w:rPr>
        <w:t xml:space="preserve">We set up our market with four </w:t>
      </w:r>
      <w:r w:rsidR="00FE7403" w:rsidRPr="009E433E">
        <w:rPr>
          <w:rFonts w:asciiTheme="minorHAnsi" w:hAnsiTheme="minorHAnsi"/>
          <w:sz w:val="22"/>
          <w:szCs w:val="22"/>
        </w:rPr>
        <w:t>products:</w:t>
      </w:r>
      <w:r w:rsidRPr="009E433E">
        <w:rPr>
          <w:rFonts w:asciiTheme="minorHAnsi" w:hAnsiTheme="minorHAnsi"/>
          <w:sz w:val="22"/>
          <w:szCs w:val="22"/>
        </w:rPr>
        <w:t xml:space="preserve"> Pine Pulpwood ranging from 5-10 inches in DBH, Pine Sawtimber at greater than 10 inches, Hardwood Pulpwood from 5 to 11 inches, and finally Hardwood Sawtimber at greater than 13 inches. A </w:t>
      </w:r>
      <w:r w:rsidR="00FE7403" w:rsidRPr="009E433E">
        <w:rPr>
          <w:rFonts w:asciiTheme="minorHAnsi" w:hAnsiTheme="minorHAnsi"/>
          <w:sz w:val="22"/>
          <w:szCs w:val="22"/>
        </w:rPr>
        <w:t>five-product</w:t>
      </w:r>
      <w:r w:rsidRPr="009E433E">
        <w:rPr>
          <w:rFonts w:asciiTheme="minorHAnsi" w:hAnsiTheme="minorHAnsi"/>
          <w:sz w:val="22"/>
          <w:szCs w:val="22"/>
        </w:rPr>
        <w:t xml:space="preserve"> specification, where an intermediate Pine Chip and Saw product was defined, was also tested. It was found to introduce error into the modeling and was ultimately abandoned and absorbed by the other pine products, which fit the existing forest and market dynamics better. For each of the four products we used the same, </w:t>
      </w:r>
      <w:proofErr w:type="gramStart"/>
      <w:r w:rsidRPr="009E433E">
        <w:rPr>
          <w:rFonts w:asciiTheme="minorHAnsi" w:hAnsiTheme="minorHAnsi"/>
          <w:sz w:val="22"/>
          <w:szCs w:val="22"/>
        </w:rPr>
        <w:t>fairly inelastic</w:t>
      </w:r>
      <w:proofErr w:type="gramEnd"/>
      <w:r w:rsidRPr="009E433E">
        <w:rPr>
          <w:rFonts w:asciiTheme="minorHAnsi" w:hAnsiTheme="minorHAnsi"/>
          <w:sz w:val="22"/>
          <w:szCs w:val="22"/>
        </w:rPr>
        <w:t>, demand price elasticity of 0.5. The supply price elasticities were less elastic for the pulp markets at 0.3, and more elastic for the sawtimber markets at 0.5. Our inventory elasticities were unit elastic for pine and inelastic (0.25) for hardwoods.</w:t>
      </w:r>
    </w:p>
    <w:p w14:paraId="09B07073" w14:textId="77777777" w:rsidR="00FE7403" w:rsidRPr="009E433E" w:rsidRDefault="00FE7403" w:rsidP="009E433E">
      <w:pPr>
        <w:rPr>
          <w:rFonts w:asciiTheme="minorHAnsi" w:hAnsiTheme="minorHAnsi"/>
          <w:sz w:val="22"/>
          <w:szCs w:val="22"/>
        </w:rPr>
      </w:pPr>
    </w:p>
    <w:p w14:paraId="7F20FCE0" w14:textId="77777777" w:rsidR="009E433E" w:rsidRDefault="009E433E" w:rsidP="009E433E">
      <w:pPr>
        <w:rPr>
          <w:rFonts w:asciiTheme="minorHAnsi" w:hAnsiTheme="minorHAnsi"/>
          <w:sz w:val="22"/>
          <w:szCs w:val="22"/>
        </w:rPr>
      </w:pPr>
      <w:r w:rsidRPr="009E433E">
        <w:rPr>
          <w:rFonts w:asciiTheme="minorHAnsi" w:hAnsiTheme="minorHAnsi"/>
          <w:sz w:val="22"/>
          <w:szCs w:val="22"/>
        </w:rPr>
        <w:t>Our projections were influenced by the opening of the new facilities and an assumption of constant demand in sawtimber markets. Our baseline scenario, the No Mills scenario, projects the current rate of removals (adjusted based on TPO data) for all 4 products and holds them constant to the end of the projection (2044). Subsequent scenarios layer in the new facilities by the year they enter the market. In all there are 6 scenarios ranging from No Mills to All Mills. This differs for the Two Region with Direct Change scenario, where we use a No Mills projection and then layer the additional demand into the market via the DC file. There are then 5 DC files ranging from the 2025 facilities to All Mills (more on this below).</w:t>
      </w:r>
    </w:p>
    <w:p w14:paraId="565D3EA0" w14:textId="77777777" w:rsidR="00FE7403" w:rsidRPr="009E433E" w:rsidRDefault="00FE7403" w:rsidP="009E433E">
      <w:pPr>
        <w:rPr>
          <w:rFonts w:asciiTheme="minorHAnsi" w:hAnsiTheme="minorHAnsi"/>
          <w:sz w:val="22"/>
          <w:szCs w:val="22"/>
        </w:rPr>
      </w:pPr>
    </w:p>
    <w:p w14:paraId="2F9216FC" w14:textId="0CE6D9F6" w:rsidR="009E433E" w:rsidRPr="009E433E" w:rsidRDefault="009E433E" w:rsidP="009E433E">
      <w:pPr>
        <w:rPr>
          <w:rFonts w:asciiTheme="minorHAnsi" w:hAnsiTheme="minorHAnsi"/>
          <w:sz w:val="22"/>
          <w:szCs w:val="22"/>
        </w:rPr>
      </w:pPr>
      <w:r w:rsidRPr="009E433E">
        <w:rPr>
          <w:rFonts w:asciiTheme="minorHAnsi" w:hAnsiTheme="minorHAnsi"/>
          <w:sz w:val="22"/>
          <w:szCs w:val="22"/>
        </w:rPr>
        <w:t xml:space="preserve">We use three components of the SRTS model to make our </w:t>
      </w:r>
      <w:r w:rsidR="00FE7403" w:rsidRPr="009E433E">
        <w:rPr>
          <w:rFonts w:asciiTheme="minorHAnsi" w:hAnsiTheme="minorHAnsi"/>
          <w:sz w:val="22"/>
          <w:szCs w:val="22"/>
        </w:rPr>
        <w:t>projections:</w:t>
      </w:r>
      <w:r w:rsidRPr="009E433E">
        <w:rPr>
          <w:rFonts w:asciiTheme="minorHAnsi" w:hAnsiTheme="minorHAnsi"/>
          <w:sz w:val="22"/>
          <w:szCs w:val="22"/>
        </w:rPr>
        <w:t xml:space="preserve"> Demand mode, Harvest mode, and Demand mode with a Direct Change (DC) file. For convenience we describe them at a </w:t>
      </w:r>
      <w:r w:rsidRPr="009E433E">
        <w:rPr>
          <w:rFonts w:asciiTheme="minorHAnsi" w:hAnsiTheme="minorHAnsi"/>
          <w:sz w:val="22"/>
          <w:szCs w:val="22"/>
        </w:rPr>
        <w:lastRenderedPageBreak/>
        <w:t>high level here, more detailed discussion of these approaches can be found in the SRTS User Guide.</w:t>
      </w:r>
    </w:p>
    <w:p w14:paraId="128893E5" w14:textId="77777777" w:rsidR="009E433E" w:rsidRPr="009E433E" w:rsidRDefault="009E433E" w:rsidP="009E433E">
      <w:pPr>
        <w:numPr>
          <w:ilvl w:val="0"/>
          <w:numId w:val="14"/>
        </w:numPr>
        <w:spacing w:after="160" w:line="278" w:lineRule="auto"/>
        <w:rPr>
          <w:rFonts w:asciiTheme="minorHAnsi" w:hAnsiTheme="minorHAnsi"/>
          <w:sz w:val="22"/>
          <w:szCs w:val="22"/>
        </w:rPr>
      </w:pPr>
      <w:r w:rsidRPr="009E433E">
        <w:rPr>
          <w:rFonts w:asciiTheme="minorHAnsi" w:hAnsiTheme="minorHAnsi"/>
          <w:sz w:val="22"/>
          <w:szCs w:val="22"/>
        </w:rPr>
        <w:t>Demand mode: In Demand mode, the model uses supply and demand curves to identify the price at which removals for each in-scope region satisfy demand. Because supply and demand both react to price, one can expect the equilibrium market level removals to adjust based on the available inventory and demand shifts year to year.</w:t>
      </w:r>
    </w:p>
    <w:p w14:paraId="1C9E8392" w14:textId="77777777" w:rsidR="009E433E" w:rsidRPr="009E433E" w:rsidRDefault="009E433E" w:rsidP="009E433E">
      <w:pPr>
        <w:numPr>
          <w:ilvl w:val="0"/>
          <w:numId w:val="14"/>
        </w:numPr>
        <w:spacing w:after="160" w:line="278" w:lineRule="auto"/>
        <w:rPr>
          <w:rFonts w:asciiTheme="minorHAnsi" w:hAnsiTheme="minorHAnsi"/>
          <w:sz w:val="22"/>
          <w:szCs w:val="22"/>
        </w:rPr>
      </w:pPr>
      <w:r w:rsidRPr="009E433E">
        <w:rPr>
          <w:rFonts w:asciiTheme="minorHAnsi" w:hAnsiTheme="minorHAnsi"/>
          <w:sz w:val="22"/>
          <w:szCs w:val="22"/>
        </w:rPr>
        <w:t>Harvest mode: In Harvest mode, the model still uses supply and demand curves, but rather than finding the market clearing prices, the demand curve is shifted along the supply curve until demand is met. This price then represents what would need to be paid by mills to satisfy the demand in the PRJ file. While not strictly a market equilibrium projection, it does reflect the shape of the supply and demand curve when calculating the new price.</w:t>
      </w:r>
    </w:p>
    <w:p w14:paraId="082A478B" w14:textId="77777777" w:rsidR="009E433E" w:rsidRPr="009E433E" w:rsidRDefault="009E433E" w:rsidP="009E433E">
      <w:pPr>
        <w:numPr>
          <w:ilvl w:val="0"/>
          <w:numId w:val="14"/>
        </w:numPr>
        <w:spacing w:after="160" w:line="278" w:lineRule="auto"/>
        <w:rPr>
          <w:rFonts w:asciiTheme="minorHAnsi" w:hAnsiTheme="minorHAnsi"/>
          <w:sz w:val="22"/>
          <w:szCs w:val="22"/>
        </w:rPr>
      </w:pPr>
      <w:r w:rsidRPr="009E433E">
        <w:rPr>
          <w:rFonts w:asciiTheme="minorHAnsi" w:hAnsiTheme="minorHAnsi"/>
          <w:sz w:val="22"/>
          <w:szCs w:val="22"/>
        </w:rPr>
        <w:t>DC file: The DC file allows the user to specify where and when demand is changing. In a typical SRTS projection, demand is represented as the sum across all in-scope regions. The allocation of removals then follows the availability of supply at the region level. With the DC file, one can specify increases or reductions in demand in specific regions (and at specific times) to explore the short-run local effects of these changes.</w:t>
      </w:r>
    </w:p>
    <w:p w14:paraId="59074842" w14:textId="77777777" w:rsidR="009E433E" w:rsidRPr="009E433E" w:rsidRDefault="009E433E" w:rsidP="009E433E">
      <w:pPr>
        <w:rPr>
          <w:rFonts w:asciiTheme="minorHAnsi" w:hAnsiTheme="minorHAnsi"/>
          <w:sz w:val="22"/>
          <w:szCs w:val="22"/>
        </w:rPr>
      </w:pPr>
      <w:r w:rsidRPr="009E433E">
        <w:rPr>
          <w:rFonts w:asciiTheme="minorHAnsi" w:hAnsiTheme="minorHAnsi"/>
          <w:sz w:val="22"/>
          <w:szCs w:val="22"/>
        </w:rPr>
        <w:t>We ran five different model specifications to test alternative assumptions about market scenarios and conditions:</w:t>
      </w:r>
    </w:p>
    <w:p w14:paraId="076BDEA0" w14:textId="77777777" w:rsidR="009E433E" w:rsidRPr="009E433E" w:rsidRDefault="009E433E" w:rsidP="009E433E">
      <w:pPr>
        <w:numPr>
          <w:ilvl w:val="0"/>
          <w:numId w:val="15"/>
        </w:numPr>
        <w:spacing w:after="160" w:line="278" w:lineRule="auto"/>
        <w:rPr>
          <w:rFonts w:asciiTheme="minorHAnsi" w:hAnsiTheme="minorHAnsi"/>
          <w:sz w:val="22"/>
          <w:szCs w:val="22"/>
        </w:rPr>
      </w:pPr>
      <w:r w:rsidRPr="009E433E">
        <w:rPr>
          <w:rFonts w:asciiTheme="minorHAnsi" w:hAnsiTheme="minorHAnsi"/>
          <w:sz w:val="22"/>
          <w:szCs w:val="22"/>
        </w:rPr>
        <w:t>Core Region Demand Mode -- This model was intended to mimic local market conditions and price effects</w:t>
      </w:r>
    </w:p>
    <w:p w14:paraId="50486103" w14:textId="77777777" w:rsidR="009E433E" w:rsidRPr="009E433E" w:rsidRDefault="009E433E" w:rsidP="009E433E">
      <w:pPr>
        <w:numPr>
          <w:ilvl w:val="0"/>
          <w:numId w:val="15"/>
        </w:numPr>
        <w:spacing w:after="160" w:line="278" w:lineRule="auto"/>
        <w:rPr>
          <w:rFonts w:asciiTheme="minorHAnsi" w:hAnsiTheme="minorHAnsi"/>
          <w:sz w:val="22"/>
          <w:szCs w:val="22"/>
        </w:rPr>
      </w:pPr>
      <w:r w:rsidRPr="009E433E">
        <w:rPr>
          <w:rFonts w:asciiTheme="minorHAnsi" w:hAnsiTheme="minorHAnsi"/>
          <w:sz w:val="22"/>
          <w:szCs w:val="22"/>
        </w:rPr>
        <w:t>Core Region Demand Mode without Pine Sawtimber Residues -- This model projects local market conditions without a sawtimber residue market.</w:t>
      </w:r>
    </w:p>
    <w:p w14:paraId="03BE9579" w14:textId="77777777" w:rsidR="009E433E" w:rsidRPr="009E433E" w:rsidRDefault="009E433E" w:rsidP="009E433E">
      <w:pPr>
        <w:numPr>
          <w:ilvl w:val="0"/>
          <w:numId w:val="15"/>
        </w:numPr>
        <w:spacing w:after="160" w:line="278" w:lineRule="auto"/>
        <w:rPr>
          <w:rFonts w:asciiTheme="minorHAnsi" w:hAnsiTheme="minorHAnsi"/>
          <w:sz w:val="22"/>
          <w:szCs w:val="22"/>
        </w:rPr>
      </w:pPr>
      <w:r w:rsidRPr="009E433E">
        <w:rPr>
          <w:rFonts w:asciiTheme="minorHAnsi" w:hAnsiTheme="minorHAnsi"/>
          <w:sz w:val="22"/>
          <w:szCs w:val="22"/>
        </w:rPr>
        <w:t>Core Region Harvest Mode -- This model demonstrates what could happen if price is not relevant to market participants and instead demand is fully satisfied no matter the cost. It does not include a sawtimber residue market.</w:t>
      </w:r>
    </w:p>
    <w:p w14:paraId="4178ED38" w14:textId="77777777" w:rsidR="009E433E" w:rsidRPr="009E433E" w:rsidRDefault="009E433E" w:rsidP="009E433E">
      <w:pPr>
        <w:numPr>
          <w:ilvl w:val="0"/>
          <w:numId w:val="15"/>
        </w:numPr>
        <w:spacing w:after="160" w:line="278" w:lineRule="auto"/>
        <w:rPr>
          <w:rFonts w:asciiTheme="minorHAnsi" w:hAnsiTheme="minorHAnsi"/>
          <w:sz w:val="22"/>
          <w:szCs w:val="22"/>
        </w:rPr>
      </w:pPr>
      <w:r w:rsidRPr="009E433E">
        <w:rPr>
          <w:rFonts w:asciiTheme="minorHAnsi" w:hAnsiTheme="minorHAnsi"/>
          <w:sz w:val="22"/>
          <w:szCs w:val="22"/>
        </w:rPr>
        <w:t>Two Region Demand Mode -- This model treats the broader area as a frictionless market, where demand can freely reallocate based on inventory and price.</w:t>
      </w:r>
    </w:p>
    <w:p w14:paraId="573141E7" w14:textId="77777777" w:rsidR="009E433E" w:rsidRPr="009E433E" w:rsidRDefault="009E433E" w:rsidP="009E433E">
      <w:pPr>
        <w:numPr>
          <w:ilvl w:val="0"/>
          <w:numId w:val="15"/>
        </w:numPr>
        <w:spacing w:after="160" w:line="278" w:lineRule="auto"/>
        <w:rPr>
          <w:rFonts w:asciiTheme="minorHAnsi" w:hAnsiTheme="minorHAnsi"/>
          <w:sz w:val="22"/>
          <w:szCs w:val="22"/>
        </w:rPr>
      </w:pPr>
      <w:r w:rsidRPr="009E433E">
        <w:rPr>
          <w:rFonts w:asciiTheme="minorHAnsi" w:hAnsiTheme="minorHAnsi"/>
          <w:sz w:val="22"/>
          <w:szCs w:val="22"/>
        </w:rPr>
        <w:t>Two Region Demand Mode with Direct Change -- In this model we still allow two regions to satisfy demand, but the new facilities' demand is placed in the core region. This simulates a world in which there's a trade barrier between the core and outer region, but prices are set holistically across the entire region. </w:t>
      </w:r>
    </w:p>
    <w:p w14:paraId="17BA1C7A" w14:textId="77777777" w:rsidR="009E433E" w:rsidRDefault="009E433E" w:rsidP="009E433E">
      <w:pPr>
        <w:rPr>
          <w:rFonts w:asciiTheme="minorHAnsi" w:hAnsiTheme="minorHAnsi"/>
          <w:sz w:val="22"/>
          <w:szCs w:val="22"/>
        </w:rPr>
      </w:pPr>
      <w:r w:rsidRPr="009E433E">
        <w:rPr>
          <w:rFonts w:asciiTheme="minorHAnsi" w:hAnsiTheme="minorHAnsi"/>
          <w:sz w:val="22"/>
          <w:szCs w:val="22"/>
        </w:rPr>
        <w:t>Results are minimally post-processed to add labels and units to output.</w:t>
      </w:r>
    </w:p>
    <w:p w14:paraId="5AABBEB0" w14:textId="77777777" w:rsidR="00FE7403" w:rsidRPr="009E433E" w:rsidRDefault="00FE7403" w:rsidP="009E433E">
      <w:pPr>
        <w:rPr>
          <w:rFonts w:asciiTheme="minorHAnsi" w:hAnsiTheme="minorHAnsi"/>
          <w:sz w:val="22"/>
          <w:szCs w:val="22"/>
        </w:rPr>
      </w:pPr>
    </w:p>
    <w:p w14:paraId="59E33AD4" w14:textId="0CFEBD56" w:rsidR="009E433E" w:rsidRPr="009E433E" w:rsidRDefault="009E433E" w:rsidP="009E433E">
      <w:pPr>
        <w:rPr>
          <w:rFonts w:asciiTheme="minorHAnsi" w:hAnsiTheme="minorHAnsi"/>
          <w:sz w:val="22"/>
          <w:szCs w:val="22"/>
        </w:rPr>
      </w:pPr>
      <w:r w:rsidRPr="009E433E">
        <w:rPr>
          <w:rFonts w:asciiTheme="minorHAnsi" w:hAnsiTheme="minorHAnsi"/>
          <w:sz w:val="22"/>
          <w:szCs w:val="22"/>
        </w:rPr>
        <w:t>Landscape carbon estimates are utilizing the new NSVB</w:t>
      </w:r>
      <w:r w:rsidR="00D36F01">
        <w:rPr>
          <w:rFonts w:asciiTheme="minorHAnsi" w:hAnsiTheme="minorHAnsi"/>
          <w:sz w:val="22"/>
          <w:szCs w:val="22"/>
        </w:rPr>
        <w:fldChar w:fldCharType="begin"/>
      </w:r>
      <w:r w:rsidR="00D36F01">
        <w:rPr>
          <w:rFonts w:asciiTheme="minorHAnsi" w:hAnsiTheme="minorHAnsi"/>
          <w:sz w:val="22"/>
          <w:szCs w:val="22"/>
        </w:rPr>
        <w:instrText xml:space="preserve"> ADDIN ZOTERO_ITEM CSL_CITATION {"citationID":"lcB56a7b","properties":{"formattedCitation":"\\super 38\\nosupersub{}","plainCitation":"38","noteIndex":0},"citationItems":[{"id":5180,"uris":["http://zotero.org/groups/5665801/items/HZIXDQN6"],"itemData":{"id":5180,"type":"article-journal","container-title":"Gen. Tech. Rep. WO-104. Washington, DC: U.S. Department of Agriculture, Forest Service.","DOI":"10.2737/WO-GTR-104","language":"en","source":"research.fs.usda.gov","title":"A national-scale tree volume, biomass, and carbon modeling system for the United States","URL":"https://research.fs.usda.gov/treesearch/66998","volume":"104","author":[{"family":"Westfall","given":"James A."},{"family":"Coulston","given":"John W."},{"family":"Gray","given":"Andrew N."},{"family":"Shaw","given":"John D."},{"family":"Radtke","given":"Philip J."},{"family":"Walker","given":"David M."},{"family":"Weiskittel","given":"Aaron R."},{"family":"MacFarlane","given":"David W."},{"family":"Affleck","given":"David L. R."},{"family":"Zhao","given":"Dehai"},{"family":"Temesgen","given":"Hailemariam"},{"family":"Poudel","given":"Krishna P."},{"family":"Frank","given":"Jereme M."},{"family":"Prisley","given":"Stephen P."},{"family":"Wang","given":"Yingfang"},{"family":"Meador","given":"Andrew J. Sánchez"},{"family":"Auty","given":"David"},{"family":"Domke","given":"Grant M."}],"accessed":{"date-parts":[["2025",6,3]]},"issued":{"date-parts":[["2024"]]}}}],"schema":"https://github.com/citation-style-language/schema/raw/master/csl-citation.json"} </w:instrText>
      </w:r>
      <w:r w:rsidR="00D36F01">
        <w:rPr>
          <w:rFonts w:asciiTheme="minorHAnsi" w:hAnsiTheme="minorHAnsi"/>
          <w:sz w:val="22"/>
          <w:szCs w:val="22"/>
        </w:rPr>
        <w:fldChar w:fldCharType="separate"/>
      </w:r>
      <w:r w:rsidR="00D36F01" w:rsidRPr="00D36F01">
        <w:rPr>
          <w:rFonts w:ascii="Aptos" w:eastAsiaTheme="minorHAnsi" w:hAnsiTheme="minorHAnsi"/>
          <w:sz w:val="22"/>
          <w:vertAlign w:val="superscript"/>
          <w14:ligatures w14:val="standardContextual"/>
        </w:rPr>
        <w:t>38</w:t>
      </w:r>
      <w:r w:rsidR="00D36F01">
        <w:rPr>
          <w:rFonts w:asciiTheme="minorHAnsi" w:hAnsiTheme="minorHAnsi"/>
          <w:sz w:val="22"/>
          <w:szCs w:val="22"/>
        </w:rPr>
        <w:fldChar w:fldCharType="end"/>
      </w:r>
      <w:r w:rsidRPr="009E433E">
        <w:rPr>
          <w:rFonts w:asciiTheme="minorHAnsi" w:hAnsiTheme="minorHAnsi"/>
          <w:sz w:val="22"/>
          <w:szCs w:val="22"/>
        </w:rPr>
        <w:t xml:space="preserve"> calculations and the revised allometric relationships that were made available in SRTS version 0.2.2. These new equations use a series of cluster level conversion factors and county level weights to build more geographically tuned estimates of above ground carbon. More details on the process can be found in the ISFRE 2025 Meeting Proceedings: </w:t>
      </w:r>
      <w:bookmarkStart w:id="0" w:name="_Hlk199844655"/>
      <w:r w:rsidRPr="009E433E">
        <w:rPr>
          <w:rFonts w:asciiTheme="minorHAnsi" w:hAnsiTheme="minorHAnsi"/>
          <w:i/>
          <w:iCs/>
          <w:sz w:val="22"/>
          <w:szCs w:val="22"/>
        </w:rPr>
        <w:t xml:space="preserve">Richard H Manner, The Sub-Regional Timber Supply Model (SRTS): A New </w:t>
      </w:r>
      <w:r w:rsidRPr="009E433E">
        <w:rPr>
          <w:rFonts w:asciiTheme="minorHAnsi" w:hAnsiTheme="minorHAnsi"/>
          <w:i/>
          <w:iCs/>
          <w:sz w:val="22"/>
          <w:szCs w:val="22"/>
        </w:rPr>
        <w:lastRenderedPageBreak/>
        <w:t>Platform, New Carbon Calculations, and a Prospective on the Forest Sector in the Southeastern United States</w:t>
      </w:r>
      <w:r w:rsidRPr="009E433E">
        <w:rPr>
          <w:rFonts w:asciiTheme="minorHAnsi" w:hAnsiTheme="minorHAnsi"/>
          <w:sz w:val="22"/>
          <w:szCs w:val="22"/>
        </w:rPr>
        <w:t>.</w:t>
      </w:r>
    </w:p>
    <w:bookmarkEnd w:id="0"/>
    <w:p w14:paraId="38519707" w14:textId="6CECE65A" w:rsidR="002B1DC9" w:rsidRDefault="002B1DC9" w:rsidP="009E433E">
      <w:pPr>
        <w:rPr>
          <w:rFonts w:asciiTheme="minorHAnsi" w:hAnsiTheme="minorHAnsi"/>
          <w:sz w:val="22"/>
          <w:szCs w:val="22"/>
        </w:rPr>
      </w:pPr>
    </w:p>
    <w:p w14:paraId="666D4A43" w14:textId="3894E6EC" w:rsidR="00040DB9" w:rsidRDefault="00040DB9" w:rsidP="009E433E">
      <w:pPr>
        <w:rPr>
          <w:rFonts w:asciiTheme="minorHAnsi" w:hAnsiTheme="minorHAnsi"/>
          <w:b/>
          <w:bCs/>
          <w:sz w:val="22"/>
          <w:szCs w:val="22"/>
        </w:rPr>
      </w:pPr>
      <w:r w:rsidRPr="00040DB9">
        <w:rPr>
          <w:rFonts w:asciiTheme="minorHAnsi" w:hAnsiTheme="minorHAnsi"/>
          <w:b/>
          <w:bCs/>
          <w:sz w:val="22"/>
          <w:szCs w:val="22"/>
        </w:rPr>
        <w:t xml:space="preserve">References </w:t>
      </w:r>
    </w:p>
    <w:p w14:paraId="164883F1" w14:textId="77777777" w:rsidR="00040DB9" w:rsidRPr="00040DB9" w:rsidRDefault="00040DB9" w:rsidP="009E433E">
      <w:pPr>
        <w:rPr>
          <w:rFonts w:asciiTheme="minorHAnsi" w:hAnsiTheme="minorHAnsi"/>
          <w:b/>
          <w:bCs/>
          <w:sz w:val="22"/>
          <w:szCs w:val="22"/>
        </w:rPr>
      </w:pPr>
    </w:p>
    <w:p w14:paraId="634507DD" w14:textId="77777777" w:rsidR="00D36F01" w:rsidRPr="00D36F01" w:rsidRDefault="00040DB9" w:rsidP="00D36F01">
      <w:pPr>
        <w:pStyle w:val="Bibliography"/>
        <w:rPr>
          <w:rFonts w:ascii="Aptos" w:eastAsiaTheme="minorHAnsi" w:hAnsiTheme="minorHAnsi"/>
          <w:sz w:val="22"/>
        </w:rPr>
      </w:pPr>
      <w:r>
        <w:rPr>
          <w:rFonts w:asciiTheme="minorHAnsi" w:hAnsiTheme="minorHAnsi"/>
          <w:sz w:val="22"/>
          <w:szCs w:val="22"/>
        </w:rPr>
        <w:fldChar w:fldCharType="begin"/>
      </w:r>
      <w:r>
        <w:rPr>
          <w:rFonts w:asciiTheme="minorHAnsi" w:hAnsiTheme="minorHAnsi"/>
          <w:sz w:val="22"/>
          <w:szCs w:val="22"/>
        </w:rPr>
        <w:instrText xml:space="preserve"> ADDIN ZOTERO_BIBL {"uncited":[],"omitted":[],"custom":[]} CSL_BIBLIOGRAPHY </w:instrText>
      </w:r>
      <w:r>
        <w:rPr>
          <w:rFonts w:asciiTheme="minorHAnsi" w:hAnsiTheme="minorHAnsi"/>
          <w:sz w:val="22"/>
          <w:szCs w:val="22"/>
        </w:rPr>
        <w:fldChar w:fldCharType="separate"/>
      </w:r>
      <w:r w:rsidR="00D36F01" w:rsidRPr="00D36F01">
        <w:rPr>
          <w:rFonts w:ascii="Aptos" w:eastAsiaTheme="minorHAnsi" w:hAnsiTheme="minorHAnsi"/>
          <w:sz w:val="22"/>
        </w:rPr>
        <w:t>1.</w:t>
      </w:r>
      <w:r w:rsidR="00D36F01" w:rsidRPr="00D36F01">
        <w:rPr>
          <w:rFonts w:ascii="Aptos" w:eastAsiaTheme="minorHAnsi" w:hAnsiTheme="minorHAnsi"/>
          <w:sz w:val="22"/>
        </w:rPr>
        <w:tab/>
        <w:t xml:space="preserve">Origin Materials Announces Louisiana State Bond Commission Approval of Financing for Origin 2. </w:t>
      </w:r>
      <w:r w:rsidR="00D36F01" w:rsidRPr="00D36F01">
        <w:rPr>
          <w:rFonts w:ascii="Aptos" w:eastAsiaTheme="minorHAnsi" w:hAnsiTheme="minorHAnsi"/>
          <w:i/>
          <w:iCs/>
          <w:sz w:val="22"/>
        </w:rPr>
        <w:t>Business Wire</w:t>
      </w:r>
      <w:r w:rsidR="00D36F01" w:rsidRPr="00D36F01">
        <w:rPr>
          <w:rFonts w:ascii="Aptos" w:eastAsiaTheme="minorHAnsi" w:hAnsiTheme="minorHAnsi"/>
          <w:sz w:val="22"/>
        </w:rPr>
        <w:t xml:space="preserve"> https://www.businesswire.com/news/home/20230104005352/en/Origin-Materials-Announces-Louisiana-State-Bond-Commission-Approval-of-Financing-for-Origin-2 (2023).</w:t>
      </w:r>
    </w:p>
    <w:p w14:paraId="6A4B90FC"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2.</w:t>
      </w:r>
      <w:r w:rsidRPr="00D36F01">
        <w:rPr>
          <w:rFonts w:ascii="Aptos" w:eastAsiaTheme="minorHAnsi" w:hAnsiTheme="minorHAnsi"/>
          <w:sz w:val="22"/>
        </w:rPr>
        <w:tab/>
        <w:t xml:space="preserve">Americas, S. C. of. Strategic Biofuels and Sumitomo Corporation of Americas Announce Major Investment Commitment. </w:t>
      </w:r>
      <w:r w:rsidRPr="00D36F01">
        <w:rPr>
          <w:rFonts w:ascii="Aptos" w:eastAsiaTheme="minorHAnsi" w:hAnsiTheme="minorHAnsi"/>
          <w:i/>
          <w:iCs/>
          <w:sz w:val="22"/>
        </w:rPr>
        <w:t>PR Newswire</w:t>
      </w:r>
      <w:r w:rsidRPr="00D36F01">
        <w:rPr>
          <w:rFonts w:ascii="Aptos" w:eastAsiaTheme="minorHAnsi" w:hAnsiTheme="minorHAnsi"/>
          <w:sz w:val="22"/>
        </w:rPr>
        <w:t xml:space="preserve"> https://www.prnewswire.com/news-releases/strategic-biofuels-and-sumitomo-corporation-of-americas-announce-major-investment-commitment-302056103.html (2024).</w:t>
      </w:r>
    </w:p>
    <w:p w14:paraId="7005FC5E"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3.</w:t>
      </w:r>
      <w:r w:rsidRPr="00D36F01">
        <w:rPr>
          <w:rFonts w:ascii="Aptos" w:eastAsiaTheme="minorHAnsi" w:hAnsiTheme="minorHAnsi"/>
          <w:sz w:val="22"/>
        </w:rPr>
        <w:tab/>
        <w:t xml:space="preserve">Louisiana Economic Development. Proposed $1.35 Billion Investment in Southeast Louisiana Would Establish Large-Scale Renewable Natural Gas Plant and Green Hydrogen Facility. </w:t>
      </w:r>
      <w:r w:rsidRPr="00D36F01">
        <w:rPr>
          <w:rFonts w:ascii="Aptos" w:eastAsiaTheme="minorHAnsi" w:hAnsiTheme="minorHAnsi"/>
          <w:i/>
          <w:iCs/>
          <w:sz w:val="22"/>
        </w:rPr>
        <w:t>Louisiana Economic Development</w:t>
      </w:r>
      <w:r w:rsidRPr="00D36F01">
        <w:rPr>
          <w:rFonts w:ascii="Aptos" w:eastAsiaTheme="minorHAnsi" w:hAnsiTheme="minorHAnsi"/>
          <w:sz w:val="22"/>
        </w:rPr>
        <w:t xml:space="preserve"> https://www.opportunitylouisiana.gov/news/proposed-1-35-billion-investment-in-southeast-louisiana-would-establish-large-scale-renewable-natural-gas-plant-and-green-hydrogen-facility (2024).</w:t>
      </w:r>
    </w:p>
    <w:p w14:paraId="30AFA6C6"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4.</w:t>
      </w:r>
      <w:r w:rsidRPr="00D36F01">
        <w:rPr>
          <w:rFonts w:ascii="Aptos" w:eastAsiaTheme="minorHAnsi" w:hAnsiTheme="minorHAnsi"/>
          <w:sz w:val="22"/>
        </w:rPr>
        <w:tab/>
        <w:t xml:space="preserve">BioEnergy, U. S. A. USA BioEnergy Announces First Advanced Biorefinery in Bon Wier, Texas After Receiving $150M in State and Local Incentives - USA BioEnergy. </w:t>
      </w:r>
      <w:r w:rsidRPr="00D36F01">
        <w:rPr>
          <w:rFonts w:ascii="Aptos" w:eastAsiaTheme="minorHAnsi" w:hAnsiTheme="minorHAnsi"/>
          <w:i/>
          <w:iCs/>
          <w:sz w:val="22"/>
        </w:rPr>
        <w:t>USA BioEnergy</w:t>
      </w:r>
      <w:r w:rsidRPr="00D36F01">
        <w:rPr>
          <w:rFonts w:ascii="Aptos" w:eastAsiaTheme="minorHAnsi" w:hAnsiTheme="minorHAnsi"/>
          <w:sz w:val="22"/>
        </w:rPr>
        <w:t xml:space="preserve"> https://usabioenergy.com/usa-bioenergy-announces-first-advanced-biorefinery-in-bon-wier-texas-after-receiving-150m-in-state-and-local-incentives/ (2022).</w:t>
      </w:r>
    </w:p>
    <w:p w14:paraId="5D9DC0BC"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5.</w:t>
      </w:r>
      <w:r w:rsidRPr="00D36F01">
        <w:rPr>
          <w:rFonts w:ascii="Aptos" w:eastAsiaTheme="minorHAnsi" w:hAnsiTheme="minorHAnsi"/>
          <w:sz w:val="22"/>
        </w:rPr>
        <w:tab/>
        <w:t xml:space="preserve">SLB and Aker Carbon Capture joint venture awarded FEED contract by CO280 for large-scale carbon removal project. </w:t>
      </w:r>
      <w:r w:rsidRPr="00D36F01">
        <w:rPr>
          <w:rFonts w:ascii="Aptos" w:eastAsiaTheme="minorHAnsi" w:hAnsiTheme="minorHAnsi"/>
          <w:i/>
          <w:iCs/>
          <w:sz w:val="22"/>
        </w:rPr>
        <w:t>SLB</w:t>
      </w:r>
      <w:r w:rsidRPr="00D36F01">
        <w:rPr>
          <w:rFonts w:ascii="Aptos" w:eastAsiaTheme="minorHAnsi" w:hAnsiTheme="minorHAnsi"/>
          <w:sz w:val="22"/>
        </w:rPr>
        <w:t xml:space="preserve"> https://www.slb.com/news-and-insights/newsroom/press-release/2024/slb-and-aker-joint-venture-awarded-feed-contract-by-co280-for-large-scale-carbon-removal-project (2024).</w:t>
      </w:r>
    </w:p>
    <w:p w14:paraId="07F7DF17"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lastRenderedPageBreak/>
        <w:t>6.</w:t>
      </w:r>
      <w:r w:rsidRPr="00D36F01">
        <w:rPr>
          <w:rFonts w:ascii="Aptos" w:eastAsiaTheme="minorHAnsi" w:hAnsiTheme="minorHAnsi"/>
          <w:sz w:val="22"/>
        </w:rPr>
        <w:tab/>
        <w:t xml:space="preserve">SunGas Renewables. SunGas Renewables Announces Beaver Lake Renewable Energy, a Green Methanol Facility in Central Louisiana. </w:t>
      </w:r>
      <w:r w:rsidRPr="00D36F01">
        <w:rPr>
          <w:rFonts w:ascii="Aptos" w:eastAsiaTheme="minorHAnsi" w:hAnsiTheme="minorHAnsi"/>
          <w:i/>
          <w:iCs/>
          <w:sz w:val="22"/>
        </w:rPr>
        <w:t>PR Newswire</w:t>
      </w:r>
      <w:r w:rsidRPr="00D36F01">
        <w:rPr>
          <w:rFonts w:ascii="Aptos" w:eastAsiaTheme="minorHAnsi" w:hAnsiTheme="minorHAnsi"/>
          <w:sz w:val="22"/>
        </w:rPr>
        <w:t xml:space="preserve"> https://www.prnewswire.com/news-releases/sungas-renewables-announces-beaver-lake-renewable-energy-a-green-methanol-facility-in-central-louisiana-301886566.html (2023).</w:t>
      </w:r>
    </w:p>
    <w:p w14:paraId="4B363352"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7.</w:t>
      </w:r>
      <w:r w:rsidRPr="00D36F01">
        <w:rPr>
          <w:rFonts w:ascii="Aptos" w:eastAsiaTheme="minorHAnsi" w:hAnsiTheme="minorHAnsi"/>
          <w:sz w:val="22"/>
        </w:rPr>
        <w:tab/>
        <w:t xml:space="preserve">Bellotte, C. Ørsted Selected by U.S. Department of Energy to Receive Industrial Decarbonization Funding. </w:t>
      </w:r>
      <w:r w:rsidRPr="00D36F01">
        <w:rPr>
          <w:rFonts w:ascii="Aptos" w:eastAsiaTheme="minorHAnsi" w:hAnsiTheme="minorHAnsi"/>
          <w:i/>
          <w:iCs/>
          <w:sz w:val="22"/>
        </w:rPr>
        <w:t>Orsted</w:t>
      </w:r>
      <w:r w:rsidRPr="00D36F01">
        <w:rPr>
          <w:rFonts w:ascii="Aptos" w:eastAsiaTheme="minorHAnsi" w:hAnsiTheme="minorHAnsi"/>
          <w:sz w:val="22"/>
        </w:rPr>
        <w:t xml:space="preserve"> https://us.orsted.com/news-archive/2024/03/orsted-selected-by-us-department-of-energy-to-receive-industrial-decarbonization-funding (2024).</w:t>
      </w:r>
    </w:p>
    <w:p w14:paraId="795BB2F1"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8.</w:t>
      </w:r>
      <w:r w:rsidRPr="00D36F01">
        <w:rPr>
          <w:rFonts w:ascii="Aptos" w:eastAsiaTheme="minorHAnsi" w:hAnsiTheme="minorHAnsi"/>
          <w:sz w:val="22"/>
        </w:rPr>
        <w:tab/>
        <w:t xml:space="preserve">Drax and Pathway Energy agree heads of terms on sustainable biomass deal to supply new US SAF plant. </w:t>
      </w:r>
      <w:r w:rsidRPr="00D36F01">
        <w:rPr>
          <w:rFonts w:ascii="Aptos" w:eastAsiaTheme="minorHAnsi" w:hAnsiTheme="minorHAnsi"/>
          <w:i/>
          <w:iCs/>
          <w:sz w:val="22"/>
        </w:rPr>
        <w:t>Drax Global</w:t>
      </w:r>
      <w:r w:rsidRPr="00D36F01">
        <w:rPr>
          <w:rFonts w:ascii="Aptos" w:eastAsiaTheme="minorHAnsi" w:hAnsiTheme="minorHAnsi"/>
          <w:sz w:val="22"/>
        </w:rPr>
        <w:t xml:space="preserve"> https://www.drax.com/press_release/drax-and-pathway-energy-agree-heads-of-terms-on-sustainable-biomass-deal-to-supply-new-us-saf-plant/ (2024).</w:t>
      </w:r>
    </w:p>
    <w:p w14:paraId="4DECC5CE"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9.</w:t>
      </w:r>
      <w:r w:rsidRPr="00D36F01">
        <w:rPr>
          <w:rFonts w:ascii="Aptos" w:eastAsiaTheme="minorHAnsi" w:hAnsiTheme="minorHAnsi"/>
          <w:sz w:val="22"/>
        </w:rPr>
        <w:tab/>
        <w:t xml:space="preserve">GREET model. </w:t>
      </w:r>
      <w:r w:rsidRPr="00D36F01">
        <w:rPr>
          <w:rFonts w:ascii="Aptos" w:eastAsiaTheme="minorHAnsi" w:hAnsiTheme="minorHAnsi"/>
          <w:i/>
          <w:iCs/>
          <w:sz w:val="22"/>
        </w:rPr>
        <w:t>Argonne National Laboratoory</w:t>
      </w:r>
      <w:r w:rsidRPr="00D36F01">
        <w:rPr>
          <w:rFonts w:ascii="Aptos" w:eastAsiaTheme="minorHAnsi" w:hAnsiTheme="minorHAnsi"/>
          <w:sz w:val="22"/>
        </w:rPr>
        <w:t xml:space="preserve"> https://greet.es.anl.gov (2023).</w:t>
      </w:r>
    </w:p>
    <w:p w14:paraId="0F6D4C3A"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10.</w:t>
      </w:r>
      <w:r w:rsidRPr="00D36F01">
        <w:rPr>
          <w:rFonts w:ascii="Aptos" w:eastAsiaTheme="minorHAnsi" w:hAnsiTheme="minorHAnsi"/>
          <w:sz w:val="22"/>
        </w:rPr>
        <w:tab/>
        <w:t>U.S. EPA &amp; NHTSA. Greenhouse Gas Emissions and Fuel Efficiency Standards for Medium- and Heavy-Duty Engines and Vehicles. (2016).</w:t>
      </w:r>
    </w:p>
    <w:p w14:paraId="6F11FF1F"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11.</w:t>
      </w:r>
      <w:r w:rsidRPr="00D36F01">
        <w:rPr>
          <w:rFonts w:ascii="Aptos" w:eastAsiaTheme="minorHAnsi" w:hAnsiTheme="minorHAnsi"/>
          <w:sz w:val="22"/>
        </w:rPr>
        <w:tab/>
        <w:t xml:space="preserve">Briones-Hidrovo, A., Copa Rey, J. R., Cláudia Dias, A., Tarelho, L. A. C. &amp; Beauchet, S. Assessing a bio-energy system with carbon capture and storage (BECCS) through dynamic life cycle assessment and land-water-energy nexus. </w:t>
      </w:r>
      <w:r w:rsidRPr="00D36F01">
        <w:rPr>
          <w:rFonts w:ascii="Aptos" w:eastAsiaTheme="minorHAnsi" w:hAnsiTheme="minorHAnsi"/>
          <w:i/>
          <w:iCs/>
          <w:sz w:val="22"/>
        </w:rPr>
        <w:t>Energy Convers. Manag.</w:t>
      </w:r>
      <w:r w:rsidRPr="00D36F01">
        <w:rPr>
          <w:rFonts w:ascii="Aptos" w:eastAsiaTheme="minorHAnsi" w:hAnsiTheme="minorHAnsi"/>
          <w:sz w:val="22"/>
        </w:rPr>
        <w:t xml:space="preserve"> </w:t>
      </w:r>
      <w:r w:rsidRPr="00D36F01">
        <w:rPr>
          <w:rFonts w:ascii="Aptos" w:eastAsiaTheme="minorHAnsi" w:hAnsiTheme="minorHAnsi"/>
          <w:b/>
          <w:bCs/>
          <w:sz w:val="22"/>
        </w:rPr>
        <w:t>268</w:t>
      </w:r>
      <w:r w:rsidRPr="00D36F01">
        <w:rPr>
          <w:rFonts w:ascii="Aptos" w:eastAsiaTheme="minorHAnsi" w:hAnsiTheme="minorHAnsi"/>
          <w:sz w:val="22"/>
        </w:rPr>
        <w:t>, 116014 (2022).</w:t>
      </w:r>
    </w:p>
    <w:p w14:paraId="20752EFE"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12.</w:t>
      </w:r>
      <w:r w:rsidRPr="00D36F01">
        <w:rPr>
          <w:rFonts w:ascii="Aptos" w:eastAsiaTheme="minorHAnsi" w:hAnsiTheme="minorHAnsi"/>
          <w:sz w:val="22"/>
        </w:rPr>
        <w:tab/>
        <w:t xml:space="preserve">Galusnyak Stefan C., Petrescu Letitia, Chisalita Dora A., &amp; Cormos Calin-Cristian. Life Cycle Assessment of Bio-methanol Derived from Various Raw-materials. </w:t>
      </w:r>
      <w:r w:rsidRPr="00D36F01">
        <w:rPr>
          <w:rFonts w:ascii="Aptos" w:eastAsiaTheme="minorHAnsi" w:hAnsiTheme="minorHAnsi"/>
          <w:i/>
          <w:iCs/>
          <w:sz w:val="22"/>
        </w:rPr>
        <w:t>Chem. Eng. Trans.</w:t>
      </w:r>
      <w:r w:rsidRPr="00D36F01">
        <w:rPr>
          <w:rFonts w:ascii="Aptos" w:eastAsiaTheme="minorHAnsi" w:hAnsiTheme="minorHAnsi"/>
          <w:sz w:val="22"/>
        </w:rPr>
        <w:t xml:space="preserve"> </w:t>
      </w:r>
      <w:r w:rsidRPr="00D36F01">
        <w:rPr>
          <w:rFonts w:ascii="Aptos" w:eastAsiaTheme="minorHAnsi" w:hAnsiTheme="minorHAnsi"/>
          <w:b/>
          <w:bCs/>
          <w:sz w:val="22"/>
        </w:rPr>
        <w:t>86</w:t>
      </w:r>
      <w:r w:rsidRPr="00D36F01">
        <w:rPr>
          <w:rFonts w:ascii="Aptos" w:eastAsiaTheme="minorHAnsi" w:hAnsiTheme="minorHAnsi"/>
          <w:sz w:val="22"/>
        </w:rPr>
        <w:t>, 667–672 (2021).</w:t>
      </w:r>
    </w:p>
    <w:p w14:paraId="4A987AF3"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13.</w:t>
      </w:r>
      <w:r w:rsidRPr="00D36F01">
        <w:rPr>
          <w:rFonts w:ascii="Aptos" w:eastAsiaTheme="minorHAnsi" w:hAnsiTheme="minorHAnsi"/>
          <w:sz w:val="22"/>
        </w:rPr>
        <w:tab/>
        <w:t xml:space="preserve">te Molder, T. D. J., Kersten, S. R. A., Lange, J. P. &amp; Ruiz, M. P. Ethylene Glycol from Lignocellulosic Biomass: Impact of Lignin on Catalytic Hydrogenolysis. </w:t>
      </w:r>
      <w:r w:rsidRPr="00D36F01">
        <w:rPr>
          <w:rFonts w:ascii="Aptos" w:eastAsiaTheme="minorHAnsi" w:hAnsiTheme="minorHAnsi"/>
          <w:i/>
          <w:iCs/>
          <w:sz w:val="22"/>
        </w:rPr>
        <w:t>Ind. Eng. Chem. Res.</w:t>
      </w:r>
      <w:r w:rsidRPr="00D36F01">
        <w:rPr>
          <w:rFonts w:ascii="Aptos" w:eastAsiaTheme="minorHAnsi" w:hAnsiTheme="minorHAnsi"/>
          <w:sz w:val="22"/>
        </w:rPr>
        <w:t xml:space="preserve"> </w:t>
      </w:r>
      <w:r w:rsidRPr="00D36F01">
        <w:rPr>
          <w:rFonts w:ascii="Aptos" w:eastAsiaTheme="minorHAnsi" w:hAnsiTheme="minorHAnsi"/>
          <w:b/>
          <w:bCs/>
          <w:sz w:val="22"/>
        </w:rPr>
        <w:t>60</w:t>
      </w:r>
      <w:r w:rsidRPr="00D36F01">
        <w:rPr>
          <w:rFonts w:ascii="Aptos" w:eastAsiaTheme="minorHAnsi" w:hAnsiTheme="minorHAnsi"/>
          <w:sz w:val="22"/>
        </w:rPr>
        <w:t>, 7043–7049 (2021).</w:t>
      </w:r>
    </w:p>
    <w:p w14:paraId="56B18A5A"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14.</w:t>
      </w:r>
      <w:r w:rsidRPr="00D36F01">
        <w:rPr>
          <w:rFonts w:ascii="Aptos" w:eastAsiaTheme="minorHAnsi" w:hAnsiTheme="minorHAnsi"/>
          <w:sz w:val="22"/>
        </w:rPr>
        <w:tab/>
        <w:t xml:space="preserve">Chen, L., Pelton, R. E. O. &amp; Smith, T. M. Comparative life cycle assessment of fossil and bio-based polyethylene terephthalate (PET) bottles. </w:t>
      </w:r>
      <w:r w:rsidRPr="00D36F01">
        <w:rPr>
          <w:rFonts w:ascii="Aptos" w:eastAsiaTheme="minorHAnsi" w:hAnsiTheme="minorHAnsi"/>
          <w:i/>
          <w:iCs/>
          <w:sz w:val="22"/>
        </w:rPr>
        <w:t>J. Clean. Prod.</w:t>
      </w:r>
      <w:r w:rsidRPr="00D36F01">
        <w:rPr>
          <w:rFonts w:ascii="Aptos" w:eastAsiaTheme="minorHAnsi" w:hAnsiTheme="minorHAnsi"/>
          <w:sz w:val="22"/>
        </w:rPr>
        <w:t xml:space="preserve"> </w:t>
      </w:r>
      <w:r w:rsidRPr="00D36F01">
        <w:rPr>
          <w:rFonts w:ascii="Aptos" w:eastAsiaTheme="minorHAnsi" w:hAnsiTheme="minorHAnsi"/>
          <w:b/>
          <w:bCs/>
          <w:sz w:val="22"/>
        </w:rPr>
        <w:t>137</w:t>
      </w:r>
      <w:r w:rsidRPr="00D36F01">
        <w:rPr>
          <w:rFonts w:ascii="Aptos" w:eastAsiaTheme="minorHAnsi" w:hAnsiTheme="minorHAnsi"/>
          <w:sz w:val="22"/>
        </w:rPr>
        <w:t>, 667–676 (2016).</w:t>
      </w:r>
    </w:p>
    <w:p w14:paraId="741582DF"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lastRenderedPageBreak/>
        <w:t>15.</w:t>
      </w:r>
      <w:r w:rsidRPr="00D36F01">
        <w:rPr>
          <w:rFonts w:ascii="Aptos" w:eastAsiaTheme="minorHAnsi" w:hAnsiTheme="minorHAnsi"/>
          <w:sz w:val="22"/>
        </w:rPr>
        <w:tab/>
        <w:t xml:space="preserve">Bergman, R. D., Reed, D. L., Taylor, A. M., Harper, D. P. &amp; Hodges, D. G. Cradle-To-Gate Life Cycle Assessment of Switchgrass Fuel Pellets Manufactured in the Southeastern United States. </w:t>
      </w:r>
      <w:r w:rsidRPr="00D36F01">
        <w:rPr>
          <w:rFonts w:ascii="Aptos" w:eastAsiaTheme="minorHAnsi" w:hAnsiTheme="minorHAnsi"/>
          <w:i/>
          <w:iCs/>
          <w:sz w:val="22"/>
        </w:rPr>
        <w:t>Wood Fiber Sci.</w:t>
      </w:r>
      <w:r w:rsidRPr="00D36F01">
        <w:rPr>
          <w:rFonts w:ascii="Aptos" w:eastAsiaTheme="minorHAnsi" w:hAnsiTheme="minorHAnsi"/>
          <w:sz w:val="22"/>
        </w:rPr>
        <w:t xml:space="preserve"> </w:t>
      </w:r>
      <w:r w:rsidRPr="00D36F01">
        <w:rPr>
          <w:rFonts w:ascii="Aptos" w:eastAsiaTheme="minorHAnsi" w:hAnsiTheme="minorHAnsi"/>
          <w:b/>
          <w:bCs/>
          <w:sz w:val="22"/>
        </w:rPr>
        <w:t>47</w:t>
      </w:r>
      <w:r w:rsidRPr="00D36F01">
        <w:rPr>
          <w:rFonts w:ascii="Aptos" w:eastAsiaTheme="minorHAnsi" w:hAnsiTheme="minorHAnsi"/>
          <w:sz w:val="22"/>
        </w:rPr>
        <w:t>, 147–159 (2015).</w:t>
      </w:r>
    </w:p>
    <w:p w14:paraId="784A9F97"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16.</w:t>
      </w:r>
      <w:r w:rsidRPr="00D36F01">
        <w:rPr>
          <w:rFonts w:ascii="Aptos" w:eastAsiaTheme="minorHAnsi" w:hAnsiTheme="minorHAnsi"/>
          <w:sz w:val="22"/>
        </w:rPr>
        <w:tab/>
        <w:t xml:space="preserve">Tibbetts, J. D., Russo, D., Lapkin, A. A. &amp; Bull, S. D. Efficient Syntheses of Biobased Terephthalic Acid, p-Toluic Acid, and p-Methylacetophenone via One-Pot Catalytic Aerobic Oxidation of Monoterpene Derived Bio-p-cymene. </w:t>
      </w:r>
      <w:r w:rsidRPr="00D36F01">
        <w:rPr>
          <w:rFonts w:ascii="Aptos" w:eastAsiaTheme="minorHAnsi" w:hAnsiTheme="minorHAnsi"/>
          <w:i/>
          <w:iCs/>
          <w:sz w:val="22"/>
        </w:rPr>
        <w:t>ACS Sustain. Chem. Eng.</w:t>
      </w:r>
      <w:r w:rsidRPr="00D36F01">
        <w:rPr>
          <w:rFonts w:ascii="Aptos" w:eastAsiaTheme="minorHAnsi" w:hAnsiTheme="minorHAnsi"/>
          <w:sz w:val="22"/>
        </w:rPr>
        <w:t xml:space="preserve"> </w:t>
      </w:r>
      <w:r w:rsidRPr="00D36F01">
        <w:rPr>
          <w:rFonts w:ascii="Aptos" w:eastAsiaTheme="minorHAnsi" w:hAnsiTheme="minorHAnsi"/>
          <w:b/>
          <w:bCs/>
          <w:sz w:val="22"/>
        </w:rPr>
        <w:t>9</w:t>
      </w:r>
      <w:r w:rsidRPr="00D36F01">
        <w:rPr>
          <w:rFonts w:ascii="Aptos" w:eastAsiaTheme="minorHAnsi" w:hAnsiTheme="minorHAnsi"/>
          <w:sz w:val="22"/>
        </w:rPr>
        <w:t>, 8642–8652 (2021).</w:t>
      </w:r>
    </w:p>
    <w:p w14:paraId="61D96A5A"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17.</w:t>
      </w:r>
      <w:r w:rsidRPr="00D36F01">
        <w:rPr>
          <w:rFonts w:ascii="Aptos" w:eastAsiaTheme="minorHAnsi" w:hAnsiTheme="minorHAnsi"/>
          <w:sz w:val="22"/>
        </w:rPr>
        <w:tab/>
        <w:t>Bioethanol – European Biomass Industry Association. https://www.eubia.org/cms/wiki-biomass/biofuels/bioethanol/.</w:t>
      </w:r>
    </w:p>
    <w:p w14:paraId="6CD1DA55"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18.</w:t>
      </w:r>
      <w:r w:rsidRPr="00D36F01">
        <w:rPr>
          <w:rFonts w:ascii="Aptos" w:eastAsiaTheme="minorHAnsi" w:hAnsiTheme="minorHAnsi"/>
          <w:sz w:val="22"/>
        </w:rPr>
        <w:tab/>
        <w:t>Solventis. Monoethylene glycol (MEG) from ethylene – production pathway and emissions. https://solventis.net/products/glycols/mono-ethylene-glycol/.</w:t>
      </w:r>
    </w:p>
    <w:p w14:paraId="49B1CE56"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19.</w:t>
      </w:r>
      <w:r w:rsidRPr="00D36F01">
        <w:rPr>
          <w:rFonts w:ascii="Aptos" w:eastAsiaTheme="minorHAnsi" w:hAnsiTheme="minorHAnsi"/>
          <w:sz w:val="22"/>
        </w:rPr>
        <w:tab/>
        <w:t>Janlamool, J. &amp; Jongsomjit, B. Catalytic Ethanol Dehydration to Ethylene over Nanocrystalline χ- and γ-Al</w:t>
      </w:r>
      <w:r w:rsidRPr="00D36F01">
        <w:rPr>
          <w:rFonts w:ascii="Aptos" w:eastAsiaTheme="minorHAnsi" w:hAnsiTheme="minorHAnsi"/>
          <w:sz w:val="22"/>
          <w:vertAlign w:val="subscript"/>
        </w:rPr>
        <w:t>2</w:t>
      </w:r>
      <w:r w:rsidRPr="00D36F01">
        <w:rPr>
          <w:rFonts w:ascii="Aptos" w:eastAsiaTheme="minorHAnsi" w:hAnsiTheme="minorHAnsi"/>
          <w:sz w:val="22"/>
        </w:rPr>
        <w:t>O</w:t>
      </w:r>
      <w:r w:rsidRPr="00D36F01">
        <w:rPr>
          <w:rFonts w:ascii="Aptos" w:eastAsiaTheme="minorHAnsi" w:hAnsiTheme="minorHAnsi"/>
          <w:sz w:val="22"/>
          <w:vertAlign w:val="subscript"/>
        </w:rPr>
        <w:t>3</w:t>
      </w:r>
      <w:r w:rsidRPr="00D36F01">
        <w:rPr>
          <w:rFonts w:ascii="Aptos" w:eastAsiaTheme="minorHAnsi" w:hAnsiTheme="minorHAnsi"/>
          <w:sz w:val="22"/>
        </w:rPr>
        <w:t xml:space="preserve"> Catalysts. </w:t>
      </w:r>
      <w:r w:rsidRPr="00D36F01">
        <w:rPr>
          <w:rFonts w:ascii="Aptos" w:eastAsiaTheme="minorHAnsi" w:hAnsiTheme="minorHAnsi"/>
          <w:i/>
          <w:iCs/>
          <w:sz w:val="22"/>
        </w:rPr>
        <w:t>J. Oleo Sci.</w:t>
      </w:r>
      <w:r w:rsidRPr="00D36F01">
        <w:rPr>
          <w:rFonts w:ascii="Aptos" w:eastAsiaTheme="minorHAnsi" w:hAnsiTheme="minorHAnsi"/>
          <w:sz w:val="22"/>
        </w:rPr>
        <w:t xml:space="preserve"> </w:t>
      </w:r>
      <w:r w:rsidRPr="00D36F01">
        <w:rPr>
          <w:rFonts w:ascii="Aptos" w:eastAsiaTheme="minorHAnsi" w:hAnsiTheme="minorHAnsi"/>
          <w:b/>
          <w:bCs/>
          <w:sz w:val="22"/>
        </w:rPr>
        <w:t>66</w:t>
      </w:r>
      <w:r w:rsidRPr="00D36F01">
        <w:rPr>
          <w:rFonts w:ascii="Aptos" w:eastAsiaTheme="minorHAnsi" w:hAnsiTheme="minorHAnsi"/>
          <w:sz w:val="22"/>
        </w:rPr>
        <w:t>, 1029–1039 (2017).</w:t>
      </w:r>
    </w:p>
    <w:p w14:paraId="4545A2D1"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20.</w:t>
      </w:r>
      <w:r w:rsidRPr="00D36F01">
        <w:rPr>
          <w:rFonts w:ascii="Aptos" w:eastAsiaTheme="minorHAnsi" w:hAnsiTheme="minorHAnsi"/>
          <w:sz w:val="22"/>
        </w:rPr>
        <w:tab/>
        <w:t xml:space="preserve">Wang, N., Wang, D., Krook-Riekkola, A. &amp; Ji, X. MEA-based CO2 capture: a study focuses on MEA concentrations and process parameters. </w:t>
      </w:r>
      <w:r w:rsidRPr="00D36F01">
        <w:rPr>
          <w:rFonts w:ascii="Aptos" w:eastAsiaTheme="minorHAnsi" w:hAnsiTheme="minorHAnsi"/>
          <w:i/>
          <w:iCs/>
          <w:sz w:val="22"/>
        </w:rPr>
        <w:t>Front. Energy Res.</w:t>
      </w:r>
      <w:r w:rsidRPr="00D36F01">
        <w:rPr>
          <w:rFonts w:ascii="Aptos" w:eastAsiaTheme="minorHAnsi" w:hAnsiTheme="minorHAnsi"/>
          <w:sz w:val="22"/>
        </w:rPr>
        <w:t xml:space="preserve"> </w:t>
      </w:r>
      <w:r w:rsidRPr="00D36F01">
        <w:rPr>
          <w:rFonts w:ascii="Aptos" w:eastAsiaTheme="minorHAnsi" w:hAnsiTheme="minorHAnsi"/>
          <w:b/>
          <w:bCs/>
          <w:sz w:val="22"/>
        </w:rPr>
        <w:t>11</w:t>
      </w:r>
      <w:r w:rsidRPr="00D36F01">
        <w:rPr>
          <w:rFonts w:ascii="Aptos" w:eastAsiaTheme="minorHAnsi" w:hAnsiTheme="minorHAnsi"/>
          <w:sz w:val="22"/>
        </w:rPr>
        <w:t>, (2023).</w:t>
      </w:r>
    </w:p>
    <w:p w14:paraId="1B840325"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21.</w:t>
      </w:r>
      <w:r w:rsidRPr="00D36F01">
        <w:rPr>
          <w:rFonts w:ascii="Aptos" w:eastAsiaTheme="minorHAnsi" w:hAnsiTheme="minorHAnsi"/>
          <w:sz w:val="22"/>
        </w:rPr>
        <w:tab/>
        <w:t>ICAO. CORSIA Eligible Fuels – Life Cycle Assessment Methodology. (2024).</w:t>
      </w:r>
    </w:p>
    <w:p w14:paraId="32796667"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22.</w:t>
      </w:r>
      <w:r w:rsidRPr="00D36F01">
        <w:rPr>
          <w:rFonts w:ascii="Aptos" w:eastAsiaTheme="minorHAnsi" w:hAnsiTheme="minorHAnsi"/>
          <w:sz w:val="22"/>
        </w:rPr>
        <w:tab/>
        <w:t>U.S. EPA. eGRID2023 GHG emission factors. https://www.epa.gov/egrid/detailed-data (2022).</w:t>
      </w:r>
    </w:p>
    <w:p w14:paraId="765A4D97"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23.</w:t>
      </w:r>
      <w:r w:rsidRPr="00D36F01">
        <w:rPr>
          <w:rFonts w:ascii="Aptos" w:eastAsiaTheme="minorHAnsi" w:hAnsiTheme="minorHAnsi"/>
          <w:sz w:val="22"/>
        </w:rPr>
        <w:tab/>
        <w:t>Methanol Institute. Life-cycle emissions of conventional methanol. (2022).</w:t>
      </w:r>
    </w:p>
    <w:p w14:paraId="015F8156"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24.</w:t>
      </w:r>
      <w:r w:rsidRPr="00D36F01">
        <w:rPr>
          <w:rFonts w:ascii="Aptos" w:eastAsiaTheme="minorHAnsi" w:hAnsiTheme="minorHAnsi"/>
          <w:sz w:val="22"/>
        </w:rPr>
        <w:tab/>
        <w:t xml:space="preserve">NIH. Life Cycle Environmental Impact of PET Water Bottles. </w:t>
      </w:r>
      <w:r w:rsidRPr="00D36F01">
        <w:rPr>
          <w:rFonts w:ascii="Aptos" w:eastAsiaTheme="minorHAnsi" w:hAnsiTheme="minorHAnsi"/>
          <w:i/>
          <w:iCs/>
          <w:sz w:val="22"/>
        </w:rPr>
        <w:t>Natl. Inst. Health</w:t>
      </w:r>
      <w:r w:rsidRPr="00D36F01">
        <w:rPr>
          <w:rFonts w:ascii="Aptos" w:eastAsiaTheme="minorHAnsi" w:hAnsiTheme="minorHAnsi"/>
          <w:sz w:val="22"/>
        </w:rPr>
        <w:t xml:space="preserve"> (2022).</w:t>
      </w:r>
    </w:p>
    <w:p w14:paraId="47F16DE0"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25.</w:t>
      </w:r>
      <w:r w:rsidRPr="00D36F01">
        <w:rPr>
          <w:rFonts w:ascii="Aptos" w:eastAsiaTheme="minorHAnsi" w:hAnsiTheme="minorHAnsi"/>
          <w:sz w:val="22"/>
        </w:rPr>
        <w:tab/>
        <w:t xml:space="preserve">Bauen, A., Berndes, G., Junginger, M., Londo, M. &amp; Vuille, F. Bioenergy – a sustainable and reliable energy source: A review of status and prospects. </w:t>
      </w:r>
      <w:r w:rsidRPr="00D36F01">
        <w:rPr>
          <w:rFonts w:ascii="Aptos" w:eastAsiaTheme="minorHAnsi" w:hAnsiTheme="minorHAnsi"/>
          <w:i/>
          <w:iCs/>
          <w:sz w:val="22"/>
        </w:rPr>
        <w:t>Int. Energy Agency</w:t>
      </w:r>
      <w:r w:rsidRPr="00D36F01">
        <w:rPr>
          <w:rFonts w:ascii="Aptos" w:eastAsiaTheme="minorHAnsi" w:hAnsiTheme="minorHAnsi"/>
          <w:sz w:val="22"/>
        </w:rPr>
        <w:t xml:space="preserve"> (2009).</w:t>
      </w:r>
    </w:p>
    <w:p w14:paraId="1410F59B"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26.</w:t>
      </w:r>
      <w:r w:rsidRPr="00D36F01">
        <w:rPr>
          <w:rFonts w:ascii="Aptos" w:eastAsiaTheme="minorHAnsi" w:hAnsiTheme="minorHAnsi"/>
          <w:sz w:val="22"/>
        </w:rPr>
        <w:tab/>
        <w:t xml:space="preserve">IRENA. Biomass for Heat and Power Technology Brief. </w:t>
      </w:r>
      <w:r w:rsidRPr="00D36F01">
        <w:rPr>
          <w:rFonts w:ascii="Aptos" w:eastAsiaTheme="minorHAnsi" w:hAnsiTheme="minorHAnsi"/>
          <w:i/>
          <w:iCs/>
          <w:sz w:val="22"/>
        </w:rPr>
        <w:t>Int. Renew. Energy Agency</w:t>
      </w:r>
      <w:r w:rsidRPr="00D36F01">
        <w:rPr>
          <w:rFonts w:ascii="Aptos" w:eastAsiaTheme="minorHAnsi" w:hAnsiTheme="minorHAnsi"/>
          <w:sz w:val="22"/>
        </w:rPr>
        <w:t xml:space="preserve"> (2015).</w:t>
      </w:r>
    </w:p>
    <w:p w14:paraId="69AB0855"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lastRenderedPageBreak/>
        <w:t>27.</w:t>
      </w:r>
      <w:r w:rsidRPr="00D36F01">
        <w:rPr>
          <w:rFonts w:ascii="Aptos" w:eastAsiaTheme="minorHAnsi" w:hAnsiTheme="minorHAnsi"/>
          <w:sz w:val="22"/>
        </w:rPr>
        <w:tab/>
        <w:t xml:space="preserve">Puerari, F., Bosio, B. &amp; Heyen, G. Energy Efficiency Optimisation in Different Plant Solutions for Methanol Production from Biomass Gasification. </w:t>
      </w:r>
      <w:r w:rsidRPr="00D36F01">
        <w:rPr>
          <w:rFonts w:ascii="Aptos" w:eastAsiaTheme="minorHAnsi" w:hAnsiTheme="minorHAnsi"/>
          <w:i/>
          <w:iCs/>
          <w:sz w:val="22"/>
        </w:rPr>
        <w:t>Chem. Eng. Trans.</w:t>
      </w:r>
      <w:r w:rsidRPr="00D36F01">
        <w:rPr>
          <w:rFonts w:ascii="Aptos" w:eastAsiaTheme="minorHAnsi" w:hAnsiTheme="minorHAnsi"/>
          <w:sz w:val="22"/>
        </w:rPr>
        <w:t xml:space="preserve"> </w:t>
      </w:r>
      <w:r w:rsidRPr="00D36F01">
        <w:rPr>
          <w:rFonts w:ascii="Aptos" w:eastAsiaTheme="minorHAnsi" w:hAnsiTheme="minorHAnsi"/>
          <w:b/>
          <w:bCs/>
          <w:sz w:val="22"/>
        </w:rPr>
        <w:t>37</w:t>
      </w:r>
      <w:r w:rsidRPr="00D36F01">
        <w:rPr>
          <w:rFonts w:ascii="Aptos" w:eastAsiaTheme="minorHAnsi" w:hAnsiTheme="minorHAnsi"/>
          <w:sz w:val="22"/>
        </w:rPr>
        <w:t>, 301–306 (2014).</w:t>
      </w:r>
    </w:p>
    <w:p w14:paraId="616B9A97"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28.</w:t>
      </w:r>
      <w:r w:rsidRPr="00D36F01">
        <w:rPr>
          <w:rFonts w:ascii="Aptos" w:eastAsiaTheme="minorHAnsi" w:hAnsiTheme="minorHAnsi"/>
          <w:sz w:val="22"/>
        </w:rPr>
        <w:tab/>
        <w:t xml:space="preserve">Capro, N. Lhyfe foresees 54kg green hydrogen per tonne requirement. </w:t>
      </w:r>
      <w:r w:rsidRPr="00D36F01">
        <w:rPr>
          <w:rFonts w:ascii="Aptos" w:eastAsiaTheme="minorHAnsi" w:hAnsiTheme="minorHAnsi"/>
          <w:i/>
          <w:iCs/>
          <w:sz w:val="22"/>
        </w:rPr>
        <w:t>EUROMETAL</w:t>
      </w:r>
      <w:r w:rsidRPr="00D36F01">
        <w:rPr>
          <w:rFonts w:ascii="Aptos" w:eastAsiaTheme="minorHAnsi" w:hAnsiTheme="minorHAnsi"/>
          <w:sz w:val="22"/>
        </w:rPr>
        <w:t xml:space="preserve"> https://eurometal.net/lhyfe-foresees-54kg-green-hydrogen-per-tonne-requirement/ (2023).</w:t>
      </w:r>
    </w:p>
    <w:p w14:paraId="78167A67"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29.</w:t>
      </w:r>
      <w:r w:rsidRPr="00D36F01">
        <w:rPr>
          <w:rFonts w:ascii="Aptos" w:eastAsiaTheme="minorHAnsi" w:hAnsiTheme="minorHAnsi"/>
          <w:sz w:val="22"/>
        </w:rPr>
        <w:tab/>
        <w:t xml:space="preserve">Lask, J. </w:t>
      </w:r>
      <w:r w:rsidRPr="00D36F01">
        <w:rPr>
          <w:rFonts w:ascii="Aptos" w:eastAsiaTheme="minorHAnsi" w:hAnsiTheme="minorHAnsi"/>
          <w:i/>
          <w:iCs/>
          <w:sz w:val="22"/>
        </w:rPr>
        <w:t>et al.</w:t>
      </w:r>
      <w:r w:rsidRPr="00D36F01">
        <w:rPr>
          <w:rFonts w:ascii="Aptos" w:eastAsiaTheme="minorHAnsi" w:hAnsiTheme="minorHAnsi"/>
          <w:sz w:val="22"/>
        </w:rPr>
        <w:t xml:space="preserve"> Lignocellulosic ethanol production combined with CCS—A study of GHG reductions and potential environmental trade-offs. </w:t>
      </w:r>
      <w:r w:rsidRPr="00D36F01">
        <w:rPr>
          <w:rFonts w:ascii="Aptos" w:eastAsiaTheme="minorHAnsi" w:hAnsiTheme="minorHAnsi"/>
          <w:i/>
          <w:iCs/>
          <w:sz w:val="22"/>
        </w:rPr>
        <w:t>GCB Bioenergy</w:t>
      </w:r>
      <w:r w:rsidRPr="00D36F01">
        <w:rPr>
          <w:rFonts w:ascii="Aptos" w:eastAsiaTheme="minorHAnsi" w:hAnsiTheme="minorHAnsi"/>
          <w:sz w:val="22"/>
        </w:rPr>
        <w:t xml:space="preserve"> </w:t>
      </w:r>
      <w:r w:rsidRPr="00D36F01">
        <w:rPr>
          <w:rFonts w:ascii="Aptos" w:eastAsiaTheme="minorHAnsi" w:hAnsiTheme="minorHAnsi"/>
          <w:b/>
          <w:bCs/>
          <w:sz w:val="22"/>
        </w:rPr>
        <w:t>13</w:t>
      </w:r>
      <w:r w:rsidRPr="00D36F01">
        <w:rPr>
          <w:rFonts w:ascii="Aptos" w:eastAsiaTheme="minorHAnsi" w:hAnsiTheme="minorHAnsi"/>
          <w:sz w:val="22"/>
        </w:rPr>
        <w:t>, 336–347 (2021).</w:t>
      </w:r>
    </w:p>
    <w:p w14:paraId="1162C2AC"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30.</w:t>
      </w:r>
      <w:r w:rsidRPr="00D36F01">
        <w:rPr>
          <w:rFonts w:ascii="Aptos" w:eastAsiaTheme="minorHAnsi" w:hAnsiTheme="minorHAnsi"/>
          <w:sz w:val="22"/>
        </w:rPr>
        <w:tab/>
        <w:t xml:space="preserve">Furszyfer Del Rio, D. D. </w:t>
      </w:r>
      <w:r w:rsidRPr="00D36F01">
        <w:rPr>
          <w:rFonts w:ascii="Aptos" w:eastAsiaTheme="minorHAnsi" w:hAnsiTheme="minorHAnsi"/>
          <w:i/>
          <w:iCs/>
          <w:sz w:val="22"/>
        </w:rPr>
        <w:t>et al.</w:t>
      </w:r>
      <w:r w:rsidRPr="00D36F01">
        <w:rPr>
          <w:rFonts w:ascii="Aptos" w:eastAsiaTheme="minorHAnsi" w:hAnsiTheme="minorHAnsi"/>
          <w:sz w:val="22"/>
        </w:rPr>
        <w:t xml:space="preserve"> Decarbonizing the pulp and paper industry: A critical and systematic review of sociotechnical developments and policy options. </w:t>
      </w:r>
      <w:r w:rsidRPr="00D36F01">
        <w:rPr>
          <w:rFonts w:ascii="Aptos" w:eastAsiaTheme="minorHAnsi" w:hAnsiTheme="minorHAnsi"/>
          <w:i/>
          <w:iCs/>
          <w:sz w:val="22"/>
        </w:rPr>
        <w:t>Renew. Sustain. Energy Rev.</w:t>
      </w:r>
      <w:r w:rsidRPr="00D36F01">
        <w:rPr>
          <w:rFonts w:ascii="Aptos" w:eastAsiaTheme="minorHAnsi" w:hAnsiTheme="minorHAnsi"/>
          <w:sz w:val="22"/>
        </w:rPr>
        <w:t xml:space="preserve"> </w:t>
      </w:r>
      <w:r w:rsidRPr="00D36F01">
        <w:rPr>
          <w:rFonts w:ascii="Aptos" w:eastAsiaTheme="minorHAnsi" w:hAnsiTheme="minorHAnsi"/>
          <w:b/>
          <w:bCs/>
          <w:sz w:val="22"/>
        </w:rPr>
        <w:t>167</w:t>
      </w:r>
      <w:r w:rsidRPr="00D36F01">
        <w:rPr>
          <w:rFonts w:ascii="Aptos" w:eastAsiaTheme="minorHAnsi" w:hAnsiTheme="minorHAnsi"/>
          <w:sz w:val="22"/>
        </w:rPr>
        <w:t>, 112706 (2022).</w:t>
      </w:r>
    </w:p>
    <w:p w14:paraId="14D300B3"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31.</w:t>
      </w:r>
      <w:r w:rsidRPr="00D36F01">
        <w:rPr>
          <w:rFonts w:ascii="Aptos" w:eastAsiaTheme="minorHAnsi" w:hAnsiTheme="minorHAnsi"/>
          <w:sz w:val="22"/>
        </w:rPr>
        <w:tab/>
        <w:t xml:space="preserve">Latta, G. S., Baker, J. S. &amp; Ohrel, S. A Land Use and Resource Allocation (LURA) modeling system for projecting localized forest CO2 effects of alternative macroeconomic futures. </w:t>
      </w:r>
      <w:r w:rsidRPr="00D36F01">
        <w:rPr>
          <w:rFonts w:ascii="Aptos" w:eastAsiaTheme="minorHAnsi" w:hAnsiTheme="minorHAnsi"/>
          <w:i/>
          <w:iCs/>
          <w:sz w:val="22"/>
        </w:rPr>
        <w:t>For. Policy Econ.</w:t>
      </w:r>
      <w:r w:rsidRPr="00D36F01">
        <w:rPr>
          <w:rFonts w:ascii="Aptos" w:eastAsiaTheme="minorHAnsi" w:hAnsiTheme="minorHAnsi"/>
          <w:sz w:val="22"/>
        </w:rPr>
        <w:t xml:space="preserve"> </w:t>
      </w:r>
      <w:r w:rsidRPr="00D36F01">
        <w:rPr>
          <w:rFonts w:ascii="Aptos" w:eastAsiaTheme="minorHAnsi" w:hAnsiTheme="minorHAnsi"/>
          <w:b/>
          <w:bCs/>
          <w:sz w:val="22"/>
        </w:rPr>
        <w:t>87</w:t>
      </w:r>
      <w:r w:rsidRPr="00D36F01">
        <w:rPr>
          <w:rFonts w:ascii="Aptos" w:eastAsiaTheme="minorHAnsi" w:hAnsiTheme="minorHAnsi"/>
          <w:sz w:val="22"/>
        </w:rPr>
        <w:t>, 35–48 (2018).</w:t>
      </w:r>
    </w:p>
    <w:p w14:paraId="7DCEA00D"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32.</w:t>
      </w:r>
      <w:r w:rsidRPr="00D36F01">
        <w:rPr>
          <w:rFonts w:ascii="Aptos" w:eastAsiaTheme="minorHAnsi" w:hAnsiTheme="minorHAnsi"/>
          <w:sz w:val="22"/>
        </w:rPr>
        <w:tab/>
        <w:t xml:space="preserve">Wade, C. M., Baker, J. S., Latta, G. &amp; Ohrel, S. B. Evaluating Potential Sources of Aggregation Bias with a Structural Optimization Model of the U.S. Forest Sector. </w:t>
      </w:r>
      <w:r w:rsidRPr="00D36F01">
        <w:rPr>
          <w:rFonts w:ascii="Aptos" w:eastAsiaTheme="minorHAnsi" w:hAnsiTheme="minorHAnsi"/>
          <w:i/>
          <w:iCs/>
          <w:sz w:val="22"/>
        </w:rPr>
        <w:t>J. For. Econ.</w:t>
      </w:r>
      <w:r w:rsidRPr="00D36F01">
        <w:rPr>
          <w:rFonts w:ascii="Aptos" w:eastAsiaTheme="minorHAnsi" w:hAnsiTheme="minorHAnsi"/>
          <w:sz w:val="22"/>
        </w:rPr>
        <w:t xml:space="preserve"> </w:t>
      </w:r>
      <w:r w:rsidRPr="00D36F01">
        <w:rPr>
          <w:rFonts w:ascii="Aptos" w:eastAsiaTheme="minorHAnsi" w:hAnsiTheme="minorHAnsi"/>
          <w:b/>
          <w:bCs/>
          <w:sz w:val="22"/>
        </w:rPr>
        <w:t>34</w:t>
      </w:r>
      <w:r w:rsidRPr="00D36F01">
        <w:rPr>
          <w:rFonts w:ascii="Aptos" w:eastAsiaTheme="minorHAnsi" w:hAnsiTheme="minorHAnsi"/>
          <w:sz w:val="22"/>
        </w:rPr>
        <w:t>, 337–366 (2019).</w:t>
      </w:r>
    </w:p>
    <w:p w14:paraId="7ADF086F"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33.</w:t>
      </w:r>
      <w:r w:rsidRPr="00D36F01">
        <w:rPr>
          <w:rFonts w:ascii="Aptos" w:eastAsiaTheme="minorHAnsi" w:hAnsiTheme="minorHAnsi"/>
          <w:sz w:val="22"/>
        </w:rPr>
        <w:tab/>
        <w:t xml:space="preserve">Visser, L., Latta, G., Pokharel, R., Hoefnagels, R. &amp; Junginger, M. Exploring the limits to sustainable pellet production for international markets: The impact of increasing pellet production in the US Southeast on feedstock use, production cost and carbon sequestration in forest areas. </w:t>
      </w:r>
      <w:r w:rsidRPr="00D36F01">
        <w:rPr>
          <w:rFonts w:ascii="Aptos" w:eastAsiaTheme="minorHAnsi" w:hAnsiTheme="minorHAnsi"/>
          <w:i/>
          <w:iCs/>
          <w:sz w:val="22"/>
        </w:rPr>
        <w:t>GCB Bioenergy</w:t>
      </w:r>
      <w:r w:rsidRPr="00D36F01">
        <w:rPr>
          <w:rFonts w:ascii="Aptos" w:eastAsiaTheme="minorHAnsi" w:hAnsiTheme="minorHAnsi"/>
          <w:sz w:val="22"/>
        </w:rPr>
        <w:t xml:space="preserve"> </w:t>
      </w:r>
      <w:r w:rsidRPr="00D36F01">
        <w:rPr>
          <w:rFonts w:ascii="Aptos" w:eastAsiaTheme="minorHAnsi" w:hAnsiTheme="minorHAnsi"/>
          <w:b/>
          <w:bCs/>
          <w:sz w:val="22"/>
        </w:rPr>
        <w:t>14</w:t>
      </w:r>
      <w:r w:rsidRPr="00D36F01">
        <w:rPr>
          <w:rFonts w:ascii="Aptos" w:eastAsiaTheme="minorHAnsi" w:hAnsiTheme="minorHAnsi"/>
          <w:sz w:val="22"/>
        </w:rPr>
        <w:t>, 896–917 (2022).</w:t>
      </w:r>
    </w:p>
    <w:p w14:paraId="595371F3"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34.</w:t>
      </w:r>
      <w:r w:rsidRPr="00D36F01">
        <w:rPr>
          <w:rFonts w:ascii="Aptos" w:eastAsiaTheme="minorHAnsi" w:hAnsiTheme="minorHAnsi"/>
          <w:sz w:val="22"/>
        </w:rPr>
        <w:tab/>
        <w:t xml:space="preserve">Pokharel, R. &amp; Latta, G. S. A network analysis to identify forest merchantability limitations across the United States. </w:t>
      </w:r>
      <w:r w:rsidRPr="00D36F01">
        <w:rPr>
          <w:rFonts w:ascii="Aptos" w:eastAsiaTheme="minorHAnsi" w:hAnsiTheme="minorHAnsi"/>
          <w:i/>
          <w:iCs/>
          <w:sz w:val="22"/>
        </w:rPr>
        <w:t>For. Policy Econ.</w:t>
      </w:r>
      <w:r w:rsidRPr="00D36F01">
        <w:rPr>
          <w:rFonts w:ascii="Aptos" w:eastAsiaTheme="minorHAnsi" w:hAnsiTheme="minorHAnsi"/>
          <w:sz w:val="22"/>
        </w:rPr>
        <w:t xml:space="preserve"> </w:t>
      </w:r>
      <w:r w:rsidRPr="00D36F01">
        <w:rPr>
          <w:rFonts w:ascii="Aptos" w:eastAsiaTheme="minorHAnsi" w:hAnsiTheme="minorHAnsi"/>
          <w:b/>
          <w:bCs/>
          <w:sz w:val="22"/>
        </w:rPr>
        <w:t>116</w:t>
      </w:r>
      <w:r w:rsidRPr="00D36F01">
        <w:rPr>
          <w:rFonts w:ascii="Aptos" w:eastAsiaTheme="minorHAnsi" w:hAnsiTheme="minorHAnsi"/>
          <w:sz w:val="22"/>
        </w:rPr>
        <w:t>, 102181 (2020).</w:t>
      </w:r>
    </w:p>
    <w:p w14:paraId="71475935"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35.</w:t>
      </w:r>
      <w:r w:rsidRPr="00D36F01">
        <w:rPr>
          <w:rFonts w:ascii="Aptos" w:eastAsiaTheme="minorHAnsi" w:hAnsiTheme="minorHAnsi"/>
          <w:sz w:val="22"/>
        </w:rPr>
        <w:tab/>
        <w:t xml:space="preserve">EIA. Annual Energy Outlook 2025. </w:t>
      </w:r>
      <w:r w:rsidRPr="00D36F01">
        <w:rPr>
          <w:rFonts w:ascii="Aptos" w:eastAsiaTheme="minorHAnsi" w:hAnsiTheme="minorHAnsi"/>
          <w:i/>
          <w:iCs/>
          <w:sz w:val="22"/>
        </w:rPr>
        <w:t>U.S. Energy Information Administration</w:t>
      </w:r>
      <w:r w:rsidRPr="00D36F01">
        <w:rPr>
          <w:rFonts w:ascii="Aptos" w:eastAsiaTheme="minorHAnsi" w:hAnsiTheme="minorHAnsi"/>
          <w:sz w:val="22"/>
        </w:rPr>
        <w:t xml:space="preserve"> https://www.eia.gov/outlooks/aeo/index.php.</w:t>
      </w:r>
    </w:p>
    <w:p w14:paraId="59362F9A"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lastRenderedPageBreak/>
        <w:t>36.</w:t>
      </w:r>
      <w:r w:rsidRPr="00D36F01">
        <w:rPr>
          <w:rFonts w:ascii="Aptos" w:eastAsiaTheme="minorHAnsi" w:hAnsiTheme="minorHAnsi"/>
          <w:sz w:val="22"/>
        </w:rPr>
        <w:tab/>
        <w:t xml:space="preserve">SRTS Model. </w:t>
      </w:r>
      <w:r w:rsidRPr="00D36F01">
        <w:rPr>
          <w:rFonts w:ascii="Aptos" w:eastAsiaTheme="minorHAnsi" w:hAnsiTheme="minorHAnsi"/>
          <w:i/>
          <w:iCs/>
          <w:sz w:val="22"/>
        </w:rPr>
        <w:t>Southern Forest Resource Assessment Consortium</w:t>
      </w:r>
      <w:r w:rsidRPr="00D36F01">
        <w:rPr>
          <w:rFonts w:ascii="Aptos" w:eastAsiaTheme="minorHAnsi" w:hAnsiTheme="minorHAnsi"/>
          <w:sz w:val="22"/>
        </w:rPr>
        <w:t xml:space="preserve"> https://research.cnr.ncsu.edu/sofac/srts-model/.</w:t>
      </w:r>
    </w:p>
    <w:p w14:paraId="0ECD0FA0"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37.</w:t>
      </w:r>
      <w:r w:rsidRPr="00D36F01">
        <w:rPr>
          <w:rFonts w:ascii="Aptos" w:eastAsiaTheme="minorHAnsi" w:hAnsiTheme="minorHAnsi"/>
          <w:sz w:val="22"/>
        </w:rPr>
        <w:tab/>
        <w:t>The Forest Inventory and Analysis Database User Guide (NFI) | US Forest Service Research and Development. https://research.fs.usda.gov/understory/forest-inventory-and-analysis-database-user-guide-nfi.</w:t>
      </w:r>
    </w:p>
    <w:p w14:paraId="6BDD1715" w14:textId="77777777" w:rsidR="00D36F01" w:rsidRPr="00D36F01" w:rsidRDefault="00D36F01" w:rsidP="00D36F01">
      <w:pPr>
        <w:pStyle w:val="Bibliography"/>
        <w:rPr>
          <w:rFonts w:ascii="Aptos" w:eastAsiaTheme="minorHAnsi" w:hAnsiTheme="minorHAnsi"/>
          <w:sz w:val="22"/>
        </w:rPr>
      </w:pPr>
      <w:r w:rsidRPr="00D36F01">
        <w:rPr>
          <w:rFonts w:ascii="Aptos" w:eastAsiaTheme="minorHAnsi" w:hAnsiTheme="minorHAnsi"/>
          <w:sz w:val="22"/>
        </w:rPr>
        <w:t>38.</w:t>
      </w:r>
      <w:r w:rsidRPr="00D36F01">
        <w:rPr>
          <w:rFonts w:ascii="Aptos" w:eastAsiaTheme="minorHAnsi" w:hAnsiTheme="minorHAnsi"/>
          <w:sz w:val="22"/>
        </w:rPr>
        <w:tab/>
        <w:t xml:space="preserve">Westfall, J. A. </w:t>
      </w:r>
      <w:r w:rsidRPr="00D36F01">
        <w:rPr>
          <w:rFonts w:ascii="Aptos" w:eastAsiaTheme="minorHAnsi" w:hAnsiTheme="minorHAnsi"/>
          <w:i/>
          <w:iCs/>
          <w:sz w:val="22"/>
        </w:rPr>
        <w:t>et al.</w:t>
      </w:r>
      <w:r w:rsidRPr="00D36F01">
        <w:rPr>
          <w:rFonts w:ascii="Aptos" w:eastAsiaTheme="minorHAnsi" w:hAnsiTheme="minorHAnsi"/>
          <w:sz w:val="22"/>
        </w:rPr>
        <w:t xml:space="preserve"> A national-scale tree volume, biomass, and carbon modeling system for the United States. </w:t>
      </w:r>
      <w:r w:rsidRPr="00D36F01">
        <w:rPr>
          <w:rFonts w:ascii="Aptos" w:eastAsiaTheme="minorHAnsi" w:hAnsiTheme="minorHAnsi"/>
          <w:i/>
          <w:iCs/>
          <w:sz w:val="22"/>
        </w:rPr>
        <w:t>Gen Tech Rep WO-104 Wash. DC US Dep. Agric. For. Serv.</w:t>
      </w:r>
      <w:r w:rsidRPr="00D36F01">
        <w:rPr>
          <w:rFonts w:ascii="Aptos" w:eastAsiaTheme="minorHAnsi" w:hAnsiTheme="minorHAnsi"/>
          <w:sz w:val="22"/>
        </w:rPr>
        <w:t xml:space="preserve"> </w:t>
      </w:r>
      <w:r w:rsidRPr="00D36F01">
        <w:rPr>
          <w:rFonts w:ascii="Aptos" w:eastAsiaTheme="minorHAnsi" w:hAnsiTheme="minorHAnsi"/>
          <w:b/>
          <w:bCs/>
          <w:sz w:val="22"/>
        </w:rPr>
        <w:t>104</w:t>
      </w:r>
      <w:r w:rsidRPr="00D36F01">
        <w:rPr>
          <w:rFonts w:ascii="Aptos" w:eastAsiaTheme="minorHAnsi" w:hAnsiTheme="minorHAnsi"/>
          <w:sz w:val="22"/>
        </w:rPr>
        <w:t>, (2024).</w:t>
      </w:r>
    </w:p>
    <w:p w14:paraId="4B941D03" w14:textId="1BCB760B" w:rsidR="00040DB9" w:rsidRPr="009E433E" w:rsidRDefault="00040DB9" w:rsidP="00D36F01">
      <w:pPr>
        <w:pStyle w:val="Bibliography"/>
        <w:rPr>
          <w:rFonts w:asciiTheme="minorHAnsi" w:hAnsiTheme="minorHAnsi"/>
          <w:sz w:val="22"/>
          <w:szCs w:val="22"/>
        </w:rPr>
      </w:pPr>
      <w:r>
        <w:rPr>
          <w:rFonts w:asciiTheme="minorHAnsi" w:hAnsiTheme="minorHAnsi"/>
          <w:sz w:val="22"/>
          <w:szCs w:val="22"/>
        </w:rPr>
        <w:fldChar w:fldCharType="end"/>
      </w:r>
    </w:p>
    <w:sectPr w:rsidR="00040DB9" w:rsidRPr="009E433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E4FEC0" w14:textId="77777777" w:rsidR="000353F4" w:rsidRDefault="000353F4" w:rsidP="00FF6066">
      <w:r>
        <w:separator/>
      </w:r>
    </w:p>
  </w:endnote>
  <w:endnote w:type="continuationSeparator" w:id="0">
    <w:p w14:paraId="03EB040D" w14:textId="77777777" w:rsidR="000353F4" w:rsidRDefault="000353F4" w:rsidP="00FF60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E61705" w14:textId="77777777" w:rsidR="000353F4" w:rsidRDefault="000353F4" w:rsidP="00FF6066">
      <w:r>
        <w:separator/>
      </w:r>
    </w:p>
  </w:footnote>
  <w:footnote w:type="continuationSeparator" w:id="0">
    <w:p w14:paraId="3CA9CE28" w14:textId="77777777" w:rsidR="000353F4" w:rsidRDefault="000353F4" w:rsidP="00FF60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F674A"/>
    <w:multiLevelType w:val="hybridMultilevel"/>
    <w:tmpl w:val="B9F44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D4374E"/>
    <w:multiLevelType w:val="hybridMultilevel"/>
    <w:tmpl w:val="B2D4F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07519F"/>
    <w:multiLevelType w:val="multilevel"/>
    <w:tmpl w:val="2AA69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33784B"/>
    <w:multiLevelType w:val="hybridMultilevel"/>
    <w:tmpl w:val="38129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F861D8"/>
    <w:multiLevelType w:val="multilevel"/>
    <w:tmpl w:val="AB148F12"/>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90A31E7"/>
    <w:multiLevelType w:val="hybridMultilevel"/>
    <w:tmpl w:val="3F32A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6B5F46"/>
    <w:multiLevelType w:val="multilevel"/>
    <w:tmpl w:val="A7C6E960"/>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99A18FC"/>
    <w:multiLevelType w:val="hybridMultilevel"/>
    <w:tmpl w:val="84BC8776"/>
    <w:lvl w:ilvl="0" w:tplc="4A2CCD0A">
      <w:start w:val="1"/>
      <w:numFmt w:val="decimal"/>
      <w:lvlText w:val="%1."/>
      <w:lvlJc w:val="left"/>
      <w:pPr>
        <w:ind w:left="720" w:hanging="360"/>
      </w:pPr>
      <w:rPr>
        <w:rFonts w:ascii="Arial" w:hAnsi="Arial" w:cs="Arial" w:hint="default"/>
        <w:b/>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13326A"/>
    <w:multiLevelType w:val="hybridMultilevel"/>
    <w:tmpl w:val="9C24A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133C42"/>
    <w:multiLevelType w:val="multilevel"/>
    <w:tmpl w:val="58ECCF12"/>
    <w:lvl w:ilvl="0">
      <w:start w:val="1"/>
      <w:numFmt w:val="decimal"/>
      <w:lvlText w:val="%1."/>
      <w:lvlJc w:val="left"/>
      <w:pPr>
        <w:ind w:left="360" w:hanging="360"/>
      </w:pPr>
      <w:rPr>
        <w:rFonts w:ascii="Arial" w:hAnsi="Arial" w:cs="Arial" w:hint="default"/>
        <w:b/>
        <w:color w:val="000000"/>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0" w15:restartNumberingAfterBreak="0">
    <w:nsid w:val="60AD0CBF"/>
    <w:multiLevelType w:val="multilevel"/>
    <w:tmpl w:val="47D41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0FB371C"/>
    <w:multiLevelType w:val="multilevel"/>
    <w:tmpl w:val="DCECF7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54E2D36"/>
    <w:multiLevelType w:val="hybridMultilevel"/>
    <w:tmpl w:val="7C568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8117C3E"/>
    <w:multiLevelType w:val="hybridMultilevel"/>
    <w:tmpl w:val="10168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9A7402E"/>
    <w:multiLevelType w:val="hybridMultilevel"/>
    <w:tmpl w:val="EB969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03738823">
    <w:abstractNumId w:val="7"/>
  </w:num>
  <w:num w:numId="2" w16cid:durableId="1323394718">
    <w:abstractNumId w:val="9"/>
  </w:num>
  <w:num w:numId="3" w16cid:durableId="1454404408">
    <w:abstractNumId w:val="13"/>
  </w:num>
  <w:num w:numId="4" w16cid:durableId="202407516">
    <w:abstractNumId w:val="4"/>
  </w:num>
  <w:num w:numId="5" w16cid:durableId="1125537003">
    <w:abstractNumId w:val="1"/>
  </w:num>
  <w:num w:numId="6" w16cid:durableId="1670594633">
    <w:abstractNumId w:val="6"/>
  </w:num>
  <w:num w:numId="7" w16cid:durableId="1977567082">
    <w:abstractNumId w:val="12"/>
  </w:num>
  <w:num w:numId="8" w16cid:durableId="717708368">
    <w:abstractNumId w:val="8"/>
  </w:num>
  <w:num w:numId="9" w16cid:durableId="1134982902">
    <w:abstractNumId w:val="3"/>
  </w:num>
  <w:num w:numId="10" w16cid:durableId="1544710257">
    <w:abstractNumId w:val="0"/>
  </w:num>
  <w:num w:numId="11" w16cid:durableId="189146965">
    <w:abstractNumId w:val="5"/>
  </w:num>
  <w:num w:numId="12" w16cid:durableId="703557945">
    <w:abstractNumId w:val="14"/>
  </w:num>
  <w:num w:numId="13" w16cid:durableId="10688321">
    <w:abstractNumId w:val="10"/>
  </w:num>
  <w:num w:numId="14" w16cid:durableId="2086797401">
    <w:abstractNumId w:val="11"/>
  </w:num>
  <w:num w:numId="15" w16cid:durableId="15119900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066"/>
    <w:rsid w:val="000259DA"/>
    <w:rsid w:val="000353F4"/>
    <w:rsid w:val="00040DB9"/>
    <w:rsid w:val="00126A22"/>
    <w:rsid w:val="00157728"/>
    <w:rsid w:val="00184ADC"/>
    <w:rsid w:val="001D3585"/>
    <w:rsid w:val="00230071"/>
    <w:rsid w:val="00257EF9"/>
    <w:rsid w:val="002B1DC9"/>
    <w:rsid w:val="003A0E41"/>
    <w:rsid w:val="003B1110"/>
    <w:rsid w:val="003C5BEF"/>
    <w:rsid w:val="003F6D41"/>
    <w:rsid w:val="00401A6A"/>
    <w:rsid w:val="00533C58"/>
    <w:rsid w:val="0056061B"/>
    <w:rsid w:val="006A63EB"/>
    <w:rsid w:val="006D2CED"/>
    <w:rsid w:val="00710346"/>
    <w:rsid w:val="00711ACF"/>
    <w:rsid w:val="007319D5"/>
    <w:rsid w:val="007414D2"/>
    <w:rsid w:val="00781E38"/>
    <w:rsid w:val="00790ADA"/>
    <w:rsid w:val="008C1B6B"/>
    <w:rsid w:val="00913ED9"/>
    <w:rsid w:val="00994C73"/>
    <w:rsid w:val="009E433E"/>
    <w:rsid w:val="00A21D56"/>
    <w:rsid w:val="00A74CC7"/>
    <w:rsid w:val="00B00E2A"/>
    <w:rsid w:val="00B3127D"/>
    <w:rsid w:val="00B43D1C"/>
    <w:rsid w:val="00B47BE5"/>
    <w:rsid w:val="00B9371B"/>
    <w:rsid w:val="00B94A23"/>
    <w:rsid w:val="00BB32EF"/>
    <w:rsid w:val="00C138A4"/>
    <w:rsid w:val="00C218F8"/>
    <w:rsid w:val="00CB207C"/>
    <w:rsid w:val="00D36F01"/>
    <w:rsid w:val="00E43BA5"/>
    <w:rsid w:val="00ED3EF2"/>
    <w:rsid w:val="00F30CED"/>
    <w:rsid w:val="00F93B1E"/>
    <w:rsid w:val="00FA00A2"/>
    <w:rsid w:val="00FD3822"/>
    <w:rsid w:val="00FE7403"/>
    <w:rsid w:val="00FF6066"/>
    <w:rsid w:val="00FF60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12835"/>
  <w15:chartTrackingRefBased/>
  <w15:docId w15:val="{2E7D0CE3-D783-8242-83F8-720DF2FFA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6F01"/>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F60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60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60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60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F60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606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606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606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606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60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60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60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60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60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60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60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60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6066"/>
    <w:rPr>
      <w:rFonts w:eastAsiaTheme="majorEastAsia" w:cstheme="majorBidi"/>
      <w:color w:val="272727" w:themeColor="text1" w:themeTint="D8"/>
    </w:rPr>
  </w:style>
  <w:style w:type="paragraph" w:styleId="Title">
    <w:name w:val="Title"/>
    <w:basedOn w:val="Normal"/>
    <w:next w:val="Normal"/>
    <w:link w:val="TitleChar"/>
    <w:uiPriority w:val="10"/>
    <w:qFormat/>
    <w:rsid w:val="00FF606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60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606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60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606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F6066"/>
    <w:rPr>
      <w:i/>
      <w:iCs/>
      <w:color w:val="404040" w:themeColor="text1" w:themeTint="BF"/>
    </w:rPr>
  </w:style>
  <w:style w:type="paragraph" w:styleId="ListParagraph">
    <w:name w:val="List Paragraph"/>
    <w:basedOn w:val="Normal"/>
    <w:uiPriority w:val="34"/>
    <w:qFormat/>
    <w:rsid w:val="00FF6066"/>
    <w:pPr>
      <w:ind w:left="720"/>
      <w:contextualSpacing/>
    </w:pPr>
  </w:style>
  <w:style w:type="character" w:styleId="IntenseEmphasis">
    <w:name w:val="Intense Emphasis"/>
    <w:basedOn w:val="DefaultParagraphFont"/>
    <w:uiPriority w:val="21"/>
    <w:qFormat/>
    <w:rsid w:val="00FF6066"/>
    <w:rPr>
      <w:i/>
      <w:iCs/>
      <w:color w:val="0F4761" w:themeColor="accent1" w:themeShade="BF"/>
    </w:rPr>
  </w:style>
  <w:style w:type="paragraph" w:styleId="IntenseQuote">
    <w:name w:val="Intense Quote"/>
    <w:basedOn w:val="Normal"/>
    <w:next w:val="Normal"/>
    <w:link w:val="IntenseQuoteChar"/>
    <w:uiPriority w:val="30"/>
    <w:qFormat/>
    <w:rsid w:val="00FF60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6066"/>
    <w:rPr>
      <w:i/>
      <w:iCs/>
      <w:color w:val="0F4761" w:themeColor="accent1" w:themeShade="BF"/>
    </w:rPr>
  </w:style>
  <w:style w:type="character" w:styleId="IntenseReference">
    <w:name w:val="Intense Reference"/>
    <w:basedOn w:val="DefaultParagraphFont"/>
    <w:uiPriority w:val="32"/>
    <w:qFormat/>
    <w:rsid w:val="00FF6066"/>
    <w:rPr>
      <w:b/>
      <w:bCs/>
      <w:smallCaps/>
      <w:color w:val="0F4761" w:themeColor="accent1" w:themeShade="BF"/>
      <w:spacing w:val="5"/>
    </w:rPr>
  </w:style>
  <w:style w:type="paragraph" w:styleId="FootnoteText">
    <w:name w:val="footnote text"/>
    <w:basedOn w:val="Normal"/>
    <w:link w:val="FootnoteTextChar"/>
    <w:uiPriority w:val="99"/>
    <w:semiHidden/>
    <w:unhideWhenUsed/>
    <w:rsid w:val="00FF6066"/>
    <w:rPr>
      <w:sz w:val="20"/>
      <w:szCs w:val="20"/>
    </w:rPr>
  </w:style>
  <w:style w:type="character" w:customStyle="1" w:styleId="FootnoteTextChar">
    <w:name w:val="Footnote Text Char"/>
    <w:basedOn w:val="DefaultParagraphFont"/>
    <w:link w:val="FootnoteText"/>
    <w:uiPriority w:val="99"/>
    <w:semiHidden/>
    <w:rsid w:val="00FF6066"/>
    <w:rPr>
      <w:sz w:val="20"/>
      <w:szCs w:val="20"/>
    </w:rPr>
  </w:style>
  <w:style w:type="character" w:styleId="FootnoteReference">
    <w:name w:val="footnote reference"/>
    <w:basedOn w:val="DefaultParagraphFont"/>
    <w:uiPriority w:val="99"/>
    <w:semiHidden/>
    <w:unhideWhenUsed/>
    <w:rsid w:val="00FF6066"/>
    <w:rPr>
      <w:vertAlign w:val="superscript"/>
    </w:rPr>
  </w:style>
  <w:style w:type="paragraph" w:styleId="EndnoteText">
    <w:name w:val="endnote text"/>
    <w:basedOn w:val="Normal"/>
    <w:link w:val="EndnoteTextChar"/>
    <w:uiPriority w:val="99"/>
    <w:semiHidden/>
    <w:unhideWhenUsed/>
    <w:rsid w:val="00FF6066"/>
    <w:rPr>
      <w:sz w:val="20"/>
      <w:szCs w:val="20"/>
    </w:rPr>
  </w:style>
  <w:style w:type="character" w:customStyle="1" w:styleId="EndnoteTextChar">
    <w:name w:val="Endnote Text Char"/>
    <w:basedOn w:val="DefaultParagraphFont"/>
    <w:link w:val="EndnoteText"/>
    <w:uiPriority w:val="99"/>
    <w:semiHidden/>
    <w:rsid w:val="00FF6066"/>
    <w:rPr>
      <w:sz w:val="20"/>
      <w:szCs w:val="20"/>
    </w:rPr>
  </w:style>
  <w:style w:type="character" w:styleId="EndnoteReference">
    <w:name w:val="endnote reference"/>
    <w:basedOn w:val="DefaultParagraphFont"/>
    <w:uiPriority w:val="99"/>
    <w:semiHidden/>
    <w:unhideWhenUsed/>
    <w:rsid w:val="00FF6066"/>
    <w:rPr>
      <w:vertAlign w:val="superscript"/>
    </w:rPr>
  </w:style>
  <w:style w:type="paragraph" w:styleId="Header">
    <w:name w:val="header"/>
    <w:basedOn w:val="Normal"/>
    <w:link w:val="HeaderChar"/>
    <w:uiPriority w:val="99"/>
    <w:unhideWhenUsed/>
    <w:rsid w:val="003A0E41"/>
    <w:pPr>
      <w:tabs>
        <w:tab w:val="center" w:pos="4680"/>
        <w:tab w:val="right" w:pos="9360"/>
      </w:tabs>
    </w:pPr>
  </w:style>
  <w:style w:type="character" w:customStyle="1" w:styleId="HeaderChar">
    <w:name w:val="Header Char"/>
    <w:basedOn w:val="DefaultParagraphFont"/>
    <w:link w:val="Header"/>
    <w:uiPriority w:val="99"/>
    <w:rsid w:val="003A0E41"/>
  </w:style>
  <w:style w:type="paragraph" w:styleId="Footer">
    <w:name w:val="footer"/>
    <w:basedOn w:val="Normal"/>
    <w:link w:val="FooterChar"/>
    <w:uiPriority w:val="99"/>
    <w:unhideWhenUsed/>
    <w:rsid w:val="003A0E41"/>
    <w:pPr>
      <w:tabs>
        <w:tab w:val="center" w:pos="4680"/>
        <w:tab w:val="right" w:pos="9360"/>
      </w:tabs>
    </w:pPr>
  </w:style>
  <w:style w:type="character" w:customStyle="1" w:styleId="FooterChar">
    <w:name w:val="Footer Char"/>
    <w:basedOn w:val="DefaultParagraphFont"/>
    <w:link w:val="Footer"/>
    <w:uiPriority w:val="99"/>
    <w:rsid w:val="003A0E41"/>
  </w:style>
  <w:style w:type="paragraph" w:styleId="NormalWeb">
    <w:name w:val="Normal (Web)"/>
    <w:basedOn w:val="Normal"/>
    <w:uiPriority w:val="99"/>
    <w:unhideWhenUsed/>
    <w:rsid w:val="003A0E41"/>
    <w:pPr>
      <w:spacing w:before="100" w:beforeAutospacing="1" w:after="100" w:afterAutospacing="1"/>
    </w:pPr>
  </w:style>
  <w:style w:type="character" w:styleId="Strong">
    <w:name w:val="Strong"/>
    <w:basedOn w:val="DefaultParagraphFont"/>
    <w:uiPriority w:val="22"/>
    <w:qFormat/>
    <w:rsid w:val="00913ED9"/>
    <w:rPr>
      <w:b/>
      <w:bCs/>
    </w:rPr>
  </w:style>
  <w:style w:type="character" w:styleId="Hyperlink">
    <w:name w:val="Hyperlink"/>
    <w:basedOn w:val="DefaultParagraphFont"/>
    <w:uiPriority w:val="99"/>
    <w:semiHidden/>
    <w:unhideWhenUsed/>
    <w:rsid w:val="00B43D1C"/>
    <w:rPr>
      <w:color w:val="0000FF"/>
      <w:u w:val="single"/>
    </w:rPr>
  </w:style>
  <w:style w:type="character" w:customStyle="1" w:styleId="apple-tab-span">
    <w:name w:val="apple-tab-span"/>
    <w:basedOn w:val="DefaultParagraphFont"/>
    <w:rsid w:val="00B43D1C"/>
  </w:style>
  <w:style w:type="paragraph" w:styleId="CommentText">
    <w:name w:val="annotation text"/>
    <w:basedOn w:val="Normal"/>
    <w:link w:val="CommentTextChar"/>
    <w:uiPriority w:val="99"/>
    <w:unhideWhenUsed/>
    <w:rsid w:val="009E433E"/>
    <w:pPr>
      <w:spacing w:after="160"/>
    </w:pPr>
    <w:rPr>
      <w:rFonts w:asciiTheme="minorHAnsi" w:eastAsiaTheme="minorHAnsi" w:hAnsiTheme="minorHAnsi" w:cstheme="minorBidi"/>
      <w:kern w:val="2"/>
      <w:sz w:val="20"/>
      <w:szCs w:val="20"/>
      <w14:ligatures w14:val="standardContextual"/>
    </w:rPr>
  </w:style>
  <w:style w:type="character" w:customStyle="1" w:styleId="CommentTextChar">
    <w:name w:val="Comment Text Char"/>
    <w:basedOn w:val="DefaultParagraphFont"/>
    <w:link w:val="CommentText"/>
    <w:uiPriority w:val="99"/>
    <w:rsid w:val="009E433E"/>
    <w:rPr>
      <w:sz w:val="20"/>
      <w:szCs w:val="20"/>
    </w:rPr>
  </w:style>
  <w:style w:type="character" w:styleId="CommentReference">
    <w:name w:val="annotation reference"/>
    <w:basedOn w:val="DefaultParagraphFont"/>
    <w:uiPriority w:val="99"/>
    <w:semiHidden/>
    <w:unhideWhenUsed/>
    <w:rsid w:val="009E433E"/>
    <w:rPr>
      <w:sz w:val="16"/>
      <w:szCs w:val="16"/>
    </w:rPr>
  </w:style>
  <w:style w:type="paragraph" w:styleId="Bibliography">
    <w:name w:val="Bibliography"/>
    <w:basedOn w:val="Normal"/>
    <w:next w:val="Normal"/>
    <w:uiPriority w:val="37"/>
    <w:unhideWhenUsed/>
    <w:rsid w:val="00040DB9"/>
    <w:pPr>
      <w:tabs>
        <w:tab w:val="left" w:pos="260"/>
      </w:tabs>
      <w:spacing w:line="480" w:lineRule="auto"/>
      <w:ind w:left="264" w:hanging="264"/>
    </w:pPr>
  </w:style>
  <w:style w:type="character" w:styleId="FollowedHyperlink">
    <w:name w:val="FollowedHyperlink"/>
    <w:basedOn w:val="DefaultParagraphFont"/>
    <w:uiPriority w:val="99"/>
    <w:semiHidden/>
    <w:unhideWhenUsed/>
    <w:rsid w:val="00FE7403"/>
    <w:rPr>
      <w:color w:val="96607D" w:themeColor="followedHyperlink"/>
      <w:u w:val="single"/>
    </w:rPr>
  </w:style>
  <w:style w:type="paragraph" w:styleId="Revision">
    <w:name w:val="Revision"/>
    <w:hidden/>
    <w:uiPriority w:val="99"/>
    <w:semiHidden/>
    <w:rsid w:val="008C1B6B"/>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276865">
      <w:bodyDiv w:val="1"/>
      <w:marLeft w:val="0"/>
      <w:marRight w:val="0"/>
      <w:marTop w:val="0"/>
      <w:marBottom w:val="0"/>
      <w:divBdr>
        <w:top w:val="none" w:sz="0" w:space="0" w:color="auto"/>
        <w:left w:val="none" w:sz="0" w:space="0" w:color="auto"/>
        <w:bottom w:val="none" w:sz="0" w:space="0" w:color="auto"/>
        <w:right w:val="none" w:sz="0" w:space="0" w:color="auto"/>
      </w:divBdr>
    </w:div>
    <w:div w:id="394357024">
      <w:bodyDiv w:val="1"/>
      <w:marLeft w:val="0"/>
      <w:marRight w:val="0"/>
      <w:marTop w:val="0"/>
      <w:marBottom w:val="0"/>
      <w:divBdr>
        <w:top w:val="none" w:sz="0" w:space="0" w:color="auto"/>
        <w:left w:val="none" w:sz="0" w:space="0" w:color="auto"/>
        <w:bottom w:val="none" w:sz="0" w:space="0" w:color="auto"/>
        <w:right w:val="none" w:sz="0" w:space="0" w:color="auto"/>
      </w:divBdr>
    </w:div>
    <w:div w:id="444734527">
      <w:bodyDiv w:val="1"/>
      <w:marLeft w:val="0"/>
      <w:marRight w:val="0"/>
      <w:marTop w:val="0"/>
      <w:marBottom w:val="0"/>
      <w:divBdr>
        <w:top w:val="none" w:sz="0" w:space="0" w:color="auto"/>
        <w:left w:val="none" w:sz="0" w:space="0" w:color="auto"/>
        <w:bottom w:val="none" w:sz="0" w:space="0" w:color="auto"/>
        <w:right w:val="none" w:sz="0" w:space="0" w:color="auto"/>
      </w:divBdr>
    </w:div>
    <w:div w:id="610354735">
      <w:bodyDiv w:val="1"/>
      <w:marLeft w:val="0"/>
      <w:marRight w:val="0"/>
      <w:marTop w:val="0"/>
      <w:marBottom w:val="0"/>
      <w:divBdr>
        <w:top w:val="none" w:sz="0" w:space="0" w:color="auto"/>
        <w:left w:val="none" w:sz="0" w:space="0" w:color="auto"/>
        <w:bottom w:val="none" w:sz="0" w:space="0" w:color="auto"/>
        <w:right w:val="none" w:sz="0" w:space="0" w:color="auto"/>
      </w:divBdr>
    </w:div>
    <w:div w:id="715469350">
      <w:bodyDiv w:val="1"/>
      <w:marLeft w:val="0"/>
      <w:marRight w:val="0"/>
      <w:marTop w:val="0"/>
      <w:marBottom w:val="0"/>
      <w:divBdr>
        <w:top w:val="none" w:sz="0" w:space="0" w:color="auto"/>
        <w:left w:val="none" w:sz="0" w:space="0" w:color="auto"/>
        <w:bottom w:val="none" w:sz="0" w:space="0" w:color="auto"/>
        <w:right w:val="none" w:sz="0" w:space="0" w:color="auto"/>
      </w:divBdr>
    </w:div>
    <w:div w:id="900020236">
      <w:bodyDiv w:val="1"/>
      <w:marLeft w:val="0"/>
      <w:marRight w:val="0"/>
      <w:marTop w:val="0"/>
      <w:marBottom w:val="0"/>
      <w:divBdr>
        <w:top w:val="none" w:sz="0" w:space="0" w:color="auto"/>
        <w:left w:val="none" w:sz="0" w:space="0" w:color="auto"/>
        <w:bottom w:val="none" w:sz="0" w:space="0" w:color="auto"/>
        <w:right w:val="none" w:sz="0" w:space="0" w:color="auto"/>
      </w:divBdr>
    </w:div>
    <w:div w:id="1121537469">
      <w:bodyDiv w:val="1"/>
      <w:marLeft w:val="0"/>
      <w:marRight w:val="0"/>
      <w:marTop w:val="0"/>
      <w:marBottom w:val="0"/>
      <w:divBdr>
        <w:top w:val="none" w:sz="0" w:space="0" w:color="auto"/>
        <w:left w:val="none" w:sz="0" w:space="0" w:color="auto"/>
        <w:bottom w:val="none" w:sz="0" w:space="0" w:color="auto"/>
        <w:right w:val="none" w:sz="0" w:space="0" w:color="auto"/>
      </w:divBdr>
    </w:div>
    <w:div w:id="1365523451">
      <w:bodyDiv w:val="1"/>
      <w:marLeft w:val="0"/>
      <w:marRight w:val="0"/>
      <w:marTop w:val="0"/>
      <w:marBottom w:val="0"/>
      <w:divBdr>
        <w:top w:val="none" w:sz="0" w:space="0" w:color="auto"/>
        <w:left w:val="none" w:sz="0" w:space="0" w:color="auto"/>
        <w:bottom w:val="none" w:sz="0" w:space="0" w:color="auto"/>
        <w:right w:val="none" w:sz="0" w:space="0" w:color="auto"/>
      </w:divBdr>
    </w:div>
    <w:div w:id="1581601427">
      <w:bodyDiv w:val="1"/>
      <w:marLeft w:val="0"/>
      <w:marRight w:val="0"/>
      <w:marTop w:val="0"/>
      <w:marBottom w:val="0"/>
      <w:divBdr>
        <w:top w:val="none" w:sz="0" w:space="0" w:color="auto"/>
        <w:left w:val="none" w:sz="0" w:space="0" w:color="auto"/>
        <w:bottom w:val="none" w:sz="0" w:space="0" w:color="auto"/>
        <w:right w:val="none" w:sz="0" w:space="0" w:color="auto"/>
      </w:divBdr>
    </w:div>
    <w:div w:id="1752002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9B3275-439A-C84C-8EA8-1BC0CBF4B3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14</Pages>
  <Words>17409</Words>
  <Characters>99234</Characters>
  <Application>Microsoft Office Word</Application>
  <DocSecurity>0</DocSecurity>
  <Lines>826</Lines>
  <Paragraphs>232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Shirin Mavandad</dc:creator>
  <cp:keywords/>
  <dc:description/>
  <cp:lastModifiedBy>Bodie Cabiyo</cp:lastModifiedBy>
  <cp:revision>7</cp:revision>
  <dcterms:created xsi:type="dcterms:W3CDTF">2025-06-06T06:43:00Z</dcterms:created>
  <dcterms:modified xsi:type="dcterms:W3CDTF">2025-06-06T23:12:00Z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zotero-version="7.0.15"&gt;&lt;session id="oKQdIr8G"/&gt;&lt;style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