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1806" w14:textId="77777777" w:rsidR="00C42C94" w:rsidRPr="00C42C94" w:rsidRDefault="00C42C94" w:rsidP="00C42C94">
      <w:pPr>
        <w:spacing w:line="360" w:lineRule="auto"/>
        <w:jc w:val="both"/>
        <w:rPr>
          <w:rFonts w:cstheme="minorHAnsi"/>
          <w:b/>
          <w:sz w:val="28"/>
          <w:szCs w:val="28"/>
          <w:lang w:val="en-CA"/>
        </w:rPr>
      </w:pPr>
      <w:r w:rsidRPr="00C42C94">
        <w:rPr>
          <w:rFonts w:cstheme="minorHAnsi"/>
          <w:b/>
          <w:sz w:val="28"/>
          <w:szCs w:val="28"/>
          <w:lang w:val="en-CA"/>
        </w:rPr>
        <w:t>Supplementary Material</w:t>
      </w:r>
    </w:p>
    <w:p w14:paraId="108990E6" w14:textId="77777777" w:rsidR="00C42C94" w:rsidRDefault="00C42C94" w:rsidP="00C42C94">
      <w:pPr>
        <w:jc w:val="center"/>
        <w:rPr>
          <w:rFonts w:cstheme="minorHAnsi"/>
          <w:b/>
          <w:sz w:val="32"/>
          <w:szCs w:val="32"/>
          <w:lang w:val="en-CA"/>
        </w:rPr>
      </w:pPr>
    </w:p>
    <w:p w14:paraId="08887EA1" w14:textId="6F420577" w:rsidR="000F3E28" w:rsidRPr="00794E5B" w:rsidRDefault="000F3E28" w:rsidP="000F3E28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794E5B">
        <w:rPr>
          <w:b/>
          <w:sz w:val="28"/>
          <w:szCs w:val="28"/>
          <w:lang w:val="en-US"/>
        </w:rPr>
        <w:t xml:space="preserve">Impacts of larval environment on </w:t>
      </w:r>
      <w:r w:rsidR="0044028F" w:rsidRPr="00794E5B">
        <w:rPr>
          <w:b/>
          <w:sz w:val="28"/>
          <w:szCs w:val="28"/>
          <w:lang w:val="en-US"/>
        </w:rPr>
        <w:t>the</w:t>
      </w:r>
      <w:r w:rsidRPr="00794E5B">
        <w:rPr>
          <w:b/>
          <w:sz w:val="28"/>
          <w:szCs w:val="28"/>
          <w:lang w:val="en-US"/>
        </w:rPr>
        <w:t xml:space="preserve"> </w:t>
      </w:r>
      <w:r w:rsidR="00321164">
        <w:rPr>
          <w:b/>
          <w:sz w:val="28"/>
          <w:szCs w:val="28"/>
          <w:lang w:val="en-US"/>
        </w:rPr>
        <w:t>adult</w:t>
      </w:r>
      <w:r w:rsidRPr="00794E5B">
        <w:rPr>
          <w:b/>
          <w:sz w:val="28"/>
          <w:szCs w:val="28"/>
          <w:lang w:val="en-US"/>
        </w:rPr>
        <w:t xml:space="preserve"> dispersal syndrome</w:t>
      </w:r>
    </w:p>
    <w:p w14:paraId="776EAD5E" w14:textId="77777777" w:rsidR="000F3E28" w:rsidRDefault="000F3E28" w:rsidP="000F3E28">
      <w:pPr>
        <w:spacing w:line="360" w:lineRule="auto"/>
        <w:jc w:val="both"/>
        <w:rPr>
          <w:lang w:val="en-US"/>
        </w:rPr>
      </w:pPr>
    </w:p>
    <w:p w14:paraId="6BFDE8E8" w14:textId="77777777" w:rsidR="000F3E28" w:rsidRPr="00FE4938" w:rsidRDefault="000F3E28" w:rsidP="000F3E28">
      <w:pPr>
        <w:spacing w:line="360" w:lineRule="auto"/>
        <w:jc w:val="both"/>
        <w:rPr>
          <w:sz w:val="24"/>
          <w:szCs w:val="24"/>
        </w:rPr>
      </w:pPr>
      <w:bookmarkStart w:id="0" w:name="_Hlk198298974"/>
      <w:r w:rsidRPr="00FE4938">
        <w:rPr>
          <w:sz w:val="24"/>
          <w:szCs w:val="24"/>
        </w:rPr>
        <w:t>Delphine Legrand</w:t>
      </w:r>
      <w:r w:rsidRPr="00FE4938">
        <w:rPr>
          <w:sz w:val="24"/>
          <w:szCs w:val="24"/>
          <w:vertAlign w:val="superscript"/>
        </w:rPr>
        <w:t>1</w:t>
      </w:r>
      <w:r w:rsidRPr="00FE4938">
        <w:rPr>
          <w:sz w:val="24"/>
          <w:szCs w:val="24"/>
        </w:rPr>
        <w:t>, Elise Mazé-Guilmo</w:t>
      </w:r>
      <w:r w:rsidRPr="00FE4938">
        <w:rPr>
          <w:sz w:val="24"/>
          <w:szCs w:val="24"/>
          <w:vertAlign w:val="superscript"/>
        </w:rPr>
        <w:t>1</w:t>
      </w:r>
      <w:r w:rsidRPr="00FE4938">
        <w:rPr>
          <w:sz w:val="24"/>
          <w:szCs w:val="24"/>
        </w:rPr>
        <w:t>, Fabien Aubret</w:t>
      </w:r>
      <w:r w:rsidRPr="00FE4938">
        <w:rPr>
          <w:sz w:val="24"/>
          <w:szCs w:val="24"/>
          <w:vertAlign w:val="superscript"/>
        </w:rPr>
        <w:t>1,2</w:t>
      </w:r>
      <w:r w:rsidRPr="00FE4938">
        <w:rPr>
          <w:sz w:val="24"/>
          <w:szCs w:val="24"/>
        </w:rPr>
        <w:t>, Michel Baguette</w:t>
      </w:r>
      <w:r w:rsidRPr="00FE4938">
        <w:rPr>
          <w:sz w:val="24"/>
          <w:szCs w:val="24"/>
          <w:vertAlign w:val="superscript"/>
        </w:rPr>
        <w:t>1,3</w:t>
      </w:r>
      <w:r w:rsidRPr="00FE4938">
        <w:rPr>
          <w:sz w:val="24"/>
          <w:szCs w:val="24"/>
        </w:rPr>
        <w:t>, Julien Cote</w:t>
      </w:r>
      <w:r w:rsidRPr="00FE4938">
        <w:rPr>
          <w:sz w:val="24"/>
          <w:szCs w:val="24"/>
          <w:vertAlign w:val="superscript"/>
        </w:rPr>
        <w:t>1,4</w:t>
      </w:r>
    </w:p>
    <w:bookmarkEnd w:id="0"/>
    <w:p w14:paraId="35EE3633" w14:textId="77777777" w:rsidR="00DB04AB" w:rsidRPr="0070205B" w:rsidRDefault="00DB04AB" w:rsidP="00DB04AB">
      <w:pPr>
        <w:spacing w:line="360" w:lineRule="auto"/>
        <w:jc w:val="both"/>
        <w:rPr>
          <w:sz w:val="18"/>
          <w:szCs w:val="18"/>
        </w:rPr>
      </w:pPr>
      <w:r w:rsidRPr="0070205B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70205B">
        <w:rPr>
          <w:sz w:val="18"/>
          <w:szCs w:val="18"/>
        </w:rPr>
        <w:t>Centre National de la Recherche Scientifique (CNRS), Station d’Ecologie Théorique et Expérimentale (SETE), UAR2029, 2 route du CNRS, 09200, Moulis, France</w:t>
      </w:r>
    </w:p>
    <w:p w14:paraId="0EA21F84" w14:textId="77777777" w:rsidR="00DB04AB" w:rsidRPr="0070205B" w:rsidRDefault="00DB04AB" w:rsidP="00DB04AB">
      <w:pPr>
        <w:spacing w:line="360" w:lineRule="auto"/>
        <w:jc w:val="both"/>
        <w:rPr>
          <w:sz w:val="18"/>
          <w:szCs w:val="18"/>
          <w:lang w:val="en-US"/>
        </w:rPr>
      </w:pPr>
      <w:r w:rsidRPr="0070205B">
        <w:rPr>
          <w:sz w:val="18"/>
          <w:szCs w:val="18"/>
          <w:vertAlign w:val="superscript"/>
          <w:lang w:val="en-US"/>
        </w:rPr>
        <w:t>2</w:t>
      </w:r>
      <w:r>
        <w:rPr>
          <w:sz w:val="18"/>
          <w:szCs w:val="18"/>
          <w:vertAlign w:val="superscript"/>
          <w:lang w:val="en-US"/>
        </w:rPr>
        <w:t xml:space="preserve"> </w:t>
      </w:r>
      <w:r w:rsidRPr="0070205B">
        <w:rPr>
          <w:sz w:val="18"/>
          <w:szCs w:val="18"/>
          <w:lang w:val="en-US"/>
        </w:rPr>
        <w:t>School of Agricultural, Environmental and Veterinary Sciences, Charles Sturt University, Port</w:t>
      </w:r>
    </w:p>
    <w:p w14:paraId="7C9FCE63" w14:textId="77777777" w:rsidR="00DB04AB" w:rsidRPr="0070205B" w:rsidRDefault="00DB04AB" w:rsidP="00DB04AB">
      <w:pPr>
        <w:spacing w:line="360" w:lineRule="auto"/>
        <w:jc w:val="both"/>
        <w:rPr>
          <w:sz w:val="18"/>
          <w:szCs w:val="18"/>
        </w:rPr>
      </w:pPr>
      <w:proofErr w:type="spellStart"/>
      <w:r w:rsidRPr="0070205B">
        <w:rPr>
          <w:sz w:val="18"/>
          <w:szCs w:val="18"/>
        </w:rPr>
        <w:t>Macquarie</w:t>
      </w:r>
      <w:proofErr w:type="spellEnd"/>
      <w:r w:rsidRPr="0070205B">
        <w:rPr>
          <w:sz w:val="18"/>
          <w:szCs w:val="18"/>
        </w:rPr>
        <w:t xml:space="preserve">, NSW 2444, </w:t>
      </w:r>
      <w:proofErr w:type="spellStart"/>
      <w:r w:rsidRPr="0070205B">
        <w:rPr>
          <w:sz w:val="18"/>
          <w:szCs w:val="18"/>
        </w:rPr>
        <w:t>Australia</w:t>
      </w:r>
      <w:proofErr w:type="spellEnd"/>
    </w:p>
    <w:p w14:paraId="19BD9817" w14:textId="77777777" w:rsidR="00DB04AB" w:rsidRPr="0070205B" w:rsidRDefault="00DB04AB" w:rsidP="00DB04AB">
      <w:pPr>
        <w:spacing w:line="360" w:lineRule="auto"/>
        <w:jc w:val="both"/>
        <w:rPr>
          <w:sz w:val="18"/>
          <w:szCs w:val="18"/>
        </w:rPr>
      </w:pPr>
      <w:r w:rsidRPr="0070205B">
        <w:rPr>
          <w:sz w:val="18"/>
          <w:szCs w:val="18"/>
          <w:vertAlign w:val="superscript"/>
        </w:rPr>
        <w:t>3</w:t>
      </w:r>
      <w:r>
        <w:rPr>
          <w:sz w:val="18"/>
          <w:szCs w:val="18"/>
          <w:vertAlign w:val="superscript"/>
        </w:rPr>
        <w:t xml:space="preserve"> </w:t>
      </w:r>
      <w:r w:rsidRPr="0070205B">
        <w:rPr>
          <w:sz w:val="18"/>
          <w:szCs w:val="18"/>
        </w:rPr>
        <w:t>Institut Systématique, Évolution, Biodiversité (ISEB), UMR 7205, Museum National d’Histoire Naturelle (MNHN) – Centre National de la Recherche Scientifique (CNRS) – Sorbonne Université – École Pratique des Hautes Études (EPHE) – Université des Antilles, F-75005, Paris, France</w:t>
      </w:r>
    </w:p>
    <w:p w14:paraId="19806208" w14:textId="2CE0C827" w:rsidR="00DB04AB" w:rsidRDefault="00DB04AB" w:rsidP="00DB04AB">
      <w:pPr>
        <w:spacing w:line="360" w:lineRule="auto"/>
        <w:jc w:val="both"/>
        <w:rPr>
          <w:sz w:val="18"/>
          <w:szCs w:val="18"/>
        </w:rPr>
      </w:pPr>
      <w:r w:rsidRPr="0070205B">
        <w:rPr>
          <w:sz w:val="18"/>
          <w:szCs w:val="18"/>
          <w:vertAlign w:val="superscript"/>
        </w:rPr>
        <w:t>4</w:t>
      </w:r>
      <w:r>
        <w:rPr>
          <w:sz w:val="18"/>
          <w:szCs w:val="18"/>
          <w:vertAlign w:val="superscript"/>
        </w:rPr>
        <w:t xml:space="preserve"> </w:t>
      </w:r>
      <w:r w:rsidRPr="0070205B">
        <w:rPr>
          <w:sz w:val="18"/>
          <w:szCs w:val="18"/>
        </w:rPr>
        <w:t xml:space="preserve">Centre National de la Recherche Scientifique (CNRS), Institut de Recherche pour le Développement (IRD), Institut National Polytechnique de Toulouse (TINP), Université Toulouse 3 (UT3), Centre de Recherche sur la Biodiversité et l'Environnement (CRBE), UMR 5300, 31062, Toulouse Cedex 9, </w:t>
      </w:r>
      <w:r w:rsidR="005E0B47">
        <w:rPr>
          <w:sz w:val="18"/>
          <w:szCs w:val="18"/>
        </w:rPr>
        <w:t>France</w:t>
      </w:r>
    </w:p>
    <w:p w14:paraId="26877A5B" w14:textId="466B4301" w:rsidR="005E0B47" w:rsidRDefault="005E0B47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bookmarkStart w:id="1" w:name="_GoBack"/>
      <w:bookmarkEnd w:id="1"/>
    </w:p>
    <w:p w14:paraId="1BF6581B" w14:textId="127A901D" w:rsidR="005E0B47" w:rsidRPr="0070205B" w:rsidRDefault="00707EB9" w:rsidP="00DB04AB">
      <w:pPr>
        <w:spacing w:line="360" w:lineRule="auto"/>
        <w:jc w:val="both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429D680" wp14:editId="14CC11EA">
            <wp:simplePos x="0" y="0"/>
            <wp:positionH relativeFrom="column">
              <wp:posOffset>3302635</wp:posOffset>
            </wp:positionH>
            <wp:positionV relativeFrom="paragraph">
              <wp:posOffset>-423545</wp:posOffset>
            </wp:positionV>
            <wp:extent cx="2990496" cy="2559685"/>
            <wp:effectExtent l="0" t="0" r="63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96" cy="25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5E67A6B9" wp14:editId="58AA44D7">
            <wp:simplePos x="0" y="0"/>
            <wp:positionH relativeFrom="column">
              <wp:posOffset>-721360</wp:posOffset>
            </wp:positionH>
            <wp:positionV relativeFrom="paragraph">
              <wp:posOffset>-366395</wp:posOffset>
            </wp:positionV>
            <wp:extent cx="3851363" cy="268795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363" cy="268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CEC91" w14:textId="485522F7" w:rsidR="00C42C94" w:rsidRPr="00C42C94" w:rsidRDefault="00C42C94"/>
    <w:p w14:paraId="646C39E2" w14:textId="77777777" w:rsidR="00C42C94" w:rsidRPr="00C42C94" w:rsidRDefault="00C42C94"/>
    <w:p w14:paraId="26F590AF" w14:textId="77777777" w:rsidR="00C42C94" w:rsidRPr="00C42C94" w:rsidRDefault="00C42C94"/>
    <w:p w14:paraId="35BC4D89" w14:textId="77777777" w:rsidR="00C42C94" w:rsidRPr="00C42C94" w:rsidRDefault="00C42C94"/>
    <w:p w14:paraId="13F750F2" w14:textId="77777777" w:rsidR="00C42C94" w:rsidRPr="00C42C94" w:rsidRDefault="00C42C94"/>
    <w:p w14:paraId="11E91508" w14:textId="77777777" w:rsidR="00C42C94" w:rsidRPr="00C42C94" w:rsidRDefault="00C42C94"/>
    <w:p w14:paraId="35D88177" w14:textId="77777777" w:rsidR="00C42C94" w:rsidRPr="00C42C94" w:rsidRDefault="00C42C94"/>
    <w:p w14:paraId="4DEB767D" w14:textId="77777777" w:rsidR="00C42C94" w:rsidRPr="00C42C94" w:rsidRDefault="00C42C94"/>
    <w:p w14:paraId="5D2D8575" w14:textId="77777777" w:rsidR="00C42C94" w:rsidRPr="00C42C94" w:rsidRDefault="00C42C94"/>
    <w:p w14:paraId="3665B07F" w14:textId="77777777" w:rsidR="00C42C94" w:rsidRPr="00C42C94" w:rsidRDefault="00C42C94"/>
    <w:p w14:paraId="7630CD8D" w14:textId="77777777" w:rsidR="00C42C94" w:rsidRPr="00C42C94" w:rsidRDefault="00C42C94"/>
    <w:p w14:paraId="494A9D1F" w14:textId="77777777" w:rsidR="00C42C94" w:rsidRPr="00C42C94" w:rsidRDefault="00C42C94"/>
    <w:p w14:paraId="4E7A94B0" w14:textId="77777777" w:rsidR="00C42C94" w:rsidRPr="00C42C94" w:rsidRDefault="00C42C94"/>
    <w:p w14:paraId="4FA70964" w14:textId="77777777" w:rsidR="00C42C94" w:rsidRPr="00C42C94" w:rsidRDefault="00C42C94"/>
    <w:p w14:paraId="562018EB" w14:textId="620494A6" w:rsidR="00C42C94" w:rsidRPr="00C42C94" w:rsidRDefault="00C42C94"/>
    <w:p w14:paraId="2868D62D" w14:textId="2B57FB63" w:rsidR="00C42C94" w:rsidRPr="00C42C94" w:rsidRDefault="005B2B8A">
      <w:r>
        <w:rPr>
          <w:noProof/>
        </w:rPr>
        <w:drawing>
          <wp:anchor distT="0" distB="0" distL="114300" distR="114300" simplePos="0" relativeHeight="251667456" behindDoc="0" locked="0" layoutInCell="1" allowOverlap="1" wp14:anchorId="34839221" wp14:editId="2AD44F86">
            <wp:simplePos x="0" y="0"/>
            <wp:positionH relativeFrom="column">
              <wp:posOffset>748030</wp:posOffset>
            </wp:positionH>
            <wp:positionV relativeFrom="paragraph">
              <wp:posOffset>6985</wp:posOffset>
            </wp:positionV>
            <wp:extent cx="5093335" cy="2905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D37EA" w14:textId="6D387E73" w:rsidR="00C42C94" w:rsidRPr="00C42C94" w:rsidRDefault="00C42C94"/>
    <w:p w14:paraId="1F86F55C" w14:textId="186FEC4F" w:rsidR="00C42C94" w:rsidRPr="00C42C94" w:rsidRDefault="00C42C94"/>
    <w:p w14:paraId="177F8CBC" w14:textId="77777777" w:rsidR="00C42C94" w:rsidRPr="00C42C94" w:rsidRDefault="00C42C94"/>
    <w:p w14:paraId="1346D8A0" w14:textId="5485B008" w:rsidR="00C42C94" w:rsidRPr="00C42C94" w:rsidRDefault="00C42C94"/>
    <w:p w14:paraId="1FF11AD0" w14:textId="5004454B" w:rsidR="00C42C94" w:rsidRPr="00C42C94" w:rsidRDefault="00C42C94"/>
    <w:p w14:paraId="7F9E693D" w14:textId="4ABB4BF6" w:rsidR="00C42C94" w:rsidRPr="00C42C94" w:rsidRDefault="00C42C94"/>
    <w:p w14:paraId="7B383487" w14:textId="4D5FC23C" w:rsidR="000F3E28" w:rsidRPr="00DB04AB" w:rsidRDefault="000F3E28"/>
    <w:p w14:paraId="36442A7C" w14:textId="3A24B978" w:rsidR="000F3E28" w:rsidRPr="00DB04AB" w:rsidRDefault="000F3E28"/>
    <w:p w14:paraId="701EB23B" w14:textId="3634111C" w:rsidR="000F3E28" w:rsidRPr="00DB04AB" w:rsidRDefault="000F3E28"/>
    <w:p w14:paraId="64A883CF" w14:textId="77777777" w:rsidR="000F3E28" w:rsidRPr="00DB04AB" w:rsidRDefault="000F3E28"/>
    <w:p w14:paraId="2FD57823" w14:textId="77777777" w:rsidR="000F3E28" w:rsidRPr="00DB04AB" w:rsidRDefault="000F3E28"/>
    <w:p w14:paraId="2B6EABAF" w14:textId="77777777" w:rsidR="000F3E28" w:rsidRPr="00DB04AB" w:rsidRDefault="000F3E28"/>
    <w:p w14:paraId="4FBD31AA" w14:textId="77777777" w:rsidR="000F3E28" w:rsidRPr="00DB04AB" w:rsidRDefault="000F3E28"/>
    <w:p w14:paraId="28271F7A" w14:textId="77777777" w:rsidR="000F3E28" w:rsidRPr="00DB04AB" w:rsidRDefault="000F3E28"/>
    <w:p w14:paraId="7FEF4131" w14:textId="77777777" w:rsidR="000F3E28" w:rsidRPr="00DB04AB" w:rsidRDefault="000F3E28"/>
    <w:p w14:paraId="18A4E5A5" w14:textId="77777777" w:rsidR="000F3E28" w:rsidRPr="00DB04AB" w:rsidRDefault="000F3E28"/>
    <w:p w14:paraId="090AB3B3" w14:textId="77777777" w:rsidR="000F3E28" w:rsidRPr="00DB04AB" w:rsidRDefault="000F3E28"/>
    <w:p w14:paraId="7A9C9BD0" w14:textId="77777777" w:rsidR="000F3E28" w:rsidRPr="00DB04AB" w:rsidRDefault="000F3E28"/>
    <w:p w14:paraId="4D8D520C" w14:textId="389DEF3B" w:rsidR="005E0B47" w:rsidRDefault="004D7AC3">
      <w:pPr>
        <w:rPr>
          <w:lang w:val="en-US"/>
        </w:rPr>
      </w:pPr>
      <w:r w:rsidRPr="004D7AC3">
        <w:rPr>
          <w:lang w:val="en-US"/>
        </w:rPr>
        <w:t xml:space="preserve">Figure S1: </w:t>
      </w:r>
      <w:r w:rsidR="005B2B8A">
        <w:rPr>
          <w:lang w:val="en-US"/>
        </w:rPr>
        <w:t>Relationships between the caterpillar variables obtained in the double arena test</w:t>
      </w:r>
      <w:r w:rsidR="000F3E28">
        <w:rPr>
          <w:lang w:val="en-US"/>
        </w:rPr>
        <w:t xml:space="preserve">. A) </w:t>
      </w:r>
      <w:r>
        <w:rPr>
          <w:lang w:val="en-US"/>
        </w:rPr>
        <w:t>Pearson c</w:t>
      </w:r>
      <w:r w:rsidRPr="004D7AC3">
        <w:rPr>
          <w:lang w:val="en-US"/>
        </w:rPr>
        <w:t>orrelation matrix</w:t>
      </w:r>
      <w:r w:rsidR="000F3E28">
        <w:rPr>
          <w:lang w:val="en-US"/>
        </w:rPr>
        <w:t>, c</w:t>
      </w:r>
      <w:r>
        <w:rPr>
          <w:lang w:val="en-US"/>
        </w:rPr>
        <w:t>orrelation coefficient</w:t>
      </w:r>
      <w:r w:rsidR="000F3E28">
        <w:rPr>
          <w:lang w:val="en-US"/>
        </w:rPr>
        <w:t>s</w:t>
      </w:r>
      <w:r>
        <w:rPr>
          <w:lang w:val="en-US"/>
        </w:rPr>
        <w:t xml:space="preserve"> are indicated </w:t>
      </w:r>
      <w:r w:rsidR="000F3E28">
        <w:rPr>
          <w:lang w:val="en-US"/>
        </w:rPr>
        <w:t xml:space="preserve">in each case </w:t>
      </w:r>
      <w:r>
        <w:rPr>
          <w:lang w:val="en-US"/>
        </w:rPr>
        <w:t xml:space="preserve">and significant values </w:t>
      </w:r>
      <w:r w:rsidR="000F3E28">
        <w:rPr>
          <w:lang w:val="en-US"/>
        </w:rPr>
        <w:t xml:space="preserve">at a 0.05 threshold </w:t>
      </w:r>
      <w:r>
        <w:rPr>
          <w:lang w:val="en-US"/>
        </w:rPr>
        <w:t>have a</w:t>
      </w:r>
      <w:r w:rsidR="005B2B8A">
        <w:rPr>
          <w:lang w:val="en-US"/>
        </w:rPr>
        <w:t xml:space="preserve"> double</w:t>
      </w:r>
      <w:r>
        <w:rPr>
          <w:lang w:val="en-US"/>
        </w:rPr>
        <w:t xml:space="preserve"> asterisk.</w:t>
      </w:r>
      <w:r w:rsidR="000F3E28">
        <w:rPr>
          <w:lang w:val="en-US"/>
        </w:rPr>
        <w:t xml:space="preserve"> B) </w:t>
      </w:r>
      <w:r w:rsidR="005B2B8A">
        <w:rPr>
          <w:lang w:val="en-US"/>
        </w:rPr>
        <w:t xml:space="preserve">Contribution of each </w:t>
      </w:r>
      <w:r w:rsidR="0011481A">
        <w:rPr>
          <w:lang w:val="en-US"/>
        </w:rPr>
        <w:t xml:space="preserve">these </w:t>
      </w:r>
      <w:r w:rsidR="005B2B8A">
        <w:rPr>
          <w:lang w:val="en-US"/>
        </w:rPr>
        <w:t>caterpillar variable</w:t>
      </w:r>
      <w:r w:rsidR="0011481A">
        <w:rPr>
          <w:lang w:val="en-US"/>
        </w:rPr>
        <w:t>s</w:t>
      </w:r>
      <w:r w:rsidR="005B2B8A">
        <w:rPr>
          <w:lang w:val="en-US"/>
        </w:rPr>
        <w:t xml:space="preserve"> on the two first axes of a PCA</w:t>
      </w:r>
      <w:r w:rsidR="0011481A">
        <w:rPr>
          <w:lang w:val="en-US"/>
        </w:rPr>
        <w:t xml:space="preserve"> (accounting for 60% of the total variance). </w:t>
      </w:r>
      <w:r w:rsidR="000F3E28">
        <w:rPr>
          <w:lang w:val="en-US"/>
        </w:rPr>
        <w:t>C)</w:t>
      </w:r>
      <w:r w:rsidR="0011481A">
        <w:rPr>
          <w:lang w:val="en-US"/>
        </w:rPr>
        <w:t xml:space="preserve"> Position of each individual as a function of these two first axes, with individuals having explored the second arena in red and the others in blue.</w:t>
      </w:r>
    </w:p>
    <w:p w14:paraId="06980307" w14:textId="10B8CE2E" w:rsidR="005E0B47" w:rsidRDefault="005E0B47">
      <w:pPr>
        <w:rPr>
          <w:lang w:val="en-US"/>
        </w:rPr>
      </w:pPr>
    </w:p>
    <w:p w14:paraId="1CCA7BC0" w14:textId="1EFA41B4" w:rsidR="005E0B47" w:rsidRDefault="005E0B47">
      <w:pPr>
        <w:rPr>
          <w:lang w:val="en-US"/>
        </w:rPr>
      </w:pPr>
      <w:r>
        <w:rPr>
          <w:lang w:val="en-US"/>
        </w:rPr>
        <w:br w:type="page"/>
      </w:r>
    </w:p>
    <w:p w14:paraId="01B75EC7" w14:textId="4F1F1665" w:rsidR="005E0B47" w:rsidRPr="004D7AC3" w:rsidRDefault="005B5423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4CCF3EAF" wp14:editId="4FFCDE59">
            <wp:simplePos x="0" y="0"/>
            <wp:positionH relativeFrom="margin">
              <wp:posOffset>3176905</wp:posOffset>
            </wp:positionH>
            <wp:positionV relativeFrom="paragraph">
              <wp:posOffset>-566420</wp:posOffset>
            </wp:positionV>
            <wp:extent cx="3138579" cy="2672727"/>
            <wp:effectExtent l="0" t="0" r="508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579" cy="2672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60B73DE9" wp14:editId="71008BBD">
            <wp:simplePos x="0" y="0"/>
            <wp:positionH relativeFrom="column">
              <wp:posOffset>-623570</wp:posOffset>
            </wp:positionH>
            <wp:positionV relativeFrom="paragraph">
              <wp:posOffset>-566420</wp:posOffset>
            </wp:positionV>
            <wp:extent cx="3503540" cy="2800350"/>
            <wp:effectExtent l="0" t="0" r="190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4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BECC3" w14:textId="2F8DA1DA" w:rsidR="000F3E28" w:rsidRDefault="000F3E28">
      <w:pPr>
        <w:rPr>
          <w:lang w:val="en-US"/>
        </w:rPr>
      </w:pPr>
    </w:p>
    <w:p w14:paraId="0336DEB8" w14:textId="0AA3BCBD" w:rsidR="000F3E28" w:rsidRDefault="000F3E28">
      <w:pPr>
        <w:rPr>
          <w:lang w:val="en-US"/>
        </w:rPr>
      </w:pPr>
    </w:p>
    <w:p w14:paraId="6B0ADF34" w14:textId="3E50823E" w:rsidR="000F3E28" w:rsidRDefault="000F3E28">
      <w:pPr>
        <w:rPr>
          <w:lang w:val="en-US"/>
        </w:rPr>
      </w:pPr>
    </w:p>
    <w:p w14:paraId="1B21CE19" w14:textId="67453DD4" w:rsidR="000F3E28" w:rsidRDefault="000F3E28">
      <w:pPr>
        <w:rPr>
          <w:lang w:val="en-US"/>
        </w:rPr>
      </w:pPr>
    </w:p>
    <w:p w14:paraId="7AEC5764" w14:textId="04143B49" w:rsidR="000F3E28" w:rsidRDefault="000F3E28">
      <w:pPr>
        <w:rPr>
          <w:lang w:val="en-US"/>
        </w:rPr>
      </w:pPr>
    </w:p>
    <w:p w14:paraId="57E18E03" w14:textId="77777777" w:rsidR="000F3E28" w:rsidRDefault="000F3E28">
      <w:pPr>
        <w:rPr>
          <w:lang w:val="en-US"/>
        </w:rPr>
      </w:pPr>
    </w:p>
    <w:p w14:paraId="0311FE82" w14:textId="77777777" w:rsidR="000F3E28" w:rsidRDefault="000F3E28">
      <w:pPr>
        <w:rPr>
          <w:lang w:val="en-US"/>
        </w:rPr>
      </w:pPr>
    </w:p>
    <w:p w14:paraId="645D668A" w14:textId="77777777" w:rsidR="000F3E28" w:rsidRDefault="000F3E28">
      <w:pPr>
        <w:rPr>
          <w:lang w:val="en-US"/>
        </w:rPr>
      </w:pPr>
    </w:p>
    <w:p w14:paraId="6E33A781" w14:textId="77777777" w:rsidR="000F3E28" w:rsidRDefault="000F3E28">
      <w:pPr>
        <w:rPr>
          <w:lang w:val="en-US"/>
        </w:rPr>
      </w:pPr>
    </w:p>
    <w:p w14:paraId="4EADFBDE" w14:textId="77777777" w:rsidR="000F3E28" w:rsidRDefault="000F3E28">
      <w:pPr>
        <w:rPr>
          <w:lang w:val="en-US"/>
        </w:rPr>
      </w:pPr>
    </w:p>
    <w:p w14:paraId="03A4652B" w14:textId="2457018F" w:rsidR="000F3E28" w:rsidRDefault="000F3E28">
      <w:pPr>
        <w:rPr>
          <w:lang w:val="en-US"/>
        </w:rPr>
      </w:pPr>
    </w:p>
    <w:p w14:paraId="54C9DD37" w14:textId="577C3F27" w:rsidR="000F3E28" w:rsidRDefault="000F3E28">
      <w:pPr>
        <w:rPr>
          <w:lang w:val="en-US"/>
        </w:rPr>
      </w:pPr>
    </w:p>
    <w:p w14:paraId="5F386277" w14:textId="38E385C5" w:rsidR="000F3E28" w:rsidRDefault="00A2456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1CD6DD7" wp14:editId="4BFD5DA7">
            <wp:simplePos x="0" y="0"/>
            <wp:positionH relativeFrom="column">
              <wp:posOffset>948055</wp:posOffset>
            </wp:positionH>
            <wp:positionV relativeFrom="paragraph">
              <wp:posOffset>8890</wp:posOffset>
            </wp:positionV>
            <wp:extent cx="3962400" cy="2314786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14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6671E" w14:textId="6087EC5F" w:rsidR="000F3E28" w:rsidRDefault="000F3E28">
      <w:pPr>
        <w:rPr>
          <w:lang w:val="en-US"/>
        </w:rPr>
      </w:pPr>
    </w:p>
    <w:p w14:paraId="094EB55B" w14:textId="1CF6560D" w:rsidR="000F3E28" w:rsidRDefault="000F3E28">
      <w:pPr>
        <w:rPr>
          <w:lang w:val="en-US"/>
        </w:rPr>
      </w:pPr>
    </w:p>
    <w:p w14:paraId="2B90142A" w14:textId="77777777" w:rsidR="000F3E28" w:rsidRDefault="000F3E28">
      <w:pPr>
        <w:rPr>
          <w:lang w:val="en-US"/>
        </w:rPr>
      </w:pPr>
    </w:p>
    <w:p w14:paraId="51625A43" w14:textId="7DBDAB76" w:rsidR="000F3E28" w:rsidRDefault="000F3E28">
      <w:pPr>
        <w:rPr>
          <w:lang w:val="en-US"/>
        </w:rPr>
      </w:pPr>
    </w:p>
    <w:p w14:paraId="452D8F5C" w14:textId="3C202643" w:rsidR="000F3E28" w:rsidRDefault="000F3E28">
      <w:pPr>
        <w:rPr>
          <w:lang w:val="en-US"/>
        </w:rPr>
      </w:pPr>
    </w:p>
    <w:p w14:paraId="7FE1A026" w14:textId="1D629B27" w:rsidR="000F3E28" w:rsidRDefault="000F3E28">
      <w:pPr>
        <w:rPr>
          <w:lang w:val="en-US"/>
        </w:rPr>
      </w:pPr>
    </w:p>
    <w:p w14:paraId="0DC9C8F2" w14:textId="13D4DAB2" w:rsidR="000F3E28" w:rsidRDefault="000F3E28">
      <w:pPr>
        <w:rPr>
          <w:lang w:val="en-US"/>
        </w:rPr>
      </w:pPr>
    </w:p>
    <w:p w14:paraId="112E9833" w14:textId="6D2105E8" w:rsidR="000F3E28" w:rsidRDefault="000F3E28">
      <w:pPr>
        <w:rPr>
          <w:lang w:val="en-US"/>
        </w:rPr>
      </w:pPr>
    </w:p>
    <w:p w14:paraId="43919D6A" w14:textId="4A571BC9" w:rsidR="000F3E28" w:rsidRDefault="000F3E28">
      <w:pPr>
        <w:rPr>
          <w:lang w:val="en-US"/>
        </w:rPr>
      </w:pPr>
    </w:p>
    <w:p w14:paraId="4450D0E3" w14:textId="24A31B95" w:rsidR="000F3E28" w:rsidRDefault="000F3E28">
      <w:pPr>
        <w:rPr>
          <w:lang w:val="en-US"/>
        </w:rPr>
      </w:pPr>
    </w:p>
    <w:p w14:paraId="6B6A6516" w14:textId="2E296618" w:rsidR="000F3E28" w:rsidRDefault="000F3E28">
      <w:pPr>
        <w:rPr>
          <w:lang w:val="en-US"/>
        </w:rPr>
      </w:pPr>
    </w:p>
    <w:p w14:paraId="6BB4E7EA" w14:textId="77777777" w:rsidR="000F3E28" w:rsidRDefault="000F3E28">
      <w:pPr>
        <w:rPr>
          <w:lang w:val="en-US"/>
        </w:rPr>
      </w:pPr>
    </w:p>
    <w:p w14:paraId="1631DDA4" w14:textId="42DD8E80" w:rsidR="000F3E28" w:rsidRDefault="00A2456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5EEE733D" wp14:editId="38197F69">
            <wp:simplePos x="0" y="0"/>
            <wp:positionH relativeFrom="margin">
              <wp:posOffset>1052830</wp:posOffset>
            </wp:positionH>
            <wp:positionV relativeFrom="paragraph">
              <wp:posOffset>42545</wp:posOffset>
            </wp:positionV>
            <wp:extent cx="4165600" cy="2489835"/>
            <wp:effectExtent l="0" t="0" r="6350" b="571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0AA22" w14:textId="51EB16FB" w:rsidR="000F3E28" w:rsidRDefault="000F3E28">
      <w:pPr>
        <w:rPr>
          <w:lang w:val="en-US"/>
        </w:rPr>
      </w:pPr>
    </w:p>
    <w:p w14:paraId="245B8DC1" w14:textId="3723113F" w:rsidR="000F3E28" w:rsidRDefault="000F3E28">
      <w:pPr>
        <w:rPr>
          <w:lang w:val="en-US"/>
        </w:rPr>
      </w:pPr>
    </w:p>
    <w:p w14:paraId="6759EFD1" w14:textId="36FEF222" w:rsidR="000F3E28" w:rsidRDefault="000F3E28">
      <w:pPr>
        <w:rPr>
          <w:lang w:val="en-US"/>
        </w:rPr>
      </w:pPr>
    </w:p>
    <w:p w14:paraId="00520271" w14:textId="74527F2F" w:rsidR="000F3E28" w:rsidRDefault="000F3E28">
      <w:pPr>
        <w:rPr>
          <w:lang w:val="en-US"/>
        </w:rPr>
      </w:pPr>
    </w:p>
    <w:p w14:paraId="65345089" w14:textId="259A82F3" w:rsidR="000F3E28" w:rsidRDefault="000F3E28">
      <w:pPr>
        <w:rPr>
          <w:lang w:val="en-US"/>
        </w:rPr>
      </w:pPr>
    </w:p>
    <w:p w14:paraId="23028D69" w14:textId="33A77A34" w:rsidR="000F3E28" w:rsidRDefault="000F3E28">
      <w:pPr>
        <w:rPr>
          <w:lang w:val="en-US"/>
        </w:rPr>
      </w:pPr>
    </w:p>
    <w:p w14:paraId="33F7BDC0" w14:textId="73CEE20C" w:rsidR="000F3E28" w:rsidRDefault="000F3E28">
      <w:pPr>
        <w:rPr>
          <w:lang w:val="en-US"/>
        </w:rPr>
      </w:pPr>
    </w:p>
    <w:p w14:paraId="423748F7" w14:textId="77777777" w:rsidR="000F3E28" w:rsidRDefault="000F3E28">
      <w:pPr>
        <w:rPr>
          <w:lang w:val="en-US"/>
        </w:rPr>
      </w:pPr>
    </w:p>
    <w:p w14:paraId="5DF6F9E1" w14:textId="77777777" w:rsidR="000F3E28" w:rsidRDefault="000F3E28">
      <w:pPr>
        <w:rPr>
          <w:lang w:val="en-US"/>
        </w:rPr>
      </w:pPr>
    </w:p>
    <w:p w14:paraId="66DD17E2" w14:textId="77777777" w:rsidR="000F3E28" w:rsidRDefault="000F3E28">
      <w:pPr>
        <w:rPr>
          <w:lang w:val="en-US"/>
        </w:rPr>
      </w:pPr>
    </w:p>
    <w:p w14:paraId="4AEA2F90" w14:textId="77777777" w:rsidR="000F3E28" w:rsidRDefault="000F3E28">
      <w:pPr>
        <w:rPr>
          <w:lang w:val="en-US"/>
        </w:rPr>
      </w:pPr>
    </w:p>
    <w:p w14:paraId="152F87D3" w14:textId="77777777" w:rsidR="00A1797C" w:rsidRDefault="00A1797C">
      <w:pPr>
        <w:rPr>
          <w:lang w:val="en-US"/>
        </w:rPr>
      </w:pPr>
    </w:p>
    <w:p w14:paraId="5B7A5B54" w14:textId="77777777" w:rsidR="000F3E28" w:rsidRDefault="000F3E28">
      <w:pPr>
        <w:rPr>
          <w:lang w:val="en-US"/>
        </w:rPr>
      </w:pPr>
    </w:p>
    <w:p w14:paraId="000E8FC5" w14:textId="77777777" w:rsidR="000F3E28" w:rsidRDefault="000F3E28">
      <w:pPr>
        <w:rPr>
          <w:lang w:val="en-US"/>
        </w:rPr>
      </w:pPr>
    </w:p>
    <w:p w14:paraId="0D234186" w14:textId="029DC801" w:rsidR="00A24569" w:rsidRPr="004D7AC3" w:rsidRDefault="000F3E28" w:rsidP="00A24569">
      <w:pPr>
        <w:rPr>
          <w:lang w:val="en-US"/>
        </w:rPr>
      </w:pPr>
      <w:r>
        <w:rPr>
          <w:lang w:val="en-US"/>
        </w:rPr>
        <w:t xml:space="preserve">Figure S2: </w:t>
      </w:r>
      <w:r w:rsidR="00A24569">
        <w:rPr>
          <w:lang w:val="en-US"/>
        </w:rPr>
        <w:t>Relationships between the tunnel variables. A) Pearson c</w:t>
      </w:r>
      <w:r w:rsidR="00A24569" w:rsidRPr="004D7AC3">
        <w:rPr>
          <w:lang w:val="en-US"/>
        </w:rPr>
        <w:t>orrelation matrix</w:t>
      </w:r>
      <w:r w:rsidR="00A24569">
        <w:rPr>
          <w:lang w:val="en-US"/>
        </w:rPr>
        <w:t>, correlation coefficients are indicated in each case, significant values at a 0.05 and 0.1 threshold have a double and simple asterisk respectively. B) Contribution of each tunnel variable to the two first axes of a PCA (accounting for 58% of the total variance). C) Position of each individual as a function of these two first axes, with individuals having crossed the tunnel in blue and the others in red.</w:t>
      </w:r>
      <w:r w:rsidR="00A24569" w:rsidRPr="00A24569">
        <w:rPr>
          <w:lang w:val="en-US"/>
        </w:rPr>
        <w:t xml:space="preserve"> </w:t>
      </w:r>
      <w:r w:rsidR="00A24569">
        <w:rPr>
          <w:lang w:val="en-US"/>
        </w:rPr>
        <w:t>D) Same plot as in C), but with colors representing individuals’ first behavior (fly in red, stay in green, walk in blue).</w:t>
      </w:r>
    </w:p>
    <w:p w14:paraId="45FFCEDD" w14:textId="1E44B45B" w:rsidR="00AB28C9" w:rsidRDefault="00AB28C9">
      <w:pPr>
        <w:rPr>
          <w:lang w:val="en-US"/>
        </w:rPr>
      </w:pPr>
      <w:r>
        <w:rPr>
          <w:lang w:val="en-US"/>
        </w:rPr>
        <w:br w:type="page"/>
      </w:r>
    </w:p>
    <w:p w14:paraId="4CB6C15F" w14:textId="217D666B" w:rsidR="00997B44" w:rsidRDefault="00997B44">
      <w:pPr>
        <w:rPr>
          <w:lang w:val="en-US"/>
        </w:rPr>
      </w:pPr>
    </w:p>
    <w:p w14:paraId="20F34C93" w14:textId="59FAE09B" w:rsidR="00997B44" w:rsidRDefault="00997B44">
      <w:pPr>
        <w:rPr>
          <w:lang w:val="en-US"/>
        </w:rPr>
      </w:pPr>
    </w:p>
    <w:p w14:paraId="5478DA25" w14:textId="3418DDCB" w:rsidR="00997B44" w:rsidRDefault="00997B44">
      <w:pPr>
        <w:rPr>
          <w:lang w:val="en-US"/>
        </w:rPr>
      </w:pPr>
    </w:p>
    <w:p w14:paraId="5FD85CF6" w14:textId="3F9D8F9B" w:rsidR="00997B44" w:rsidRDefault="00140D0C">
      <w:pPr>
        <w:rPr>
          <w:lang w:val="en-US"/>
        </w:rPr>
      </w:pPr>
      <w:r w:rsidRPr="00140D0C">
        <w:rPr>
          <w:noProof/>
        </w:rPr>
        <w:drawing>
          <wp:anchor distT="0" distB="0" distL="114300" distR="114300" simplePos="0" relativeHeight="251673600" behindDoc="0" locked="0" layoutInCell="1" allowOverlap="1" wp14:anchorId="0DC422B5" wp14:editId="0644868C">
            <wp:simplePos x="0" y="0"/>
            <wp:positionH relativeFrom="column">
              <wp:posOffset>-71120</wp:posOffset>
            </wp:positionH>
            <wp:positionV relativeFrom="paragraph">
              <wp:posOffset>100965</wp:posOffset>
            </wp:positionV>
            <wp:extent cx="5619750" cy="42767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001890" w14:textId="31CDCF7C" w:rsidR="00997B44" w:rsidRPr="00140D0C" w:rsidRDefault="00997B44">
      <w:pPr>
        <w:rPr>
          <w:lang w:val="en-US"/>
        </w:rPr>
      </w:pPr>
    </w:p>
    <w:p w14:paraId="518627F3" w14:textId="3BD0BC18" w:rsidR="00997B44" w:rsidRDefault="00997B44">
      <w:pPr>
        <w:rPr>
          <w:lang w:val="en-US"/>
        </w:rPr>
      </w:pPr>
    </w:p>
    <w:p w14:paraId="739E9304" w14:textId="5D106EAE" w:rsidR="00997B44" w:rsidRDefault="00997B44">
      <w:pPr>
        <w:rPr>
          <w:lang w:val="en-US"/>
        </w:rPr>
      </w:pPr>
    </w:p>
    <w:p w14:paraId="7673F136" w14:textId="77777777" w:rsidR="00997B44" w:rsidRDefault="00997B44">
      <w:pPr>
        <w:rPr>
          <w:lang w:val="en-US"/>
        </w:rPr>
      </w:pPr>
    </w:p>
    <w:p w14:paraId="7C93B9B1" w14:textId="77777777" w:rsidR="00997B44" w:rsidRDefault="00997B44">
      <w:pPr>
        <w:rPr>
          <w:lang w:val="en-US"/>
        </w:rPr>
      </w:pPr>
    </w:p>
    <w:p w14:paraId="39BDDA8B" w14:textId="77777777" w:rsidR="00997B44" w:rsidRDefault="00997B44">
      <w:pPr>
        <w:rPr>
          <w:lang w:val="en-US"/>
        </w:rPr>
      </w:pPr>
    </w:p>
    <w:p w14:paraId="1BFB371D" w14:textId="17452F1F" w:rsidR="00997B44" w:rsidRDefault="00997B44">
      <w:pPr>
        <w:rPr>
          <w:lang w:val="en-US"/>
        </w:rPr>
      </w:pPr>
    </w:p>
    <w:p w14:paraId="758E79D4" w14:textId="5A546234" w:rsidR="00997B44" w:rsidRDefault="00997B44">
      <w:pPr>
        <w:rPr>
          <w:lang w:val="en-US"/>
        </w:rPr>
      </w:pPr>
    </w:p>
    <w:p w14:paraId="63E55B5C" w14:textId="77777777" w:rsidR="00997B44" w:rsidRDefault="00997B44">
      <w:pPr>
        <w:rPr>
          <w:lang w:val="en-US"/>
        </w:rPr>
      </w:pPr>
    </w:p>
    <w:p w14:paraId="145B566C" w14:textId="77777777" w:rsidR="00997B44" w:rsidRDefault="00997B44">
      <w:pPr>
        <w:rPr>
          <w:lang w:val="en-US"/>
        </w:rPr>
      </w:pPr>
    </w:p>
    <w:p w14:paraId="550D1944" w14:textId="77777777" w:rsidR="00997B44" w:rsidRDefault="00997B44">
      <w:pPr>
        <w:rPr>
          <w:lang w:val="en-US"/>
        </w:rPr>
      </w:pPr>
    </w:p>
    <w:p w14:paraId="7B62FF01" w14:textId="77777777" w:rsidR="00997B44" w:rsidRDefault="00997B44">
      <w:pPr>
        <w:rPr>
          <w:lang w:val="en-US"/>
        </w:rPr>
      </w:pPr>
    </w:p>
    <w:p w14:paraId="1A5C937F" w14:textId="641F161E" w:rsidR="00997B44" w:rsidRDefault="00997B44">
      <w:pPr>
        <w:rPr>
          <w:lang w:val="en-US"/>
        </w:rPr>
      </w:pPr>
    </w:p>
    <w:p w14:paraId="62FFDA14" w14:textId="77777777" w:rsidR="00997B44" w:rsidRDefault="00997B44">
      <w:pPr>
        <w:rPr>
          <w:lang w:val="en-US"/>
        </w:rPr>
      </w:pPr>
    </w:p>
    <w:p w14:paraId="0F8394FC" w14:textId="77777777" w:rsidR="00997B44" w:rsidRDefault="00997B44">
      <w:pPr>
        <w:rPr>
          <w:lang w:val="en-US"/>
        </w:rPr>
      </w:pPr>
    </w:p>
    <w:p w14:paraId="373BB6E4" w14:textId="77777777" w:rsidR="00997B44" w:rsidRDefault="00997B44">
      <w:pPr>
        <w:rPr>
          <w:lang w:val="en-US"/>
        </w:rPr>
      </w:pPr>
    </w:p>
    <w:p w14:paraId="4CC7D1B0" w14:textId="395528C6" w:rsidR="000F3E28" w:rsidRDefault="000F3E28">
      <w:pPr>
        <w:rPr>
          <w:lang w:val="en-US"/>
        </w:rPr>
      </w:pPr>
    </w:p>
    <w:p w14:paraId="1309FAAA" w14:textId="2FFD540D" w:rsidR="00997B44" w:rsidRDefault="00997B44">
      <w:pPr>
        <w:rPr>
          <w:lang w:val="en-US"/>
        </w:rPr>
      </w:pPr>
    </w:p>
    <w:p w14:paraId="248E4733" w14:textId="014E2627" w:rsidR="00997B44" w:rsidRDefault="00997B44">
      <w:pPr>
        <w:rPr>
          <w:lang w:val="en-US"/>
        </w:rPr>
      </w:pPr>
    </w:p>
    <w:p w14:paraId="2E1A699B" w14:textId="46522511" w:rsidR="00997B44" w:rsidRDefault="00997B44">
      <w:pPr>
        <w:rPr>
          <w:lang w:val="en-US"/>
        </w:rPr>
      </w:pPr>
    </w:p>
    <w:p w14:paraId="5864E6A3" w14:textId="31F0DB20" w:rsidR="00997B44" w:rsidRDefault="00997B44">
      <w:pPr>
        <w:rPr>
          <w:lang w:val="en-US"/>
        </w:rPr>
      </w:pPr>
    </w:p>
    <w:p w14:paraId="00132149" w14:textId="78F0AC02" w:rsidR="00997B44" w:rsidRDefault="00997B44">
      <w:pPr>
        <w:rPr>
          <w:lang w:val="en-US"/>
        </w:rPr>
      </w:pPr>
    </w:p>
    <w:p w14:paraId="4403B54D" w14:textId="5D4F13BA" w:rsidR="00997B44" w:rsidRDefault="00997B44">
      <w:pPr>
        <w:rPr>
          <w:lang w:val="en-US"/>
        </w:rPr>
      </w:pPr>
    </w:p>
    <w:p w14:paraId="3DB4AEB9" w14:textId="579FB51D" w:rsidR="00997B44" w:rsidRDefault="00997B44">
      <w:pPr>
        <w:rPr>
          <w:lang w:val="en-US"/>
        </w:rPr>
      </w:pPr>
    </w:p>
    <w:p w14:paraId="24F4056F" w14:textId="28174B8F" w:rsidR="00997B44" w:rsidRDefault="00997B44">
      <w:pPr>
        <w:rPr>
          <w:lang w:val="en-US"/>
        </w:rPr>
      </w:pPr>
      <w:r>
        <w:rPr>
          <w:lang w:val="en-US"/>
        </w:rPr>
        <w:t>Table S1: Results of LMMs and GLMMs testing the existence of indirect carry-over effects mediated by larval traits on adults</w:t>
      </w:r>
      <w:r w:rsidR="00140D0C">
        <w:rPr>
          <w:lang w:val="en-US"/>
        </w:rPr>
        <w:t>’</w:t>
      </w:r>
      <w:r>
        <w:rPr>
          <w:lang w:val="en-US"/>
        </w:rPr>
        <w:t xml:space="preserve"> traits exhibiting significant carry-over effects. </w:t>
      </w:r>
    </w:p>
    <w:p w14:paraId="38F632E6" w14:textId="580B7D57" w:rsidR="00997B44" w:rsidRDefault="00997B44">
      <w:pPr>
        <w:rPr>
          <w:lang w:val="en-US"/>
        </w:rPr>
      </w:pPr>
    </w:p>
    <w:p w14:paraId="4BD46000" w14:textId="2D73C155" w:rsidR="00997B44" w:rsidRDefault="00997B44">
      <w:pPr>
        <w:rPr>
          <w:lang w:val="en-US"/>
        </w:rPr>
      </w:pPr>
    </w:p>
    <w:p w14:paraId="4CCCB1D8" w14:textId="77777777" w:rsidR="00997B44" w:rsidRPr="004D7AC3" w:rsidRDefault="00997B44">
      <w:pPr>
        <w:rPr>
          <w:lang w:val="en-US"/>
        </w:rPr>
      </w:pPr>
    </w:p>
    <w:sectPr w:rsidR="00997B44" w:rsidRPr="004D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94"/>
    <w:rsid w:val="000507E1"/>
    <w:rsid w:val="000E24F3"/>
    <w:rsid w:val="000F3E28"/>
    <w:rsid w:val="0011481A"/>
    <w:rsid w:val="00140D0C"/>
    <w:rsid w:val="00236CAF"/>
    <w:rsid w:val="00321164"/>
    <w:rsid w:val="0044028F"/>
    <w:rsid w:val="004D7AC3"/>
    <w:rsid w:val="005B2B8A"/>
    <w:rsid w:val="005B5423"/>
    <w:rsid w:val="005E0B47"/>
    <w:rsid w:val="006A0793"/>
    <w:rsid w:val="006A6AAE"/>
    <w:rsid w:val="00707EB9"/>
    <w:rsid w:val="00794E5B"/>
    <w:rsid w:val="00997B44"/>
    <w:rsid w:val="00A1797C"/>
    <w:rsid w:val="00A24569"/>
    <w:rsid w:val="00AB28C9"/>
    <w:rsid w:val="00C42C94"/>
    <w:rsid w:val="00DB04AB"/>
    <w:rsid w:val="00F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EBE8"/>
  <w15:chartTrackingRefBased/>
  <w15:docId w15:val="{4FD193FE-9600-4297-9D77-2BCB55EA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F3E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3E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3E2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E2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E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E28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B2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B28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gpwvoe5cb5b">
    <w:name w:val="gpwvoe5cb5b"/>
    <w:basedOn w:val="Policepardfaut"/>
    <w:rsid w:val="00AB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LEGRAND</dc:creator>
  <cp:keywords/>
  <dc:description/>
  <cp:lastModifiedBy>Delphine LEGRAND</cp:lastModifiedBy>
  <cp:revision>16</cp:revision>
  <dcterms:created xsi:type="dcterms:W3CDTF">2025-05-16T12:38:00Z</dcterms:created>
  <dcterms:modified xsi:type="dcterms:W3CDTF">2025-06-06T17:43:00Z</dcterms:modified>
</cp:coreProperties>
</file>