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/>
      </w:pPr>
      <w:r>
        <w:rPr>
          <w:rFonts w:cs="Arial" w:ascii="Arial" w:hAnsi="Arial"/>
          <w:b/>
          <w:bCs/>
          <w:sz w:val="24"/>
          <w:szCs w:val="24"/>
          <w:lang w:eastAsia="es-MX"/>
        </w:rPr>
        <w:t>Electronic supplementary material</w:t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</w:r>
    </w:p>
    <w:p>
      <w:pPr>
        <w:pStyle w:val="Normal"/>
        <w:spacing w:lineRule="auto" w:line="36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/>
        <w:drawing>
          <wp:inline distT="0" distB="0" distL="0" distR="0">
            <wp:extent cx="5612130" cy="4655185"/>
            <wp:effectExtent l="0" t="0" r="0" b="0"/>
            <wp:docPr id="1" name="2 Imagen" descr="Rplot0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 Imagen" descr="Rplot05.tiff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65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b/>
          <w:sz w:val="24"/>
          <w:szCs w:val="24"/>
        </w:rPr>
        <w:t>Online Resource 1</w:t>
      </w:r>
      <w:r>
        <w:rPr>
          <w:rFonts w:cs="Arial" w:ascii="Arial" w:hAnsi="Arial"/>
          <w:b/>
          <w:bCs/>
          <w:sz w:val="24"/>
          <w:szCs w:val="24"/>
          <w:lang w:eastAsia="es-MX"/>
        </w:rPr>
        <w:t>.</w:t>
      </w:r>
      <w:r>
        <w:rPr>
          <w:rFonts w:cs="Arial" w:ascii="Arial" w:hAnsi="Arial"/>
          <w:sz w:val="24"/>
          <w:szCs w:val="24"/>
        </w:rPr>
        <w:t xml:space="preserve"> The screen plot shows the contribution of principal components to the total variance of the  clinical-epidemiological characteristics and F</w:t>
      </w:r>
      <w:r>
        <w:rPr>
          <w:rFonts w:cs="Arial" w:ascii="Arial" w:hAnsi="Arial"/>
          <w:color w:val="000000" w:themeColor="text1"/>
          <w:sz w:val="24"/>
          <w:szCs w:val="24"/>
        </w:rPr>
        <w:t>B1</w:t>
      </w:r>
      <w:r>
        <w:rPr>
          <w:rFonts w:cs="Arial" w:ascii="Arial" w:hAnsi="Arial"/>
          <w:sz w:val="24"/>
          <w:szCs w:val="24"/>
        </w:rPr>
        <w:t xml:space="preserve">. The first principal component explains 56.4%, while the second explains 27.2% of the variance; thus, both explain  </w:t>
      </w:r>
      <w:r>
        <w:rPr>
          <w:rStyle w:val="Shorttext"/>
          <w:rFonts w:cs="Arial" w:ascii="Arial" w:hAnsi="Arial"/>
          <w:sz w:val="24"/>
          <w:szCs w:val="24"/>
        </w:rPr>
        <w:t xml:space="preserve">83.6% </w:t>
      </w:r>
      <w:r>
        <w:rPr>
          <w:rFonts w:cs="Arial" w:ascii="Arial" w:hAnsi="Arial"/>
          <w:sz w:val="24"/>
          <w:szCs w:val="24"/>
        </w:rPr>
        <w:t xml:space="preserve"> of the variance.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es-MX"/>
        </w:rPr>
      </w:pPr>
      <w:r>
        <w:rPr>
          <w:rFonts w:cs="Arial" w:ascii="Arial" w:hAnsi="Arial"/>
          <w:b/>
          <w:bCs/>
          <w:sz w:val="24"/>
          <w:szCs w:val="24"/>
          <w:lang w:eastAsia="es-MX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es-MX"/>
        </w:rPr>
      </w:pPr>
      <w:r>
        <w:rPr>
          <w:rFonts w:cs="Arial" w:ascii="Arial" w:hAnsi="Arial"/>
          <w:b/>
          <w:bCs/>
          <w:sz w:val="24"/>
          <w:szCs w:val="24"/>
          <w:lang w:eastAsia="es-MX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360" w:before="0" w:after="0"/>
        <w:jc w:val="both"/>
        <w:rPr>
          <w:rFonts w:ascii="Arial" w:hAnsi="Arial" w:cs="Arial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360" w:before="0" w:after="0"/>
        <w:jc w:val="both"/>
        <w:rPr/>
      </w:pPr>
      <w:r>
        <w:rPr>
          <w:rFonts w:cs="Arial" w:ascii="Arial" w:hAnsi="Arial"/>
          <w:b/>
          <w:sz w:val="24"/>
          <w:szCs w:val="24"/>
        </w:rPr>
        <w:t>Online Resource 2.</w:t>
      </w:r>
      <w:r>
        <w:rPr>
          <w:rFonts w:cs="Arial" w:ascii="Arial" w:hAnsi="Arial"/>
          <w:sz w:val="24"/>
          <w:szCs w:val="24"/>
        </w:rPr>
        <w:t xml:space="preserve"> Results from PCA over the clinical-epidemiological variables and FB1. </w:t>
      </w:r>
    </w:p>
    <w:tbl>
      <w:tblPr>
        <w:tblStyle w:val="Tablaconcuadrcula"/>
        <w:tblW w:w="7386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164"/>
        <w:gridCol w:w="1937"/>
        <w:gridCol w:w="2285"/>
      </w:tblGrid>
      <w:tr>
        <w:trPr/>
        <w:tc>
          <w:tcPr>
            <w:tcW w:w="3164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Variables</w:t>
            </w:r>
          </w:p>
        </w:tc>
        <w:tc>
          <w:tcPr>
            <w:tcW w:w="1937" w:type="dxa"/>
            <w:tcBorders/>
            <w:shd w:fill="auto" w:val="clear"/>
          </w:tcPr>
          <w:p>
            <w:pPr>
              <w:pStyle w:val="Normal"/>
              <w:spacing w:lineRule="auto" w:line="3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First component</w:t>
            </w:r>
          </w:p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Loading</w:t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3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Second component</w:t>
            </w:r>
          </w:p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Loading</w:t>
            </w:r>
          </w:p>
        </w:tc>
      </w:tr>
      <w:tr>
        <w:trPr/>
        <w:tc>
          <w:tcPr>
            <w:tcW w:w="3164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rPr/>
            </w:pPr>
            <w:r>
              <w:rPr>
                <w:rFonts w:cs="Arial" w:ascii="Arial" w:hAnsi="Arial"/>
                <w:sz w:val="24"/>
                <w:szCs w:val="24"/>
              </w:rPr>
              <w:t>Age</w:t>
            </w:r>
          </w:p>
        </w:tc>
        <w:tc>
          <w:tcPr>
            <w:tcW w:w="1937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0.478</w:t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0.164</w:t>
            </w:r>
          </w:p>
        </w:tc>
      </w:tr>
      <w:tr>
        <w:trPr/>
        <w:tc>
          <w:tcPr>
            <w:tcW w:w="3164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rPr/>
            </w:pPr>
            <w:r>
              <w:rPr>
                <w:rFonts w:cs="Arial" w:ascii="Arial" w:hAnsi="Arial"/>
                <w:sz w:val="24"/>
                <w:szCs w:val="24"/>
              </w:rPr>
              <w:t>Numbers of sexual partners</w:t>
            </w:r>
          </w:p>
        </w:tc>
        <w:tc>
          <w:tcPr>
            <w:tcW w:w="1937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-0.353</w:t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lineRule="auto" w:line="360"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0.808</w:t>
            </w:r>
          </w:p>
        </w:tc>
      </w:tr>
      <w:tr>
        <w:trPr/>
        <w:tc>
          <w:tcPr>
            <w:tcW w:w="3164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rFonts w:cs="Arial" w:ascii="Arial" w:hAnsi="Arial"/>
                <w:sz w:val="24"/>
                <w:szCs w:val="24"/>
              </w:rPr>
              <w:t>HPV vaccine</w:t>
            </w:r>
          </w:p>
        </w:tc>
        <w:tc>
          <w:tcPr>
            <w:tcW w:w="1937" w:type="dxa"/>
            <w:tcBorders/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-0.508</w:t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-0.553</w:t>
            </w:r>
          </w:p>
        </w:tc>
      </w:tr>
      <w:tr>
        <w:trPr/>
        <w:tc>
          <w:tcPr>
            <w:tcW w:w="3164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59" w:before="0" w:after="160"/>
              <w:jc w:val="left"/>
              <w:rPr/>
            </w:pPr>
            <w:r>
              <w:rPr>
                <w:rFonts w:cs="Arial" w:ascii="Arial" w:hAnsi="Arial"/>
                <w:sz w:val="24"/>
                <w:szCs w:val="24"/>
              </w:rPr>
              <w:t>FB1</w:t>
            </w:r>
          </w:p>
        </w:tc>
        <w:tc>
          <w:tcPr>
            <w:tcW w:w="1937" w:type="dxa"/>
            <w:tcBorders/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0.623</w:t>
            </w:r>
          </w:p>
        </w:tc>
        <w:tc>
          <w:tcPr>
            <w:tcW w:w="2285" w:type="dxa"/>
            <w:tcBorders/>
            <w:shd w:fill="auto" w:val="clear"/>
          </w:tcPr>
          <w:p>
            <w:pPr>
              <w:pStyle w:val="Normal"/>
              <w:spacing w:before="0" w:after="160"/>
              <w:jc w:val="center"/>
              <w:rPr/>
            </w:pPr>
            <w:r>
              <w:rPr>
                <w:rFonts w:cs="Arial" w:ascii="Arial" w:hAnsi="Arial"/>
                <w:sz w:val="24"/>
                <w:szCs w:val="24"/>
              </w:rPr>
              <w:t>-0.119</w:t>
            </w:r>
          </w:p>
        </w:tc>
      </w:tr>
    </w:tbl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204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es-MX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es-MX" w:eastAsia="zh-CN" w:bidi="hi-IN"/>
    </w:rPr>
  </w:style>
  <w:style w:type="character" w:styleId="DefaultParagraphFont">
    <w:name w:val="Default Paragraph Font"/>
    <w:qFormat/>
    <w:rPr/>
  </w:style>
  <w:style w:type="character" w:styleId="Shorttext">
    <w:name w:val="short_text"/>
    <w:basedOn w:val="DefaultParagraphFont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tif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2</Pages>
  <Words>81</Words>
  <Characters>498</Characters>
  <CharactersWithSpaces>563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2020-08-24T12:18:33Z</dcterms:created>
  <dc:creator/>
  <dc:description/>
  <dc:language>es-MX</dc:language>
  <cp:lastModifiedBy/>
  <dcterms:modified xsi:type="dcterms:W3CDTF">2020-08-24T12:19:24Z</dcterms:modified>
  <cp:revision>1</cp:revision>
  <dc:subject/>
  <dc:title/>
</cp:coreProperties>
</file>