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3FC2" w14:textId="77777777" w:rsidR="002131B7" w:rsidRPr="00195BBC" w:rsidRDefault="002131B7" w:rsidP="002131B7">
      <w:pPr>
        <w:pStyle w:val="SOMHead"/>
        <w:spacing w:line="480" w:lineRule="auto"/>
      </w:pPr>
      <w:r w:rsidRPr="00195BBC">
        <w:t>Supplementary Materials:</w:t>
      </w:r>
    </w:p>
    <w:p w14:paraId="2F4CE246" w14:textId="77777777" w:rsidR="002131B7" w:rsidRDefault="002131B7" w:rsidP="002131B7">
      <w:pPr>
        <w:pStyle w:val="Paragraph"/>
        <w:spacing w:line="480" w:lineRule="auto"/>
        <w:ind w:firstLine="0"/>
        <w:rPr>
          <w:b/>
          <w:bCs/>
        </w:rPr>
      </w:pPr>
      <w:r w:rsidRPr="002B4A7E">
        <w:rPr>
          <w:b/>
          <w:bCs/>
        </w:rPr>
        <w:t xml:space="preserve">Supplementary Table 1. Summary of mouse </w:t>
      </w:r>
      <w:proofErr w:type="spellStart"/>
      <w:r w:rsidRPr="002B4A7E">
        <w:rPr>
          <w:b/>
          <w:bCs/>
          <w:i/>
          <w:iCs/>
        </w:rPr>
        <w:t>Kcnq</w:t>
      </w:r>
      <w:proofErr w:type="spellEnd"/>
      <w:r w:rsidRPr="002B4A7E">
        <w:rPr>
          <w:b/>
          <w:bCs/>
        </w:rPr>
        <w:t xml:space="preserve"> and </w:t>
      </w:r>
      <w:proofErr w:type="spellStart"/>
      <w:r w:rsidRPr="002B4A7E">
        <w:rPr>
          <w:b/>
          <w:bCs/>
          <w:i/>
          <w:iCs/>
        </w:rPr>
        <w:t>Kcne</w:t>
      </w:r>
      <w:proofErr w:type="spellEnd"/>
      <w:r w:rsidRPr="002B4A7E">
        <w:rPr>
          <w:b/>
          <w:bCs/>
        </w:rPr>
        <w:t xml:space="preserve"> primer sequences used for conventional PCR and </w:t>
      </w:r>
      <w:proofErr w:type="spellStart"/>
      <w:r w:rsidRPr="002B4A7E">
        <w:rPr>
          <w:b/>
          <w:bCs/>
        </w:rPr>
        <w:t>qRT</w:t>
      </w:r>
      <w:proofErr w:type="spellEnd"/>
      <w:r w:rsidRPr="002B4A7E">
        <w:rPr>
          <w:b/>
          <w:bCs/>
        </w:rPr>
        <w:t>-PCR.</w:t>
      </w:r>
    </w:p>
    <w:p w14:paraId="33916761" w14:textId="77777777" w:rsidR="002131B7" w:rsidRPr="002B4A7E" w:rsidRDefault="002131B7" w:rsidP="002131B7">
      <w:pPr>
        <w:pStyle w:val="Paragraph"/>
        <w:spacing w:line="480" w:lineRule="auto"/>
        <w:ind w:firstLine="0"/>
        <w:rPr>
          <w:b/>
          <w:bCs/>
        </w:rPr>
      </w:pPr>
    </w:p>
    <w:tbl>
      <w:tblPr>
        <w:tblW w:w="8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868"/>
        <w:gridCol w:w="1556"/>
        <w:gridCol w:w="4851"/>
        <w:gridCol w:w="1185"/>
      </w:tblGrid>
      <w:tr w:rsidR="002131B7" w14:paraId="05A26821" w14:textId="77777777" w:rsidTr="00F36D7D">
        <w:trPr>
          <w:trHeight w:val="1635"/>
          <w:tblHeader/>
        </w:trPr>
        <w:tc>
          <w:tcPr>
            <w:tcW w:w="8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37C6CF" w14:textId="77777777" w:rsidR="002131B7" w:rsidRDefault="002131B7" w:rsidP="00F36D7D">
            <w:pPr>
              <w:pStyle w:val="Body"/>
              <w:spacing w:line="480" w:lineRule="auto"/>
              <w:jc w:val="center"/>
            </w:pPr>
            <w:r>
              <w:rPr>
                <w:b/>
                <w:bCs/>
                <w:lang w:val="en-US"/>
              </w:rPr>
              <w:t>Gene</w:t>
            </w:r>
          </w:p>
        </w:tc>
        <w:tc>
          <w:tcPr>
            <w:tcW w:w="15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2D2D37C" w14:textId="77777777" w:rsidR="002131B7" w:rsidRDefault="002131B7" w:rsidP="00F36D7D">
            <w:pPr>
              <w:pStyle w:val="Body"/>
              <w:spacing w:line="480" w:lineRule="auto"/>
              <w:jc w:val="center"/>
            </w:pPr>
            <w:r>
              <w:rPr>
                <w:b/>
                <w:bCs/>
                <w:lang w:val="en-US"/>
              </w:rPr>
              <w:t>Accession No.</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D07FF42" w14:textId="77777777" w:rsidR="002131B7" w:rsidRDefault="002131B7" w:rsidP="00F36D7D">
            <w:pPr>
              <w:pStyle w:val="Body"/>
              <w:spacing w:line="480" w:lineRule="auto"/>
              <w:jc w:val="center"/>
              <w:rPr>
                <w:b/>
                <w:bCs/>
                <w:lang w:val="en-US"/>
              </w:rPr>
            </w:pPr>
            <w:r>
              <w:rPr>
                <w:b/>
                <w:bCs/>
                <w:lang w:val="en-US"/>
              </w:rPr>
              <w:t>Primer sequence</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D85E32" w14:textId="77777777" w:rsidR="002131B7" w:rsidRDefault="002131B7" w:rsidP="00F36D7D">
            <w:pPr>
              <w:pStyle w:val="Body"/>
              <w:spacing w:line="480" w:lineRule="auto"/>
              <w:jc w:val="center"/>
            </w:pPr>
            <w:r>
              <w:rPr>
                <w:b/>
                <w:bCs/>
                <w:lang w:val="en-US"/>
              </w:rPr>
              <w:t>Amplicon length (base pairs)</w:t>
            </w:r>
          </w:p>
        </w:tc>
      </w:tr>
      <w:tr w:rsidR="002131B7" w14:paraId="3A5D0740" w14:textId="77777777" w:rsidTr="00F36D7D">
        <w:tblPrEx>
          <w:shd w:val="clear" w:color="auto" w:fill="auto"/>
        </w:tblPrEx>
        <w:trPr>
          <w:trHeight w:val="300"/>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28163CC" w14:textId="77777777" w:rsidR="002131B7" w:rsidRDefault="002131B7" w:rsidP="00F36D7D">
            <w:pPr>
              <w:pStyle w:val="Body"/>
              <w:spacing w:line="480" w:lineRule="auto"/>
              <w:jc w:val="center"/>
            </w:pPr>
            <w:r>
              <w:rPr>
                <w:i/>
                <w:iCs/>
                <w:lang w:val="en-US"/>
              </w:rPr>
              <w:t>Kcnq1</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DE7095" w14:textId="77777777" w:rsidR="002131B7" w:rsidRDefault="002131B7" w:rsidP="00F36D7D">
            <w:pPr>
              <w:pStyle w:val="Body"/>
              <w:spacing w:line="480" w:lineRule="auto"/>
              <w:jc w:val="center"/>
            </w:pPr>
            <w:r>
              <w:rPr>
                <w:lang w:val="en-US"/>
              </w:rPr>
              <w:t>NM_000218.2</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891FE6A" w14:textId="77777777" w:rsidR="002131B7" w:rsidRDefault="002131B7" w:rsidP="00F36D7D">
            <w:pPr>
              <w:pStyle w:val="Body"/>
              <w:spacing w:line="480" w:lineRule="auto"/>
              <w:jc w:val="center"/>
            </w:pPr>
            <w:r>
              <w:rPr>
                <w:lang w:val="en-US"/>
              </w:rPr>
              <w:t>5′-CATCACCCACATCTCACAGC-3′</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3D9ECC4" w14:textId="77777777" w:rsidR="002131B7" w:rsidRDefault="002131B7" w:rsidP="00F36D7D">
            <w:pPr>
              <w:pStyle w:val="Body"/>
              <w:spacing w:line="480" w:lineRule="auto"/>
              <w:jc w:val="center"/>
            </w:pPr>
            <w:r>
              <w:rPr>
                <w:lang w:val="en-US"/>
              </w:rPr>
              <w:t>124</w:t>
            </w:r>
          </w:p>
        </w:tc>
      </w:tr>
      <w:tr w:rsidR="002131B7" w14:paraId="3AEA71EB" w14:textId="77777777" w:rsidTr="00F36D7D">
        <w:tblPrEx>
          <w:shd w:val="clear" w:color="auto" w:fill="auto"/>
        </w:tblPrEx>
        <w:trPr>
          <w:trHeight w:val="300"/>
        </w:trPr>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14:paraId="1DEBF93F" w14:textId="77777777" w:rsidR="002131B7" w:rsidRDefault="002131B7" w:rsidP="00F36D7D">
            <w:pPr>
              <w:spacing w:line="480" w:lineRule="auto"/>
            </w:pPr>
          </w:p>
        </w:tc>
        <w:tc>
          <w:tcPr>
            <w:tcW w:w="1556" w:type="dxa"/>
            <w:vMerge/>
            <w:tcBorders>
              <w:top w:val="single" w:sz="4" w:space="0" w:color="000000"/>
              <w:left w:val="single" w:sz="4" w:space="0" w:color="000000"/>
              <w:bottom w:val="single" w:sz="4" w:space="0" w:color="000000"/>
              <w:right w:val="single" w:sz="4" w:space="0" w:color="000000"/>
            </w:tcBorders>
            <w:shd w:val="clear" w:color="auto" w:fill="FFFFFF"/>
          </w:tcPr>
          <w:p w14:paraId="00C594F2" w14:textId="77777777" w:rsidR="002131B7" w:rsidRDefault="002131B7" w:rsidP="00F36D7D">
            <w:pPr>
              <w:spacing w:line="480" w:lineRule="auto"/>
            </w:pP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EFBE17" w14:textId="77777777" w:rsidR="002131B7" w:rsidRDefault="002131B7" w:rsidP="00F36D7D">
            <w:pPr>
              <w:pStyle w:val="Body"/>
              <w:spacing w:line="480" w:lineRule="auto"/>
              <w:jc w:val="center"/>
            </w:pPr>
            <w:r>
              <w:rPr>
                <w:lang w:val="en-US"/>
              </w:rPr>
              <w:t>5′-GTCCCGCACATCGTAAGG-3′</w:t>
            </w: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Pr>
          <w:p w14:paraId="265C3859" w14:textId="77777777" w:rsidR="002131B7" w:rsidRDefault="002131B7" w:rsidP="00F36D7D">
            <w:pPr>
              <w:spacing w:line="480" w:lineRule="auto"/>
            </w:pPr>
          </w:p>
        </w:tc>
      </w:tr>
      <w:tr w:rsidR="002131B7" w14:paraId="5FC0B686" w14:textId="77777777" w:rsidTr="00F36D7D">
        <w:tblPrEx>
          <w:shd w:val="clear" w:color="auto" w:fill="auto"/>
        </w:tblPrEx>
        <w:trPr>
          <w:trHeight w:val="300"/>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F211811" w14:textId="77777777" w:rsidR="002131B7" w:rsidRDefault="002131B7" w:rsidP="00F36D7D">
            <w:pPr>
              <w:pStyle w:val="Body"/>
              <w:spacing w:line="480" w:lineRule="auto"/>
              <w:jc w:val="center"/>
            </w:pPr>
            <w:r>
              <w:rPr>
                <w:i/>
                <w:iCs/>
                <w:lang w:val="en-US"/>
              </w:rPr>
              <w:t>Kcnq2</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3A519E5" w14:textId="77777777" w:rsidR="002131B7" w:rsidRDefault="002131B7" w:rsidP="00F36D7D">
            <w:pPr>
              <w:pStyle w:val="Body"/>
              <w:spacing w:line="480" w:lineRule="auto"/>
              <w:jc w:val="center"/>
            </w:pPr>
            <w:r>
              <w:rPr>
                <w:lang w:val="en-US"/>
              </w:rPr>
              <w:t>NM_004518.3</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FDF383D" w14:textId="77777777" w:rsidR="002131B7" w:rsidRDefault="002131B7" w:rsidP="00F36D7D">
            <w:pPr>
              <w:pStyle w:val="Body"/>
              <w:spacing w:line="480" w:lineRule="auto"/>
              <w:jc w:val="center"/>
            </w:pPr>
            <w:r>
              <w:rPr>
                <w:lang w:val="en-US"/>
              </w:rPr>
              <w:t>5′-GACAAGGACCGCACCAAG-3′</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17D5208" w14:textId="77777777" w:rsidR="002131B7" w:rsidRDefault="002131B7" w:rsidP="00F36D7D">
            <w:pPr>
              <w:pStyle w:val="Body"/>
              <w:spacing w:line="480" w:lineRule="auto"/>
              <w:jc w:val="center"/>
            </w:pPr>
            <w:r>
              <w:rPr>
                <w:lang w:val="en-US"/>
              </w:rPr>
              <w:t>123</w:t>
            </w:r>
          </w:p>
        </w:tc>
      </w:tr>
      <w:tr w:rsidR="002131B7" w14:paraId="67EB0FF3" w14:textId="77777777" w:rsidTr="00F36D7D">
        <w:tblPrEx>
          <w:shd w:val="clear" w:color="auto" w:fill="auto"/>
        </w:tblPrEx>
        <w:trPr>
          <w:trHeight w:val="300"/>
        </w:trPr>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14:paraId="7F2726AA" w14:textId="77777777" w:rsidR="002131B7" w:rsidRDefault="002131B7" w:rsidP="00F36D7D">
            <w:pPr>
              <w:spacing w:line="480" w:lineRule="auto"/>
            </w:pPr>
          </w:p>
        </w:tc>
        <w:tc>
          <w:tcPr>
            <w:tcW w:w="1556" w:type="dxa"/>
            <w:vMerge/>
            <w:tcBorders>
              <w:top w:val="single" w:sz="4" w:space="0" w:color="000000"/>
              <w:left w:val="single" w:sz="4" w:space="0" w:color="000000"/>
              <w:bottom w:val="single" w:sz="4" w:space="0" w:color="000000"/>
              <w:right w:val="single" w:sz="4" w:space="0" w:color="000000"/>
            </w:tcBorders>
            <w:shd w:val="clear" w:color="auto" w:fill="FFFFFF"/>
          </w:tcPr>
          <w:p w14:paraId="1C034EDB" w14:textId="77777777" w:rsidR="002131B7" w:rsidRDefault="002131B7" w:rsidP="00F36D7D">
            <w:pPr>
              <w:spacing w:line="480" w:lineRule="auto"/>
            </w:pP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F4EE37" w14:textId="77777777" w:rsidR="002131B7" w:rsidRDefault="002131B7" w:rsidP="00F36D7D">
            <w:pPr>
              <w:pStyle w:val="Body"/>
              <w:spacing w:line="480" w:lineRule="auto"/>
              <w:jc w:val="center"/>
            </w:pPr>
            <w:r>
              <w:rPr>
                <w:lang w:val="en-US"/>
              </w:rPr>
              <w:t>5′-CACCAGGAAGTCCAGCTTCT-3′</w:t>
            </w: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Pr>
          <w:p w14:paraId="606398D5" w14:textId="77777777" w:rsidR="002131B7" w:rsidRDefault="002131B7" w:rsidP="00F36D7D">
            <w:pPr>
              <w:spacing w:line="480" w:lineRule="auto"/>
            </w:pPr>
          </w:p>
        </w:tc>
      </w:tr>
      <w:tr w:rsidR="002131B7" w14:paraId="2BCAD876" w14:textId="77777777" w:rsidTr="00F36D7D">
        <w:tblPrEx>
          <w:shd w:val="clear" w:color="auto" w:fill="auto"/>
        </w:tblPrEx>
        <w:trPr>
          <w:trHeight w:val="300"/>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FCFBEAF" w14:textId="77777777" w:rsidR="002131B7" w:rsidRDefault="002131B7" w:rsidP="00F36D7D">
            <w:pPr>
              <w:pStyle w:val="Body"/>
              <w:spacing w:line="480" w:lineRule="auto"/>
              <w:jc w:val="center"/>
            </w:pPr>
            <w:r>
              <w:rPr>
                <w:i/>
                <w:iCs/>
                <w:lang w:val="en-US"/>
              </w:rPr>
              <w:t>Kcnq3</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FD31E83" w14:textId="77777777" w:rsidR="002131B7" w:rsidRDefault="002131B7" w:rsidP="00F36D7D">
            <w:pPr>
              <w:pStyle w:val="Body"/>
              <w:spacing w:line="480" w:lineRule="auto"/>
              <w:jc w:val="center"/>
            </w:pPr>
            <w:r>
              <w:rPr>
                <w:lang w:val="en-US"/>
              </w:rPr>
              <w:t>NM_004519.2</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1464064" w14:textId="77777777" w:rsidR="002131B7" w:rsidRDefault="002131B7" w:rsidP="00F36D7D">
            <w:pPr>
              <w:pStyle w:val="Body"/>
              <w:spacing w:line="480" w:lineRule="auto"/>
              <w:jc w:val="center"/>
            </w:pPr>
            <w:r>
              <w:rPr>
                <w:lang w:val="en-US"/>
              </w:rPr>
              <w:t>5′-CGAGTTTGCTTTGAGGATCTG-3′</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F20E3A9" w14:textId="77777777" w:rsidR="002131B7" w:rsidRDefault="002131B7" w:rsidP="00F36D7D">
            <w:pPr>
              <w:pStyle w:val="Body"/>
              <w:spacing w:line="480" w:lineRule="auto"/>
              <w:jc w:val="center"/>
            </w:pPr>
            <w:r>
              <w:rPr>
                <w:lang w:val="en-US"/>
              </w:rPr>
              <w:t>119</w:t>
            </w:r>
          </w:p>
        </w:tc>
      </w:tr>
      <w:tr w:rsidR="002131B7" w14:paraId="3087C92B" w14:textId="77777777" w:rsidTr="00F36D7D">
        <w:tblPrEx>
          <w:shd w:val="clear" w:color="auto" w:fill="auto"/>
        </w:tblPrEx>
        <w:trPr>
          <w:trHeight w:val="300"/>
        </w:trPr>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14:paraId="1FDEF4DF" w14:textId="77777777" w:rsidR="002131B7" w:rsidRDefault="002131B7" w:rsidP="00F36D7D">
            <w:pPr>
              <w:spacing w:line="480" w:lineRule="auto"/>
            </w:pPr>
          </w:p>
        </w:tc>
        <w:tc>
          <w:tcPr>
            <w:tcW w:w="1556" w:type="dxa"/>
            <w:vMerge/>
            <w:tcBorders>
              <w:top w:val="single" w:sz="4" w:space="0" w:color="000000"/>
              <w:left w:val="single" w:sz="4" w:space="0" w:color="000000"/>
              <w:bottom w:val="single" w:sz="4" w:space="0" w:color="000000"/>
              <w:right w:val="single" w:sz="4" w:space="0" w:color="000000"/>
            </w:tcBorders>
            <w:shd w:val="clear" w:color="auto" w:fill="FFFFFF"/>
          </w:tcPr>
          <w:p w14:paraId="4764C5DC" w14:textId="77777777" w:rsidR="002131B7" w:rsidRDefault="002131B7" w:rsidP="00F36D7D">
            <w:pPr>
              <w:spacing w:line="480" w:lineRule="auto"/>
            </w:pP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0076144" w14:textId="77777777" w:rsidR="002131B7" w:rsidRDefault="002131B7" w:rsidP="00F36D7D">
            <w:pPr>
              <w:pStyle w:val="Body"/>
              <w:spacing w:line="480" w:lineRule="auto"/>
              <w:jc w:val="center"/>
            </w:pPr>
            <w:r>
              <w:rPr>
                <w:lang w:val="en-US"/>
              </w:rPr>
              <w:t>5′-AGGCAATCAGCACAAAGATGT-3′</w:t>
            </w: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Pr>
          <w:p w14:paraId="362B2719" w14:textId="77777777" w:rsidR="002131B7" w:rsidRDefault="002131B7" w:rsidP="00F36D7D">
            <w:pPr>
              <w:spacing w:line="480" w:lineRule="auto"/>
            </w:pPr>
          </w:p>
        </w:tc>
      </w:tr>
      <w:tr w:rsidR="002131B7" w14:paraId="17A50F1A" w14:textId="77777777" w:rsidTr="00F36D7D">
        <w:tblPrEx>
          <w:shd w:val="clear" w:color="auto" w:fill="auto"/>
        </w:tblPrEx>
        <w:trPr>
          <w:trHeight w:val="300"/>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3D4AFD" w14:textId="77777777" w:rsidR="002131B7" w:rsidRDefault="002131B7" w:rsidP="00F36D7D">
            <w:pPr>
              <w:pStyle w:val="Body"/>
              <w:spacing w:line="480" w:lineRule="auto"/>
              <w:jc w:val="center"/>
            </w:pPr>
            <w:r>
              <w:rPr>
                <w:i/>
                <w:iCs/>
                <w:lang w:val="en-US"/>
              </w:rPr>
              <w:t>Kcnq4</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E72B9FB" w14:textId="77777777" w:rsidR="002131B7" w:rsidRDefault="002131B7" w:rsidP="00F36D7D">
            <w:pPr>
              <w:pStyle w:val="Body"/>
              <w:spacing w:line="480" w:lineRule="auto"/>
              <w:jc w:val="center"/>
            </w:pPr>
            <w:r>
              <w:rPr>
                <w:lang w:val="en-US"/>
              </w:rPr>
              <w:t>NM_004700.2</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255A581" w14:textId="77777777" w:rsidR="002131B7" w:rsidRDefault="002131B7" w:rsidP="00F36D7D">
            <w:pPr>
              <w:pStyle w:val="Body"/>
              <w:spacing w:line="480" w:lineRule="auto"/>
              <w:jc w:val="center"/>
            </w:pPr>
            <w:r>
              <w:rPr>
                <w:lang w:val="en-US"/>
              </w:rPr>
              <w:t>5′-TGCCCCCTCAGAGGAAGT-3′</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ABB1F1B" w14:textId="77777777" w:rsidR="002131B7" w:rsidRDefault="002131B7" w:rsidP="00F36D7D">
            <w:pPr>
              <w:pStyle w:val="Body"/>
              <w:spacing w:line="480" w:lineRule="auto"/>
              <w:jc w:val="center"/>
            </w:pPr>
            <w:r>
              <w:rPr>
                <w:lang w:val="en-US"/>
              </w:rPr>
              <w:t>119</w:t>
            </w:r>
          </w:p>
        </w:tc>
      </w:tr>
      <w:tr w:rsidR="002131B7" w14:paraId="61B95F96" w14:textId="77777777" w:rsidTr="00F36D7D">
        <w:tblPrEx>
          <w:shd w:val="clear" w:color="auto" w:fill="auto"/>
        </w:tblPrEx>
        <w:trPr>
          <w:trHeight w:val="300"/>
        </w:trPr>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14:paraId="32410614" w14:textId="77777777" w:rsidR="002131B7" w:rsidRDefault="002131B7" w:rsidP="00F36D7D">
            <w:pPr>
              <w:spacing w:line="480" w:lineRule="auto"/>
            </w:pPr>
          </w:p>
        </w:tc>
        <w:tc>
          <w:tcPr>
            <w:tcW w:w="1556" w:type="dxa"/>
            <w:vMerge/>
            <w:tcBorders>
              <w:top w:val="single" w:sz="4" w:space="0" w:color="000000"/>
              <w:left w:val="single" w:sz="4" w:space="0" w:color="000000"/>
              <w:bottom w:val="single" w:sz="4" w:space="0" w:color="000000"/>
              <w:right w:val="single" w:sz="4" w:space="0" w:color="000000"/>
            </w:tcBorders>
            <w:shd w:val="clear" w:color="auto" w:fill="FFFFFF"/>
          </w:tcPr>
          <w:p w14:paraId="0392F87F" w14:textId="77777777" w:rsidR="002131B7" w:rsidRDefault="002131B7" w:rsidP="00F36D7D">
            <w:pPr>
              <w:spacing w:line="480" w:lineRule="auto"/>
            </w:pP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853E1B3" w14:textId="77777777" w:rsidR="002131B7" w:rsidRDefault="002131B7" w:rsidP="00F36D7D">
            <w:pPr>
              <w:pStyle w:val="Body"/>
              <w:spacing w:line="480" w:lineRule="auto"/>
              <w:jc w:val="center"/>
            </w:pPr>
            <w:r>
              <w:rPr>
                <w:lang w:val="en-US"/>
              </w:rPr>
              <w:t>5′-CCACCAGGAACTTGAGAATCC-3′</w:t>
            </w: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Pr>
          <w:p w14:paraId="05066766" w14:textId="77777777" w:rsidR="002131B7" w:rsidRDefault="002131B7" w:rsidP="00F36D7D">
            <w:pPr>
              <w:spacing w:line="480" w:lineRule="auto"/>
            </w:pPr>
          </w:p>
        </w:tc>
      </w:tr>
      <w:tr w:rsidR="002131B7" w14:paraId="6A20F9E7" w14:textId="77777777" w:rsidTr="00F36D7D">
        <w:tblPrEx>
          <w:shd w:val="clear" w:color="auto" w:fill="auto"/>
        </w:tblPrEx>
        <w:trPr>
          <w:trHeight w:val="300"/>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F94EBCA" w14:textId="77777777" w:rsidR="002131B7" w:rsidRDefault="002131B7" w:rsidP="00F36D7D">
            <w:pPr>
              <w:pStyle w:val="Body"/>
              <w:spacing w:line="480" w:lineRule="auto"/>
              <w:jc w:val="center"/>
            </w:pPr>
            <w:r>
              <w:rPr>
                <w:i/>
                <w:iCs/>
                <w:lang w:val="en-US"/>
              </w:rPr>
              <w:t>Kcnq5</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F26663F" w14:textId="77777777" w:rsidR="002131B7" w:rsidRDefault="002131B7" w:rsidP="00F36D7D">
            <w:pPr>
              <w:pStyle w:val="Body"/>
              <w:spacing w:line="480" w:lineRule="auto"/>
              <w:jc w:val="center"/>
            </w:pPr>
            <w:r>
              <w:rPr>
                <w:lang w:val="en-US"/>
              </w:rPr>
              <w:t>NM_019842.2</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F2D4BC3" w14:textId="77777777" w:rsidR="002131B7" w:rsidRDefault="002131B7" w:rsidP="00F36D7D">
            <w:pPr>
              <w:pStyle w:val="Body"/>
              <w:spacing w:line="480" w:lineRule="auto"/>
              <w:jc w:val="center"/>
            </w:pPr>
            <w:r>
              <w:rPr>
                <w:lang w:val="en-US"/>
              </w:rPr>
              <w:t>5′-AGTCCCACCAAAGTGCAGA-3′</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7C05F9E" w14:textId="77777777" w:rsidR="002131B7" w:rsidRDefault="002131B7" w:rsidP="00F36D7D">
            <w:pPr>
              <w:pStyle w:val="Body"/>
              <w:spacing w:line="480" w:lineRule="auto"/>
              <w:jc w:val="center"/>
            </w:pPr>
            <w:r>
              <w:rPr>
                <w:lang w:val="en-US"/>
              </w:rPr>
              <w:t>120</w:t>
            </w:r>
          </w:p>
        </w:tc>
      </w:tr>
      <w:tr w:rsidR="002131B7" w14:paraId="2CDE019E" w14:textId="77777777" w:rsidTr="00F36D7D">
        <w:tblPrEx>
          <w:shd w:val="clear" w:color="auto" w:fill="auto"/>
        </w:tblPrEx>
        <w:trPr>
          <w:trHeight w:val="300"/>
        </w:trPr>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14:paraId="0E1FF407" w14:textId="77777777" w:rsidR="002131B7" w:rsidRDefault="002131B7" w:rsidP="00F36D7D">
            <w:pPr>
              <w:spacing w:line="480" w:lineRule="auto"/>
            </w:pPr>
          </w:p>
        </w:tc>
        <w:tc>
          <w:tcPr>
            <w:tcW w:w="1556" w:type="dxa"/>
            <w:vMerge/>
            <w:tcBorders>
              <w:top w:val="single" w:sz="4" w:space="0" w:color="000000"/>
              <w:left w:val="single" w:sz="4" w:space="0" w:color="000000"/>
              <w:bottom w:val="single" w:sz="4" w:space="0" w:color="000000"/>
              <w:right w:val="single" w:sz="4" w:space="0" w:color="000000"/>
            </w:tcBorders>
            <w:shd w:val="clear" w:color="auto" w:fill="FFFFFF"/>
          </w:tcPr>
          <w:p w14:paraId="7AE1739A" w14:textId="77777777" w:rsidR="002131B7" w:rsidRDefault="002131B7" w:rsidP="00F36D7D">
            <w:pPr>
              <w:spacing w:line="480" w:lineRule="auto"/>
            </w:pP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1CCA97" w14:textId="77777777" w:rsidR="002131B7" w:rsidRDefault="002131B7" w:rsidP="00F36D7D">
            <w:pPr>
              <w:pStyle w:val="Body"/>
              <w:spacing w:line="480" w:lineRule="auto"/>
              <w:jc w:val="center"/>
            </w:pPr>
            <w:r>
              <w:rPr>
                <w:lang w:val="en-US"/>
              </w:rPr>
              <w:t>5′-AGTGCCAAGGGCTGTGTC-3′</w:t>
            </w: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Pr>
          <w:p w14:paraId="0994CF36" w14:textId="77777777" w:rsidR="002131B7" w:rsidRDefault="002131B7" w:rsidP="00F36D7D">
            <w:pPr>
              <w:spacing w:line="480" w:lineRule="auto"/>
            </w:pPr>
          </w:p>
        </w:tc>
      </w:tr>
      <w:tr w:rsidR="002131B7" w14:paraId="049019D4" w14:textId="77777777" w:rsidTr="00F36D7D">
        <w:tblPrEx>
          <w:shd w:val="clear" w:color="auto" w:fill="auto"/>
        </w:tblPrEx>
        <w:trPr>
          <w:trHeight w:val="300"/>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F0CA50" w14:textId="77777777" w:rsidR="002131B7" w:rsidRDefault="002131B7" w:rsidP="00F36D7D">
            <w:pPr>
              <w:pStyle w:val="Body"/>
              <w:spacing w:line="480" w:lineRule="auto"/>
              <w:jc w:val="center"/>
            </w:pPr>
            <w:r>
              <w:rPr>
                <w:i/>
                <w:iCs/>
                <w:lang w:val="en-US"/>
              </w:rPr>
              <w:t>Kcne1</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F8E3694" w14:textId="77777777" w:rsidR="002131B7" w:rsidRDefault="002131B7" w:rsidP="00F36D7D">
            <w:pPr>
              <w:pStyle w:val="Body"/>
              <w:spacing w:line="480" w:lineRule="auto"/>
              <w:jc w:val="center"/>
            </w:pPr>
            <w:r>
              <w:rPr>
                <w:lang w:val="en-US"/>
              </w:rPr>
              <w:t>NM_000219.2</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DD0AB99" w14:textId="77777777" w:rsidR="002131B7" w:rsidRDefault="002131B7" w:rsidP="00F36D7D">
            <w:pPr>
              <w:pStyle w:val="Body"/>
              <w:spacing w:line="480" w:lineRule="auto"/>
              <w:jc w:val="center"/>
            </w:pPr>
            <w:r>
              <w:rPr>
                <w:lang w:val="en-US"/>
              </w:rPr>
              <w:t>5′-GTCCTTTGATGCAAGGGTCTA-3′</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953F2A2" w14:textId="77777777" w:rsidR="002131B7" w:rsidRDefault="002131B7" w:rsidP="00F36D7D">
            <w:pPr>
              <w:pStyle w:val="Body"/>
              <w:spacing w:line="480" w:lineRule="auto"/>
              <w:jc w:val="center"/>
            </w:pPr>
            <w:r>
              <w:rPr>
                <w:lang w:val="en-US"/>
              </w:rPr>
              <w:t>123</w:t>
            </w:r>
          </w:p>
        </w:tc>
      </w:tr>
      <w:tr w:rsidR="002131B7" w14:paraId="348EA1F8" w14:textId="77777777" w:rsidTr="00F36D7D">
        <w:tblPrEx>
          <w:shd w:val="clear" w:color="auto" w:fill="auto"/>
        </w:tblPrEx>
        <w:trPr>
          <w:trHeight w:val="300"/>
        </w:trPr>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14:paraId="273B9FDA" w14:textId="77777777" w:rsidR="002131B7" w:rsidRDefault="002131B7" w:rsidP="00F36D7D">
            <w:pPr>
              <w:spacing w:line="480" w:lineRule="auto"/>
            </w:pPr>
          </w:p>
        </w:tc>
        <w:tc>
          <w:tcPr>
            <w:tcW w:w="1556" w:type="dxa"/>
            <w:vMerge/>
            <w:tcBorders>
              <w:top w:val="single" w:sz="4" w:space="0" w:color="000000"/>
              <w:left w:val="single" w:sz="4" w:space="0" w:color="000000"/>
              <w:bottom w:val="single" w:sz="4" w:space="0" w:color="000000"/>
              <w:right w:val="single" w:sz="4" w:space="0" w:color="000000"/>
            </w:tcBorders>
            <w:shd w:val="clear" w:color="auto" w:fill="FFFFFF"/>
          </w:tcPr>
          <w:p w14:paraId="35702CC3" w14:textId="77777777" w:rsidR="002131B7" w:rsidRDefault="002131B7" w:rsidP="00F36D7D">
            <w:pPr>
              <w:spacing w:line="480" w:lineRule="auto"/>
            </w:pP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720204" w14:textId="77777777" w:rsidR="002131B7" w:rsidRDefault="002131B7" w:rsidP="00F36D7D">
            <w:pPr>
              <w:pStyle w:val="Body"/>
              <w:spacing w:line="480" w:lineRule="auto"/>
              <w:jc w:val="center"/>
            </w:pPr>
            <w:r>
              <w:rPr>
                <w:lang w:val="en-US"/>
              </w:rPr>
              <w:t>5′-CTGGTCTCTTCCTCCTGAGC-3′</w:t>
            </w: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Pr>
          <w:p w14:paraId="4FC430BD" w14:textId="77777777" w:rsidR="002131B7" w:rsidRDefault="002131B7" w:rsidP="00F36D7D">
            <w:pPr>
              <w:spacing w:line="480" w:lineRule="auto"/>
            </w:pPr>
          </w:p>
        </w:tc>
      </w:tr>
      <w:tr w:rsidR="002131B7" w14:paraId="4479EBAD" w14:textId="77777777" w:rsidTr="00F36D7D">
        <w:tblPrEx>
          <w:shd w:val="clear" w:color="auto" w:fill="auto"/>
        </w:tblPrEx>
        <w:trPr>
          <w:trHeight w:val="300"/>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EE882BB" w14:textId="77777777" w:rsidR="002131B7" w:rsidRDefault="002131B7" w:rsidP="00F36D7D">
            <w:pPr>
              <w:pStyle w:val="Body"/>
              <w:spacing w:line="480" w:lineRule="auto"/>
              <w:jc w:val="center"/>
            </w:pPr>
            <w:r>
              <w:rPr>
                <w:i/>
                <w:iCs/>
                <w:lang w:val="en-US"/>
              </w:rPr>
              <w:lastRenderedPageBreak/>
              <w:t>Kcne2</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EC1F65" w14:textId="77777777" w:rsidR="002131B7" w:rsidRDefault="002131B7" w:rsidP="00F36D7D">
            <w:pPr>
              <w:pStyle w:val="Body"/>
              <w:spacing w:line="480" w:lineRule="auto"/>
              <w:jc w:val="center"/>
            </w:pPr>
            <w:r>
              <w:rPr>
                <w:lang w:val="en-US"/>
              </w:rPr>
              <w:t>NM_172201.1</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57D28E7" w14:textId="77777777" w:rsidR="002131B7" w:rsidRDefault="002131B7" w:rsidP="00F36D7D">
            <w:pPr>
              <w:pStyle w:val="Body"/>
              <w:spacing w:line="480" w:lineRule="auto"/>
              <w:jc w:val="center"/>
            </w:pPr>
            <w:r>
              <w:rPr>
                <w:lang w:val="en-US"/>
              </w:rPr>
              <w:t>5′-ATCCTGCCCACACACTGC-3′</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96FD23" w14:textId="77777777" w:rsidR="002131B7" w:rsidRDefault="002131B7" w:rsidP="00F36D7D">
            <w:pPr>
              <w:pStyle w:val="Body"/>
              <w:spacing w:line="480" w:lineRule="auto"/>
              <w:jc w:val="center"/>
            </w:pPr>
            <w:r>
              <w:rPr>
                <w:lang w:val="en-US"/>
              </w:rPr>
              <w:t>114</w:t>
            </w:r>
          </w:p>
        </w:tc>
      </w:tr>
      <w:tr w:rsidR="002131B7" w14:paraId="63535CC8" w14:textId="77777777" w:rsidTr="00F36D7D">
        <w:tblPrEx>
          <w:shd w:val="clear" w:color="auto" w:fill="auto"/>
        </w:tblPrEx>
        <w:trPr>
          <w:trHeight w:val="745"/>
        </w:trPr>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14:paraId="14531C06" w14:textId="77777777" w:rsidR="002131B7" w:rsidRDefault="002131B7" w:rsidP="00F36D7D">
            <w:pPr>
              <w:spacing w:line="480" w:lineRule="auto"/>
            </w:pPr>
          </w:p>
        </w:tc>
        <w:tc>
          <w:tcPr>
            <w:tcW w:w="1556" w:type="dxa"/>
            <w:vMerge/>
            <w:tcBorders>
              <w:top w:val="single" w:sz="4" w:space="0" w:color="000000"/>
              <w:left w:val="single" w:sz="4" w:space="0" w:color="000000"/>
              <w:bottom w:val="single" w:sz="4" w:space="0" w:color="000000"/>
              <w:right w:val="single" w:sz="4" w:space="0" w:color="000000"/>
            </w:tcBorders>
            <w:shd w:val="clear" w:color="auto" w:fill="FFFFFF"/>
          </w:tcPr>
          <w:p w14:paraId="5366D34B" w14:textId="77777777" w:rsidR="002131B7" w:rsidRDefault="002131B7" w:rsidP="00F36D7D">
            <w:pPr>
              <w:spacing w:line="480" w:lineRule="auto"/>
            </w:pP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AC4B82B" w14:textId="77777777" w:rsidR="002131B7" w:rsidRDefault="002131B7" w:rsidP="00F36D7D">
            <w:pPr>
              <w:pStyle w:val="Body"/>
              <w:spacing w:line="480" w:lineRule="auto"/>
              <w:jc w:val="center"/>
            </w:pPr>
            <w:r>
              <w:rPr>
                <w:lang w:val="en-US"/>
              </w:rPr>
              <w:t>5’-CGCCAATTGTCCATATAAGTAATAAAA-3′</w:t>
            </w: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Pr>
          <w:p w14:paraId="57DA0DE1" w14:textId="77777777" w:rsidR="002131B7" w:rsidRDefault="002131B7" w:rsidP="00F36D7D">
            <w:pPr>
              <w:spacing w:line="480" w:lineRule="auto"/>
            </w:pPr>
          </w:p>
        </w:tc>
      </w:tr>
      <w:tr w:rsidR="002131B7" w14:paraId="79E63248" w14:textId="77777777" w:rsidTr="00F36D7D">
        <w:tblPrEx>
          <w:shd w:val="clear" w:color="auto" w:fill="auto"/>
        </w:tblPrEx>
        <w:trPr>
          <w:trHeight w:val="300"/>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01B6204" w14:textId="77777777" w:rsidR="002131B7" w:rsidRDefault="002131B7" w:rsidP="00F36D7D">
            <w:pPr>
              <w:pStyle w:val="Body"/>
              <w:spacing w:line="480" w:lineRule="auto"/>
              <w:jc w:val="center"/>
            </w:pPr>
            <w:r>
              <w:rPr>
                <w:i/>
                <w:iCs/>
                <w:lang w:val="en-US"/>
              </w:rPr>
              <w:t>Kcne3</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58BE283" w14:textId="77777777" w:rsidR="002131B7" w:rsidRDefault="002131B7" w:rsidP="00F36D7D">
            <w:pPr>
              <w:pStyle w:val="Body"/>
              <w:spacing w:line="480" w:lineRule="auto"/>
              <w:jc w:val="center"/>
            </w:pPr>
            <w:r>
              <w:rPr>
                <w:lang w:val="en-US"/>
              </w:rPr>
              <w:t>NM_005472.4</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7D71C3" w14:textId="77777777" w:rsidR="002131B7" w:rsidRDefault="002131B7" w:rsidP="00F36D7D">
            <w:pPr>
              <w:pStyle w:val="Body"/>
              <w:spacing w:line="480" w:lineRule="auto"/>
              <w:jc w:val="center"/>
            </w:pPr>
            <w:r>
              <w:rPr>
                <w:lang w:val="en-US"/>
              </w:rPr>
              <w:t>5′-TCCAGAGACATCCTGAAGAGG-3′</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1822C32" w14:textId="77777777" w:rsidR="002131B7" w:rsidRDefault="002131B7" w:rsidP="00F36D7D">
            <w:pPr>
              <w:pStyle w:val="Body"/>
              <w:spacing w:line="480" w:lineRule="auto"/>
              <w:jc w:val="center"/>
            </w:pPr>
            <w:r>
              <w:rPr>
                <w:lang w:val="en-US"/>
              </w:rPr>
              <w:t>123</w:t>
            </w:r>
          </w:p>
        </w:tc>
      </w:tr>
      <w:tr w:rsidR="002131B7" w14:paraId="6F1D1941" w14:textId="77777777" w:rsidTr="00F36D7D">
        <w:tblPrEx>
          <w:shd w:val="clear" w:color="auto" w:fill="auto"/>
        </w:tblPrEx>
        <w:trPr>
          <w:trHeight w:val="300"/>
        </w:trPr>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14:paraId="0F23F63C" w14:textId="77777777" w:rsidR="002131B7" w:rsidRDefault="002131B7" w:rsidP="00F36D7D">
            <w:pPr>
              <w:spacing w:line="480" w:lineRule="auto"/>
            </w:pPr>
          </w:p>
        </w:tc>
        <w:tc>
          <w:tcPr>
            <w:tcW w:w="1556" w:type="dxa"/>
            <w:vMerge/>
            <w:tcBorders>
              <w:top w:val="single" w:sz="4" w:space="0" w:color="000000"/>
              <w:left w:val="single" w:sz="4" w:space="0" w:color="000000"/>
              <w:bottom w:val="single" w:sz="4" w:space="0" w:color="000000"/>
              <w:right w:val="single" w:sz="4" w:space="0" w:color="000000"/>
            </w:tcBorders>
            <w:shd w:val="clear" w:color="auto" w:fill="FFFFFF"/>
          </w:tcPr>
          <w:p w14:paraId="71AA2766" w14:textId="77777777" w:rsidR="002131B7" w:rsidRDefault="002131B7" w:rsidP="00F36D7D">
            <w:pPr>
              <w:spacing w:line="480" w:lineRule="auto"/>
            </w:pP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7B65876" w14:textId="77777777" w:rsidR="002131B7" w:rsidRDefault="002131B7" w:rsidP="00F36D7D">
            <w:pPr>
              <w:pStyle w:val="Body"/>
              <w:spacing w:line="480" w:lineRule="auto"/>
              <w:jc w:val="center"/>
            </w:pPr>
            <w:r>
              <w:rPr>
                <w:lang w:val="en-US"/>
              </w:rPr>
              <w:t>5′-GGGGAAGACTCGGTAGAAGC-3′</w:t>
            </w: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Pr>
          <w:p w14:paraId="196C69A2" w14:textId="77777777" w:rsidR="002131B7" w:rsidRDefault="002131B7" w:rsidP="00F36D7D">
            <w:pPr>
              <w:spacing w:line="480" w:lineRule="auto"/>
            </w:pPr>
          </w:p>
        </w:tc>
      </w:tr>
      <w:tr w:rsidR="002131B7" w14:paraId="585CCAA0" w14:textId="77777777" w:rsidTr="00F36D7D">
        <w:tblPrEx>
          <w:shd w:val="clear" w:color="auto" w:fill="auto"/>
        </w:tblPrEx>
        <w:trPr>
          <w:trHeight w:val="300"/>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A5ED5AA" w14:textId="77777777" w:rsidR="002131B7" w:rsidRDefault="002131B7" w:rsidP="00F36D7D">
            <w:pPr>
              <w:pStyle w:val="Body"/>
              <w:spacing w:line="480" w:lineRule="auto"/>
              <w:jc w:val="center"/>
            </w:pPr>
            <w:r>
              <w:rPr>
                <w:i/>
                <w:iCs/>
                <w:lang w:val="en-US"/>
              </w:rPr>
              <w:t>Kcne4</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337A8C2" w14:textId="77777777" w:rsidR="002131B7" w:rsidRDefault="002131B7" w:rsidP="00F36D7D">
            <w:pPr>
              <w:pStyle w:val="Body"/>
              <w:spacing w:line="480" w:lineRule="auto"/>
              <w:jc w:val="center"/>
            </w:pPr>
            <w:r>
              <w:rPr>
                <w:lang w:val="en-US"/>
              </w:rPr>
              <w:t>NM_080671.1</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51F7AF" w14:textId="77777777" w:rsidR="002131B7" w:rsidRDefault="002131B7" w:rsidP="00F36D7D">
            <w:pPr>
              <w:pStyle w:val="Body"/>
              <w:spacing w:line="480" w:lineRule="auto"/>
              <w:jc w:val="center"/>
            </w:pPr>
            <w:r>
              <w:rPr>
                <w:lang w:val="en-US"/>
              </w:rPr>
              <w:t>5′-CCTCTTGGACTGGACGATTT-3′</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897F347" w14:textId="77777777" w:rsidR="002131B7" w:rsidRDefault="002131B7" w:rsidP="00F36D7D">
            <w:pPr>
              <w:pStyle w:val="Body"/>
              <w:spacing w:line="480" w:lineRule="auto"/>
              <w:jc w:val="center"/>
            </w:pPr>
            <w:r>
              <w:rPr>
                <w:lang w:val="en-US"/>
              </w:rPr>
              <w:t>107</w:t>
            </w:r>
          </w:p>
        </w:tc>
      </w:tr>
      <w:tr w:rsidR="002131B7" w14:paraId="21FC4964" w14:textId="77777777" w:rsidTr="00F36D7D">
        <w:tblPrEx>
          <w:shd w:val="clear" w:color="auto" w:fill="auto"/>
        </w:tblPrEx>
        <w:trPr>
          <w:trHeight w:val="300"/>
        </w:trPr>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14:paraId="7AD6422D" w14:textId="77777777" w:rsidR="002131B7" w:rsidRDefault="002131B7" w:rsidP="00F36D7D">
            <w:pPr>
              <w:spacing w:line="480" w:lineRule="auto"/>
            </w:pPr>
          </w:p>
        </w:tc>
        <w:tc>
          <w:tcPr>
            <w:tcW w:w="1556" w:type="dxa"/>
            <w:vMerge/>
            <w:tcBorders>
              <w:top w:val="single" w:sz="4" w:space="0" w:color="000000"/>
              <w:left w:val="single" w:sz="4" w:space="0" w:color="000000"/>
              <w:bottom w:val="single" w:sz="4" w:space="0" w:color="000000"/>
              <w:right w:val="single" w:sz="4" w:space="0" w:color="000000"/>
            </w:tcBorders>
            <w:shd w:val="clear" w:color="auto" w:fill="FFFFFF"/>
          </w:tcPr>
          <w:p w14:paraId="08B5A153" w14:textId="77777777" w:rsidR="002131B7" w:rsidRDefault="002131B7" w:rsidP="00F36D7D">
            <w:pPr>
              <w:spacing w:line="480" w:lineRule="auto"/>
            </w:pP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AFAB310" w14:textId="77777777" w:rsidR="002131B7" w:rsidRDefault="002131B7" w:rsidP="00F36D7D">
            <w:pPr>
              <w:pStyle w:val="Body"/>
              <w:spacing w:line="480" w:lineRule="auto"/>
              <w:jc w:val="center"/>
            </w:pPr>
            <w:r>
              <w:rPr>
                <w:lang w:val="en-US"/>
              </w:rPr>
              <w:t>5′-GTGCTGTTCAGAGGCTCCAT-3′</w:t>
            </w: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Pr>
          <w:p w14:paraId="3EB43259" w14:textId="77777777" w:rsidR="002131B7" w:rsidRDefault="002131B7" w:rsidP="00F36D7D">
            <w:pPr>
              <w:spacing w:line="480" w:lineRule="auto"/>
            </w:pPr>
          </w:p>
        </w:tc>
      </w:tr>
      <w:tr w:rsidR="002131B7" w14:paraId="42A134B2" w14:textId="77777777" w:rsidTr="00F36D7D">
        <w:tblPrEx>
          <w:shd w:val="clear" w:color="auto" w:fill="auto"/>
        </w:tblPrEx>
        <w:trPr>
          <w:trHeight w:val="300"/>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69838A0" w14:textId="77777777" w:rsidR="002131B7" w:rsidRDefault="002131B7" w:rsidP="00F36D7D">
            <w:pPr>
              <w:pStyle w:val="Body"/>
              <w:spacing w:line="480" w:lineRule="auto"/>
              <w:jc w:val="center"/>
            </w:pPr>
            <w:r>
              <w:rPr>
                <w:i/>
                <w:iCs/>
                <w:lang w:val="en-US"/>
              </w:rPr>
              <w:t>Kcne5</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C12DE9" w14:textId="77777777" w:rsidR="002131B7" w:rsidRDefault="002131B7" w:rsidP="00F36D7D">
            <w:pPr>
              <w:pStyle w:val="Body"/>
              <w:spacing w:line="480" w:lineRule="auto"/>
              <w:jc w:val="center"/>
            </w:pPr>
            <w:r>
              <w:rPr>
                <w:lang w:val="en-US"/>
              </w:rPr>
              <w:t>NM_012282.2</w:t>
            </w: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0B310B" w14:textId="77777777" w:rsidR="002131B7" w:rsidRDefault="002131B7" w:rsidP="00F36D7D">
            <w:pPr>
              <w:pStyle w:val="Body"/>
              <w:spacing w:line="480" w:lineRule="auto"/>
              <w:jc w:val="center"/>
            </w:pPr>
            <w:r>
              <w:rPr>
                <w:lang w:val="en-US"/>
              </w:rPr>
              <w:t>5′-AACTCTGGGCCGTCTAACTG-3′</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652DF8" w14:textId="77777777" w:rsidR="002131B7" w:rsidRDefault="002131B7" w:rsidP="00F36D7D">
            <w:pPr>
              <w:pStyle w:val="Body"/>
              <w:spacing w:line="480" w:lineRule="auto"/>
              <w:jc w:val="center"/>
            </w:pPr>
            <w:r>
              <w:rPr>
                <w:lang w:val="en-US"/>
              </w:rPr>
              <w:t>113</w:t>
            </w:r>
          </w:p>
        </w:tc>
      </w:tr>
      <w:tr w:rsidR="002131B7" w14:paraId="07F10962" w14:textId="77777777" w:rsidTr="00F36D7D">
        <w:tblPrEx>
          <w:shd w:val="clear" w:color="auto" w:fill="auto"/>
        </w:tblPrEx>
        <w:trPr>
          <w:trHeight w:val="300"/>
        </w:trPr>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14:paraId="3D6F73F2" w14:textId="77777777" w:rsidR="002131B7" w:rsidRDefault="002131B7" w:rsidP="00F36D7D">
            <w:pPr>
              <w:spacing w:line="480" w:lineRule="auto"/>
            </w:pPr>
          </w:p>
        </w:tc>
        <w:tc>
          <w:tcPr>
            <w:tcW w:w="1556" w:type="dxa"/>
            <w:vMerge/>
            <w:tcBorders>
              <w:top w:val="single" w:sz="4" w:space="0" w:color="000000"/>
              <w:left w:val="single" w:sz="4" w:space="0" w:color="000000"/>
              <w:bottom w:val="single" w:sz="4" w:space="0" w:color="000000"/>
              <w:right w:val="single" w:sz="4" w:space="0" w:color="000000"/>
            </w:tcBorders>
            <w:shd w:val="clear" w:color="auto" w:fill="FFFFFF"/>
          </w:tcPr>
          <w:p w14:paraId="77BFD83D" w14:textId="77777777" w:rsidR="002131B7" w:rsidRDefault="002131B7" w:rsidP="00F36D7D">
            <w:pPr>
              <w:spacing w:line="480" w:lineRule="auto"/>
            </w:pPr>
          </w:p>
        </w:tc>
        <w:tc>
          <w:tcPr>
            <w:tcW w:w="4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D78763" w14:textId="77777777" w:rsidR="002131B7" w:rsidRDefault="002131B7" w:rsidP="00F36D7D">
            <w:pPr>
              <w:pStyle w:val="Body"/>
              <w:spacing w:line="480" w:lineRule="auto"/>
              <w:jc w:val="center"/>
            </w:pPr>
            <w:r>
              <w:rPr>
                <w:lang w:val="en-US"/>
              </w:rPr>
              <w:t>5′-AAGGCAACTGGAAGCTGGA-3′</w:t>
            </w: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cPr>
          <w:p w14:paraId="087191BF" w14:textId="77777777" w:rsidR="002131B7" w:rsidRDefault="002131B7" w:rsidP="00F36D7D">
            <w:pPr>
              <w:spacing w:line="480" w:lineRule="auto"/>
            </w:pPr>
          </w:p>
        </w:tc>
      </w:tr>
    </w:tbl>
    <w:p w14:paraId="4501A288" w14:textId="77777777" w:rsidR="002131B7" w:rsidRDefault="002131B7" w:rsidP="002131B7">
      <w:pPr>
        <w:pStyle w:val="Caption"/>
        <w:spacing w:line="480" w:lineRule="auto"/>
      </w:pPr>
      <w:r>
        <w:t xml:space="preserve"> </w:t>
      </w:r>
    </w:p>
    <w:p w14:paraId="6AC52281" w14:textId="77777777" w:rsidR="002131B7" w:rsidRPr="002B4A7E" w:rsidRDefault="002131B7" w:rsidP="002131B7">
      <w:pPr>
        <w:pStyle w:val="NormalWeb"/>
        <w:shd w:val="clear" w:color="auto" w:fill="FFFFFF"/>
        <w:spacing w:before="0" w:beforeAutospacing="0" w:after="0" w:afterAutospacing="0" w:line="480" w:lineRule="auto"/>
        <w:jc w:val="both"/>
        <w:textAlignment w:val="baseline"/>
        <w:rPr>
          <w:b/>
          <w:bCs/>
          <w:color w:val="191919"/>
        </w:rPr>
      </w:pPr>
      <w:r w:rsidRPr="002B4A7E">
        <w:rPr>
          <w:b/>
          <w:bCs/>
          <w:color w:val="191919"/>
        </w:rPr>
        <w:t xml:space="preserve">Supplementary Table 2. Antibodies used for a detection of KV7x and </w:t>
      </w:r>
      <w:proofErr w:type="spellStart"/>
      <w:r w:rsidRPr="002B4A7E">
        <w:rPr>
          <w:b/>
          <w:bCs/>
          <w:color w:val="191919"/>
        </w:rPr>
        <w:t>KCNEx</w:t>
      </w:r>
      <w:proofErr w:type="spellEnd"/>
      <w:r w:rsidRPr="002B4A7E">
        <w:rPr>
          <w:b/>
          <w:bCs/>
          <w:color w:val="191919"/>
        </w:rPr>
        <w:t xml:space="preserve"> proteins in human myometrium using immunohistochemistry. </w:t>
      </w:r>
    </w:p>
    <w:p w14:paraId="27C9ACAB" w14:textId="77777777" w:rsidR="002131B7" w:rsidRPr="00195BBC" w:rsidRDefault="002131B7" w:rsidP="002131B7">
      <w:pPr>
        <w:pStyle w:val="NormalWeb"/>
        <w:shd w:val="clear" w:color="auto" w:fill="FFFFFF"/>
        <w:spacing w:before="0" w:beforeAutospacing="0" w:after="0" w:afterAutospacing="0" w:line="480" w:lineRule="auto"/>
        <w:jc w:val="both"/>
        <w:textAlignment w:val="baseline"/>
        <w:rPr>
          <w:color w:val="191919"/>
        </w:rPr>
      </w:pPr>
    </w:p>
    <w:tbl>
      <w:tblPr>
        <w:tblW w:w="86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4"/>
        <w:gridCol w:w="2977"/>
        <w:gridCol w:w="1276"/>
        <w:gridCol w:w="1275"/>
        <w:gridCol w:w="1764"/>
      </w:tblGrid>
      <w:tr w:rsidR="002131B7" w:rsidRPr="00195BBC" w14:paraId="42657A19" w14:textId="77777777" w:rsidTr="00F36D7D">
        <w:trPr>
          <w:trHeight w:val="119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F1F50F"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b/>
                <w:bCs/>
                <w:lang w:val="en-US"/>
              </w:rPr>
              <w:t>Antibody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33198" w14:textId="77777777" w:rsidR="002131B7" w:rsidRPr="00195BBC" w:rsidRDefault="002131B7" w:rsidP="00F36D7D">
            <w:pPr>
              <w:pStyle w:val="Body"/>
              <w:spacing w:line="480" w:lineRule="auto"/>
              <w:jc w:val="center"/>
              <w:rPr>
                <w:rFonts w:ascii="Times New Roman" w:hAnsi="Times New Roman" w:cs="Times New Roman"/>
                <w:b/>
                <w:bCs/>
                <w:lang w:val="en-US"/>
              </w:rPr>
            </w:pPr>
            <w:r w:rsidRPr="00195BBC">
              <w:rPr>
                <w:rFonts w:ascii="Times New Roman" w:hAnsi="Times New Roman" w:cs="Times New Roman"/>
                <w:b/>
                <w:bCs/>
                <w:lang w:val="en-US"/>
              </w:rPr>
              <w:t>Supplier</w:t>
            </w:r>
          </w:p>
          <w:p w14:paraId="49A2527C"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b/>
                <w:bCs/>
                <w:lang w:val="en-US"/>
              </w:rPr>
              <w:t>(Cat. No.)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336B6"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b/>
                <w:bCs/>
                <w:lang w:val="en-US"/>
              </w:rPr>
              <w:t>Target species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96D1E2"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b/>
                <w:bCs/>
                <w:lang w:val="en-US"/>
              </w:rPr>
              <w:t>Species raised in</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ECF59"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b/>
                <w:bCs/>
                <w:lang w:val="en-US"/>
              </w:rPr>
              <w:t>Optimal concentration (dilution)</w:t>
            </w:r>
          </w:p>
        </w:tc>
      </w:tr>
      <w:tr w:rsidR="002131B7" w:rsidRPr="00195BBC" w14:paraId="1983FA97" w14:textId="77777777" w:rsidTr="00F36D7D">
        <w:trPr>
          <w:trHeight w:val="745"/>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9F915"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Anti-Kv7.3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578F6"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Santa Cruz Biotechnology Inc (SC-7794)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E6982"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Human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C268AF"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Goat</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36CDD9"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 xml:space="preserve">20 </w:t>
            </w:r>
            <w:proofErr w:type="spellStart"/>
            <w:r w:rsidRPr="00195BBC">
              <w:rPr>
                <w:rFonts w:ascii="Times New Roman" w:hAnsi="Times New Roman" w:cs="Times New Roman"/>
                <w:lang w:val="en-US"/>
              </w:rPr>
              <w:t>μg</w:t>
            </w:r>
            <w:proofErr w:type="spellEnd"/>
            <w:r w:rsidRPr="00195BBC">
              <w:rPr>
                <w:rFonts w:ascii="Times New Roman" w:hAnsi="Times New Roman" w:cs="Times New Roman"/>
                <w:lang w:val="en-US"/>
              </w:rPr>
              <w:t>/ml (1:10)</w:t>
            </w:r>
          </w:p>
        </w:tc>
      </w:tr>
      <w:tr w:rsidR="002131B7" w:rsidRPr="00195BBC" w14:paraId="745CF04B" w14:textId="77777777" w:rsidTr="00F36D7D">
        <w:trPr>
          <w:trHeight w:val="745"/>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136E3"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lastRenderedPageBreak/>
              <w:t>Anti-Kv7.4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39FF8" w14:textId="77777777" w:rsidR="002131B7" w:rsidRPr="00195BBC" w:rsidRDefault="002131B7" w:rsidP="00F36D7D">
            <w:pPr>
              <w:pStyle w:val="Body"/>
              <w:spacing w:line="480" w:lineRule="auto"/>
              <w:jc w:val="center"/>
              <w:rPr>
                <w:rFonts w:ascii="Times New Roman" w:hAnsi="Times New Roman" w:cs="Times New Roman"/>
              </w:rPr>
            </w:pPr>
            <w:proofErr w:type="spellStart"/>
            <w:r w:rsidRPr="00195BBC">
              <w:rPr>
                <w:rFonts w:ascii="Times New Roman" w:hAnsi="Times New Roman" w:cs="Times New Roman"/>
                <w:lang w:val="en-US"/>
              </w:rPr>
              <w:t>StressMarq</w:t>
            </w:r>
            <w:proofErr w:type="spellEnd"/>
            <w:r w:rsidRPr="00195BBC">
              <w:rPr>
                <w:rFonts w:ascii="Times New Roman" w:hAnsi="Times New Roman" w:cs="Times New Roman"/>
                <w:lang w:val="en-US"/>
              </w:rPr>
              <w:t xml:space="preserve"> Biosciences Inc. (SMC-309D)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CD086"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Human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087FF0"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Mouse</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12388"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 xml:space="preserve">20 </w:t>
            </w:r>
            <w:proofErr w:type="spellStart"/>
            <w:r w:rsidRPr="00195BBC">
              <w:rPr>
                <w:rFonts w:ascii="Times New Roman" w:hAnsi="Times New Roman" w:cs="Times New Roman"/>
                <w:lang w:val="en-US"/>
              </w:rPr>
              <w:t>μg</w:t>
            </w:r>
            <w:proofErr w:type="spellEnd"/>
            <w:r w:rsidRPr="00195BBC">
              <w:rPr>
                <w:rFonts w:ascii="Times New Roman" w:hAnsi="Times New Roman" w:cs="Times New Roman"/>
                <w:lang w:val="en-US"/>
              </w:rPr>
              <w:t>/ml (1:10)</w:t>
            </w:r>
          </w:p>
        </w:tc>
      </w:tr>
      <w:tr w:rsidR="002131B7" w:rsidRPr="00195BBC" w14:paraId="1C5967E3" w14:textId="77777777" w:rsidTr="00F36D7D">
        <w:trPr>
          <w:trHeight w:val="745"/>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B6FEC"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Anti-KCNE3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1822F"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Santa Cruz Biotechnology Inc (SC-10674)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6C0990"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Human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78D8A"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Goat</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B1C4"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 xml:space="preserve">20 </w:t>
            </w:r>
            <w:proofErr w:type="spellStart"/>
            <w:r w:rsidRPr="00195BBC">
              <w:rPr>
                <w:rFonts w:ascii="Times New Roman" w:hAnsi="Times New Roman" w:cs="Times New Roman"/>
                <w:lang w:val="en-US"/>
              </w:rPr>
              <w:t>μg</w:t>
            </w:r>
            <w:proofErr w:type="spellEnd"/>
            <w:r w:rsidRPr="00195BBC">
              <w:rPr>
                <w:rFonts w:ascii="Times New Roman" w:hAnsi="Times New Roman" w:cs="Times New Roman"/>
                <w:lang w:val="en-US"/>
              </w:rPr>
              <w:t>/ml (1:10)</w:t>
            </w:r>
          </w:p>
        </w:tc>
      </w:tr>
      <w:tr w:rsidR="002131B7" w:rsidRPr="00195BBC" w14:paraId="11126117" w14:textId="77777777" w:rsidTr="00F36D7D">
        <w:trPr>
          <w:trHeight w:val="745"/>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F329B9"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Anti-KCNE4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46D86"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Santa Cruz Biotechnology Inc (SC-34915)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A5833"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Human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568CA9"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Goat</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5EEF62" w14:textId="77777777" w:rsidR="002131B7" w:rsidRPr="00195BBC" w:rsidRDefault="002131B7" w:rsidP="00F36D7D">
            <w:pPr>
              <w:pStyle w:val="Body"/>
              <w:spacing w:line="480" w:lineRule="auto"/>
              <w:jc w:val="center"/>
              <w:rPr>
                <w:rFonts w:ascii="Times New Roman" w:hAnsi="Times New Roman" w:cs="Times New Roman"/>
              </w:rPr>
            </w:pPr>
            <w:r w:rsidRPr="00195BBC">
              <w:rPr>
                <w:rFonts w:ascii="Times New Roman" w:hAnsi="Times New Roman" w:cs="Times New Roman"/>
                <w:lang w:val="en-US"/>
              </w:rPr>
              <w:t xml:space="preserve">20 </w:t>
            </w:r>
            <w:proofErr w:type="spellStart"/>
            <w:r w:rsidRPr="00195BBC">
              <w:rPr>
                <w:rFonts w:ascii="Times New Roman" w:hAnsi="Times New Roman" w:cs="Times New Roman"/>
                <w:lang w:val="en-US"/>
              </w:rPr>
              <w:t>μg</w:t>
            </w:r>
            <w:proofErr w:type="spellEnd"/>
            <w:r w:rsidRPr="00195BBC">
              <w:rPr>
                <w:rFonts w:ascii="Times New Roman" w:hAnsi="Times New Roman" w:cs="Times New Roman"/>
                <w:lang w:val="en-US"/>
              </w:rPr>
              <w:t>/ml (1:10)</w:t>
            </w:r>
          </w:p>
        </w:tc>
      </w:tr>
    </w:tbl>
    <w:p w14:paraId="092364C8" w14:textId="77777777" w:rsidR="002131B7" w:rsidRDefault="002131B7" w:rsidP="002131B7">
      <w:pPr>
        <w:pStyle w:val="BodyText"/>
        <w:kinsoku w:val="0"/>
        <w:overflowPunct w:val="0"/>
        <w:spacing w:line="480" w:lineRule="auto"/>
        <w:rPr>
          <w:b/>
          <w:bCs/>
          <w:spacing w:val="-1"/>
          <w:sz w:val="24"/>
          <w:szCs w:val="24"/>
        </w:rPr>
      </w:pPr>
    </w:p>
    <w:p w14:paraId="2DDE13B1" w14:textId="77777777" w:rsidR="002131B7" w:rsidRPr="002B4A7E" w:rsidRDefault="002131B7" w:rsidP="002131B7">
      <w:pPr>
        <w:pStyle w:val="BodyText"/>
        <w:kinsoku w:val="0"/>
        <w:overflowPunct w:val="0"/>
        <w:spacing w:line="480" w:lineRule="auto"/>
        <w:rPr>
          <w:b/>
          <w:bCs/>
          <w:sz w:val="24"/>
          <w:szCs w:val="24"/>
        </w:rPr>
      </w:pPr>
      <w:r w:rsidRPr="00A24A2C">
        <w:rPr>
          <w:b/>
          <w:bCs/>
          <w:spacing w:val="-1"/>
          <w:sz w:val="24"/>
          <w:szCs w:val="24"/>
        </w:rPr>
        <w:t>Supplementary Table</w:t>
      </w:r>
      <w:r w:rsidRPr="00A24A2C">
        <w:rPr>
          <w:b/>
          <w:bCs/>
          <w:spacing w:val="-7"/>
          <w:sz w:val="24"/>
          <w:szCs w:val="24"/>
        </w:rPr>
        <w:t xml:space="preserve"> </w:t>
      </w:r>
      <w:r w:rsidRPr="00A24A2C">
        <w:rPr>
          <w:b/>
          <w:bCs/>
          <w:spacing w:val="-1"/>
          <w:sz w:val="24"/>
          <w:szCs w:val="24"/>
        </w:rPr>
        <w:t>3. Su</w:t>
      </w:r>
      <w:r w:rsidRPr="002B4A7E">
        <w:rPr>
          <w:b/>
          <w:bCs/>
          <w:spacing w:val="-1"/>
          <w:sz w:val="24"/>
          <w:szCs w:val="24"/>
        </w:rPr>
        <w:t>mmary</w:t>
      </w:r>
      <w:r w:rsidRPr="002B4A7E">
        <w:rPr>
          <w:b/>
          <w:bCs/>
          <w:spacing w:val="-9"/>
          <w:sz w:val="24"/>
          <w:szCs w:val="24"/>
        </w:rPr>
        <w:t xml:space="preserve"> </w:t>
      </w:r>
      <w:r w:rsidRPr="002B4A7E">
        <w:rPr>
          <w:b/>
          <w:bCs/>
          <w:sz w:val="24"/>
          <w:szCs w:val="24"/>
        </w:rPr>
        <w:t>of</w:t>
      </w:r>
      <w:r w:rsidRPr="002B4A7E">
        <w:rPr>
          <w:b/>
          <w:bCs/>
          <w:spacing w:val="-8"/>
          <w:sz w:val="24"/>
          <w:szCs w:val="24"/>
        </w:rPr>
        <w:t xml:space="preserve"> </w:t>
      </w:r>
      <w:r w:rsidRPr="002B4A7E">
        <w:rPr>
          <w:b/>
          <w:bCs/>
          <w:sz w:val="24"/>
          <w:szCs w:val="24"/>
        </w:rPr>
        <w:t>secondary</w:t>
      </w:r>
      <w:r w:rsidRPr="002B4A7E">
        <w:rPr>
          <w:b/>
          <w:bCs/>
          <w:spacing w:val="-8"/>
          <w:sz w:val="24"/>
          <w:szCs w:val="24"/>
        </w:rPr>
        <w:t xml:space="preserve"> </w:t>
      </w:r>
      <w:r w:rsidRPr="002B4A7E">
        <w:rPr>
          <w:b/>
          <w:bCs/>
          <w:sz w:val="24"/>
          <w:szCs w:val="24"/>
        </w:rPr>
        <w:t>antibodies</w:t>
      </w:r>
      <w:r w:rsidRPr="002B4A7E">
        <w:rPr>
          <w:b/>
          <w:bCs/>
          <w:spacing w:val="-8"/>
          <w:sz w:val="24"/>
          <w:szCs w:val="24"/>
        </w:rPr>
        <w:t xml:space="preserve"> </w:t>
      </w:r>
      <w:r w:rsidRPr="002B4A7E">
        <w:rPr>
          <w:b/>
          <w:bCs/>
          <w:sz w:val="24"/>
          <w:szCs w:val="24"/>
        </w:rPr>
        <w:t>used</w:t>
      </w:r>
      <w:r w:rsidRPr="002B4A7E">
        <w:rPr>
          <w:b/>
          <w:bCs/>
          <w:spacing w:val="-7"/>
          <w:sz w:val="24"/>
          <w:szCs w:val="24"/>
        </w:rPr>
        <w:t xml:space="preserve"> </w:t>
      </w:r>
      <w:r w:rsidRPr="002B4A7E">
        <w:rPr>
          <w:b/>
          <w:bCs/>
          <w:spacing w:val="-1"/>
          <w:sz w:val="24"/>
          <w:szCs w:val="24"/>
        </w:rPr>
        <w:t>for</w:t>
      </w:r>
      <w:r w:rsidRPr="002B4A7E">
        <w:rPr>
          <w:b/>
          <w:bCs/>
          <w:spacing w:val="-7"/>
          <w:sz w:val="24"/>
          <w:szCs w:val="24"/>
        </w:rPr>
        <w:t xml:space="preserve"> </w:t>
      </w:r>
      <w:r w:rsidRPr="002B4A7E">
        <w:rPr>
          <w:b/>
          <w:bCs/>
          <w:spacing w:val="-1"/>
          <w:sz w:val="24"/>
          <w:szCs w:val="24"/>
        </w:rPr>
        <w:t>immunohistochemistry</w:t>
      </w:r>
      <w:r w:rsidRPr="002B4A7E">
        <w:rPr>
          <w:b/>
          <w:bCs/>
          <w:spacing w:val="-8"/>
          <w:sz w:val="24"/>
          <w:szCs w:val="24"/>
        </w:rPr>
        <w:t xml:space="preserve"> </w:t>
      </w:r>
      <w:r w:rsidRPr="002B4A7E">
        <w:rPr>
          <w:b/>
          <w:bCs/>
          <w:spacing w:val="-1"/>
          <w:sz w:val="24"/>
          <w:szCs w:val="24"/>
        </w:rPr>
        <w:t>studies</w:t>
      </w:r>
      <w:r>
        <w:rPr>
          <w:b/>
          <w:bCs/>
          <w:spacing w:val="-1"/>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2094"/>
        <w:gridCol w:w="2268"/>
        <w:gridCol w:w="2127"/>
        <w:gridCol w:w="2189"/>
      </w:tblGrid>
      <w:tr w:rsidR="002131B7" w:rsidRPr="00195BBC" w14:paraId="1DEEAA69" w14:textId="77777777" w:rsidTr="00F36D7D">
        <w:trPr>
          <w:trHeight w:hRule="exact" w:val="977"/>
        </w:trPr>
        <w:tc>
          <w:tcPr>
            <w:tcW w:w="2094" w:type="dxa"/>
            <w:tcBorders>
              <w:top w:val="single" w:sz="4" w:space="0" w:color="000000"/>
              <w:left w:val="single" w:sz="4" w:space="0" w:color="000000"/>
              <w:bottom w:val="single" w:sz="4" w:space="0" w:color="000000"/>
              <w:right w:val="single" w:sz="4" w:space="0" w:color="000000"/>
            </w:tcBorders>
          </w:tcPr>
          <w:p w14:paraId="3BA62845" w14:textId="77777777" w:rsidR="002131B7" w:rsidRPr="00195BBC" w:rsidRDefault="002131B7" w:rsidP="00F36D7D">
            <w:pPr>
              <w:pStyle w:val="TableParagraph"/>
              <w:kinsoku w:val="0"/>
              <w:overflowPunct w:val="0"/>
              <w:spacing w:before="11" w:line="480" w:lineRule="auto"/>
              <w:rPr>
                <w:b/>
                <w:bCs/>
              </w:rPr>
            </w:pPr>
          </w:p>
          <w:p w14:paraId="7063B708" w14:textId="77777777" w:rsidR="002131B7" w:rsidRPr="00195BBC" w:rsidRDefault="002131B7" w:rsidP="00F36D7D">
            <w:pPr>
              <w:pStyle w:val="TableParagraph"/>
              <w:kinsoku w:val="0"/>
              <w:overflowPunct w:val="0"/>
              <w:spacing w:line="480" w:lineRule="auto"/>
              <w:ind w:left="618"/>
            </w:pPr>
            <w:r w:rsidRPr="00195BBC">
              <w:rPr>
                <w:b/>
                <w:bCs/>
                <w:spacing w:val="-1"/>
              </w:rPr>
              <w:t>Antibody</w:t>
            </w:r>
          </w:p>
        </w:tc>
        <w:tc>
          <w:tcPr>
            <w:tcW w:w="2268" w:type="dxa"/>
            <w:tcBorders>
              <w:top w:val="single" w:sz="4" w:space="0" w:color="000000"/>
              <w:left w:val="single" w:sz="4" w:space="0" w:color="000000"/>
              <w:bottom w:val="single" w:sz="4" w:space="0" w:color="000000"/>
              <w:right w:val="single" w:sz="4" w:space="0" w:color="000000"/>
            </w:tcBorders>
          </w:tcPr>
          <w:p w14:paraId="3C719130" w14:textId="77777777" w:rsidR="002131B7" w:rsidRPr="00195BBC" w:rsidRDefault="002131B7" w:rsidP="00F36D7D">
            <w:pPr>
              <w:pStyle w:val="TableParagraph"/>
              <w:kinsoku w:val="0"/>
              <w:overflowPunct w:val="0"/>
              <w:spacing w:before="11" w:line="480" w:lineRule="auto"/>
              <w:rPr>
                <w:b/>
                <w:bCs/>
              </w:rPr>
            </w:pPr>
          </w:p>
          <w:p w14:paraId="6BDBABD6" w14:textId="77777777" w:rsidR="002131B7" w:rsidRPr="00195BBC" w:rsidRDefault="002131B7" w:rsidP="00F36D7D">
            <w:pPr>
              <w:pStyle w:val="TableParagraph"/>
              <w:kinsoku w:val="0"/>
              <w:overflowPunct w:val="0"/>
              <w:spacing w:line="480" w:lineRule="auto"/>
              <w:ind w:left="289"/>
            </w:pPr>
            <w:r w:rsidRPr="00195BBC">
              <w:rPr>
                <w:b/>
                <w:bCs/>
                <w:spacing w:val="-1"/>
              </w:rPr>
              <w:t>Supplier</w:t>
            </w:r>
            <w:r w:rsidRPr="00195BBC">
              <w:rPr>
                <w:b/>
                <w:bCs/>
              </w:rPr>
              <w:t xml:space="preserve"> </w:t>
            </w:r>
            <w:r w:rsidRPr="00195BBC">
              <w:rPr>
                <w:b/>
                <w:bCs/>
                <w:spacing w:val="-1"/>
              </w:rPr>
              <w:t>(Cat. No.)</w:t>
            </w:r>
          </w:p>
        </w:tc>
        <w:tc>
          <w:tcPr>
            <w:tcW w:w="2127" w:type="dxa"/>
            <w:tcBorders>
              <w:top w:val="single" w:sz="4" w:space="0" w:color="000000"/>
              <w:left w:val="single" w:sz="4" w:space="0" w:color="000000"/>
              <w:bottom w:val="single" w:sz="4" w:space="0" w:color="000000"/>
              <w:right w:val="single" w:sz="4" w:space="0" w:color="000000"/>
            </w:tcBorders>
          </w:tcPr>
          <w:p w14:paraId="655C22EE" w14:textId="77777777" w:rsidR="002131B7" w:rsidRPr="00195BBC" w:rsidRDefault="002131B7" w:rsidP="00F36D7D">
            <w:pPr>
              <w:pStyle w:val="TableParagraph"/>
              <w:kinsoku w:val="0"/>
              <w:overflowPunct w:val="0"/>
              <w:spacing w:before="11" w:line="480" w:lineRule="auto"/>
              <w:rPr>
                <w:b/>
                <w:bCs/>
              </w:rPr>
            </w:pPr>
          </w:p>
          <w:p w14:paraId="1AB4FDC6" w14:textId="77777777" w:rsidR="002131B7" w:rsidRPr="00195BBC" w:rsidRDefault="002131B7" w:rsidP="00F36D7D">
            <w:pPr>
              <w:pStyle w:val="TableParagraph"/>
              <w:kinsoku w:val="0"/>
              <w:overflowPunct w:val="0"/>
              <w:spacing w:line="480" w:lineRule="auto"/>
              <w:ind w:left="490"/>
            </w:pPr>
            <w:r w:rsidRPr="00195BBC">
              <w:rPr>
                <w:b/>
                <w:bCs/>
                <w:spacing w:val="-1"/>
              </w:rPr>
              <w:t>Serum</w:t>
            </w:r>
            <w:r w:rsidRPr="00195BBC">
              <w:rPr>
                <w:b/>
                <w:bCs/>
              </w:rPr>
              <w:t xml:space="preserve"> </w:t>
            </w:r>
            <w:r w:rsidRPr="00195BBC">
              <w:rPr>
                <w:b/>
                <w:bCs/>
                <w:spacing w:val="-1"/>
              </w:rPr>
              <w:t>block</w:t>
            </w:r>
          </w:p>
        </w:tc>
        <w:tc>
          <w:tcPr>
            <w:tcW w:w="2189" w:type="dxa"/>
            <w:tcBorders>
              <w:top w:val="single" w:sz="4" w:space="0" w:color="000000"/>
              <w:left w:val="single" w:sz="4" w:space="0" w:color="000000"/>
              <w:bottom w:val="single" w:sz="4" w:space="0" w:color="000000"/>
              <w:right w:val="single" w:sz="4" w:space="0" w:color="000000"/>
            </w:tcBorders>
          </w:tcPr>
          <w:p w14:paraId="2C784B54" w14:textId="77777777" w:rsidR="002131B7" w:rsidRPr="00195BBC" w:rsidRDefault="002131B7" w:rsidP="00F36D7D">
            <w:pPr>
              <w:pStyle w:val="TableParagraph"/>
              <w:kinsoku w:val="0"/>
              <w:overflowPunct w:val="0"/>
              <w:spacing w:before="77" w:line="480" w:lineRule="auto"/>
              <w:ind w:left="663" w:right="192" w:hanging="473"/>
            </w:pPr>
            <w:r w:rsidRPr="00195BBC">
              <w:rPr>
                <w:b/>
                <w:bCs/>
                <w:spacing w:val="-1"/>
              </w:rPr>
              <w:t xml:space="preserve">Concentration </w:t>
            </w:r>
            <w:r w:rsidRPr="00195BBC">
              <w:rPr>
                <w:b/>
                <w:bCs/>
              </w:rPr>
              <w:t>used</w:t>
            </w:r>
            <w:r w:rsidRPr="00195BBC">
              <w:rPr>
                <w:b/>
                <w:bCs/>
                <w:spacing w:val="28"/>
              </w:rPr>
              <w:t xml:space="preserve"> </w:t>
            </w:r>
            <w:r w:rsidRPr="00195BBC">
              <w:rPr>
                <w:b/>
                <w:bCs/>
                <w:spacing w:val="-1"/>
              </w:rPr>
              <w:t>(dilution)</w:t>
            </w:r>
          </w:p>
        </w:tc>
      </w:tr>
      <w:tr w:rsidR="002131B7" w:rsidRPr="00195BBC" w14:paraId="038CAEA1" w14:textId="77777777" w:rsidTr="00F36D7D">
        <w:trPr>
          <w:trHeight w:hRule="exact" w:val="914"/>
        </w:trPr>
        <w:tc>
          <w:tcPr>
            <w:tcW w:w="2094" w:type="dxa"/>
            <w:tcBorders>
              <w:top w:val="single" w:sz="4" w:space="0" w:color="000000"/>
              <w:left w:val="single" w:sz="4" w:space="0" w:color="000000"/>
              <w:bottom w:val="single" w:sz="4" w:space="0" w:color="000000"/>
              <w:right w:val="single" w:sz="4" w:space="0" w:color="000000"/>
            </w:tcBorders>
          </w:tcPr>
          <w:p w14:paraId="680C5044" w14:textId="77777777" w:rsidR="002131B7" w:rsidRPr="00195BBC" w:rsidRDefault="002131B7" w:rsidP="00F36D7D">
            <w:pPr>
              <w:pStyle w:val="TableParagraph"/>
              <w:kinsoku w:val="0"/>
              <w:overflowPunct w:val="0"/>
              <w:spacing w:before="1" w:line="480" w:lineRule="auto"/>
              <w:rPr>
                <w:b/>
                <w:bCs/>
              </w:rPr>
            </w:pPr>
          </w:p>
          <w:p w14:paraId="3B701D8A" w14:textId="77777777" w:rsidR="002131B7" w:rsidRPr="00195BBC" w:rsidRDefault="002131B7" w:rsidP="00F36D7D">
            <w:pPr>
              <w:pStyle w:val="TableParagraph"/>
              <w:kinsoku w:val="0"/>
              <w:overflowPunct w:val="0"/>
              <w:spacing w:line="480" w:lineRule="auto"/>
              <w:ind w:left="318"/>
            </w:pPr>
            <w:r w:rsidRPr="00195BBC">
              <w:rPr>
                <w:spacing w:val="-1"/>
              </w:rPr>
              <w:t>Rabbit</w:t>
            </w:r>
            <w:r w:rsidRPr="00195BBC">
              <w:t xml:space="preserve"> </w:t>
            </w:r>
            <w:r w:rsidRPr="00195BBC">
              <w:rPr>
                <w:spacing w:val="-1"/>
              </w:rPr>
              <w:t>anti-goat</w:t>
            </w:r>
          </w:p>
        </w:tc>
        <w:tc>
          <w:tcPr>
            <w:tcW w:w="2268" w:type="dxa"/>
            <w:tcBorders>
              <w:top w:val="single" w:sz="4" w:space="0" w:color="000000"/>
              <w:left w:val="single" w:sz="4" w:space="0" w:color="000000"/>
              <w:bottom w:val="single" w:sz="4" w:space="0" w:color="000000"/>
              <w:right w:val="single" w:sz="4" w:space="0" w:color="000000"/>
            </w:tcBorders>
          </w:tcPr>
          <w:p w14:paraId="572A12FE" w14:textId="77777777" w:rsidR="002131B7" w:rsidRPr="00195BBC" w:rsidRDefault="002131B7" w:rsidP="00F36D7D">
            <w:pPr>
              <w:pStyle w:val="TableParagraph"/>
              <w:kinsoku w:val="0"/>
              <w:overflowPunct w:val="0"/>
              <w:spacing w:before="1" w:line="480" w:lineRule="auto"/>
              <w:rPr>
                <w:b/>
                <w:bCs/>
              </w:rPr>
            </w:pPr>
          </w:p>
          <w:p w14:paraId="04278EA4" w14:textId="77777777" w:rsidR="002131B7" w:rsidRPr="00195BBC" w:rsidRDefault="002131B7" w:rsidP="00F36D7D">
            <w:pPr>
              <w:pStyle w:val="TableParagraph"/>
              <w:kinsoku w:val="0"/>
              <w:overflowPunct w:val="0"/>
              <w:spacing w:line="480" w:lineRule="auto"/>
              <w:ind w:left="181"/>
            </w:pPr>
            <w:r w:rsidRPr="00195BBC">
              <w:rPr>
                <w:spacing w:val="-1"/>
              </w:rPr>
              <w:t>Dako</w:t>
            </w:r>
            <w:r w:rsidRPr="00195BBC">
              <w:rPr>
                <w:spacing w:val="1"/>
              </w:rPr>
              <w:t xml:space="preserve"> </w:t>
            </w:r>
            <w:r w:rsidRPr="00195BBC">
              <w:t>UK</w:t>
            </w:r>
            <w:r w:rsidRPr="00195BBC">
              <w:rPr>
                <w:spacing w:val="-2"/>
              </w:rPr>
              <w:t xml:space="preserve"> </w:t>
            </w:r>
            <w:r w:rsidRPr="00195BBC">
              <w:rPr>
                <w:spacing w:val="-1"/>
              </w:rPr>
              <w:t>Ltd. (P0449)</w:t>
            </w:r>
          </w:p>
        </w:tc>
        <w:tc>
          <w:tcPr>
            <w:tcW w:w="2127" w:type="dxa"/>
            <w:tcBorders>
              <w:top w:val="single" w:sz="4" w:space="0" w:color="000000"/>
              <w:left w:val="single" w:sz="4" w:space="0" w:color="000000"/>
              <w:bottom w:val="single" w:sz="4" w:space="0" w:color="000000"/>
              <w:right w:val="single" w:sz="4" w:space="0" w:color="000000"/>
            </w:tcBorders>
          </w:tcPr>
          <w:p w14:paraId="7C97E06C" w14:textId="77777777" w:rsidR="002131B7" w:rsidRPr="00195BBC" w:rsidRDefault="002131B7" w:rsidP="00F36D7D">
            <w:pPr>
              <w:pStyle w:val="TableParagraph"/>
              <w:kinsoku w:val="0"/>
              <w:overflowPunct w:val="0"/>
              <w:spacing w:before="1" w:line="480" w:lineRule="auto"/>
              <w:rPr>
                <w:b/>
                <w:bCs/>
              </w:rPr>
            </w:pPr>
          </w:p>
          <w:p w14:paraId="69898DF0" w14:textId="77777777" w:rsidR="002131B7" w:rsidRPr="00195BBC" w:rsidRDefault="002131B7" w:rsidP="00F36D7D">
            <w:pPr>
              <w:pStyle w:val="TableParagraph"/>
              <w:kinsoku w:val="0"/>
              <w:overflowPunct w:val="0"/>
              <w:spacing w:line="480" w:lineRule="auto"/>
              <w:ind w:right="3"/>
              <w:jc w:val="center"/>
            </w:pPr>
            <w:r w:rsidRPr="00195BBC">
              <w:rPr>
                <w:spacing w:val="-1"/>
              </w:rPr>
              <w:t>Rabbit</w:t>
            </w:r>
          </w:p>
        </w:tc>
        <w:tc>
          <w:tcPr>
            <w:tcW w:w="2189" w:type="dxa"/>
            <w:tcBorders>
              <w:top w:val="single" w:sz="4" w:space="0" w:color="000000"/>
              <w:left w:val="single" w:sz="4" w:space="0" w:color="000000"/>
              <w:bottom w:val="single" w:sz="4" w:space="0" w:color="000000"/>
              <w:right w:val="single" w:sz="4" w:space="0" w:color="000000"/>
            </w:tcBorders>
          </w:tcPr>
          <w:p w14:paraId="5D171005" w14:textId="77777777" w:rsidR="002131B7" w:rsidRPr="00195BBC" w:rsidRDefault="002131B7" w:rsidP="00F36D7D">
            <w:pPr>
              <w:pStyle w:val="TableParagraph"/>
              <w:kinsoku w:val="0"/>
              <w:overflowPunct w:val="0"/>
              <w:spacing w:before="1" w:line="480" w:lineRule="auto"/>
              <w:rPr>
                <w:b/>
                <w:bCs/>
              </w:rPr>
            </w:pPr>
          </w:p>
          <w:p w14:paraId="58CE75DE" w14:textId="77777777" w:rsidR="002131B7" w:rsidRPr="00195BBC" w:rsidRDefault="002131B7" w:rsidP="00F36D7D">
            <w:pPr>
              <w:pStyle w:val="TableParagraph"/>
              <w:kinsoku w:val="0"/>
              <w:overflowPunct w:val="0"/>
              <w:spacing w:line="480" w:lineRule="auto"/>
              <w:ind w:right="1"/>
              <w:jc w:val="center"/>
            </w:pPr>
            <w:r w:rsidRPr="00195BBC">
              <w:rPr>
                <w:spacing w:val="-1"/>
              </w:rPr>
              <w:t>(1:100)</w:t>
            </w:r>
          </w:p>
        </w:tc>
      </w:tr>
      <w:tr w:rsidR="002131B7" w:rsidRPr="00195BBC" w14:paraId="0108C4BF" w14:textId="77777777" w:rsidTr="00F36D7D">
        <w:trPr>
          <w:trHeight w:hRule="exact" w:val="915"/>
        </w:trPr>
        <w:tc>
          <w:tcPr>
            <w:tcW w:w="2094" w:type="dxa"/>
            <w:tcBorders>
              <w:top w:val="single" w:sz="4" w:space="0" w:color="000000"/>
              <w:left w:val="single" w:sz="4" w:space="0" w:color="000000"/>
              <w:bottom w:val="single" w:sz="4" w:space="0" w:color="000000"/>
              <w:right w:val="single" w:sz="4" w:space="0" w:color="000000"/>
            </w:tcBorders>
          </w:tcPr>
          <w:p w14:paraId="4713F5F5" w14:textId="77777777" w:rsidR="002131B7" w:rsidRPr="00195BBC" w:rsidRDefault="002131B7" w:rsidP="00F36D7D">
            <w:pPr>
              <w:pStyle w:val="TableParagraph"/>
              <w:kinsoku w:val="0"/>
              <w:overflowPunct w:val="0"/>
              <w:spacing w:before="4" w:line="480" w:lineRule="auto"/>
              <w:rPr>
                <w:b/>
                <w:bCs/>
              </w:rPr>
            </w:pPr>
          </w:p>
          <w:p w14:paraId="63CF9CEE" w14:textId="77777777" w:rsidR="002131B7" w:rsidRPr="00195BBC" w:rsidRDefault="002131B7" w:rsidP="00F36D7D">
            <w:pPr>
              <w:pStyle w:val="TableParagraph"/>
              <w:kinsoku w:val="0"/>
              <w:overflowPunct w:val="0"/>
              <w:spacing w:line="480" w:lineRule="auto"/>
              <w:ind w:left="289"/>
            </w:pPr>
            <w:r w:rsidRPr="00195BBC">
              <w:t>Goat</w:t>
            </w:r>
            <w:r w:rsidRPr="00195BBC">
              <w:rPr>
                <w:spacing w:val="-2"/>
              </w:rPr>
              <w:t xml:space="preserve"> </w:t>
            </w:r>
            <w:r w:rsidRPr="00195BBC">
              <w:rPr>
                <w:spacing w:val="-1"/>
              </w:rPr>
              <w:t>anti-mouse</w:t>
            </w:r>
          </w:p>
        </w:tc>
        <w:tc>
          <w:tcPr>
            <w:tcW w:w="2268" w:type="dxa"/>
            <w:tcBorders>
              <w:top w:val="single" w:sz="4" w:space="0" w:color="000000"/>
              <w:left w:val="single" w:sz="4" w:space="0" w:color="000000"/>
              <w:bottom w:val="single" w:sz="4" w:space="0" w:color="000000"/>
              <w:right w:val="single" w:sz="4" w:space="0" w:color="000000"/>
            </w:tcBorders>
          </w:tcPr>
          <w:p w14:paraId="2EC44A00" w14:textId="77777777" w:rsidR="002131B7" w:rsidRPr="00195BBC" w:rsidRDefault="002131B7" w:rsidP="00F36D7D">
            <w:pPr>
              <w:pStyle w:val="TableParagraph"/>
              <w:kinsoku w:val="0"/>
              <w:overflowPunct w:val="0"/>
              <w:spacing w:before="4" w:line="480" w:lineRule="auto"/>
              <w:rPr>
                <w:b/>
                <w:bCs/>
              </w:rPr>
            </w:pPr>
          </w:p>
          <w:p w14:paraId="3B57BF49" w14:textId="77777777" w:rsidR="002131B7" w:rsidRPr="00195BBC" w:rsidRDefault="002131B7" w:rsidP="00F36D7D">
            <w:pPr>
              <w:pStyle w:val="TableParagraph"/>
              <w:kinsoku w:val="0"/>
              <w:overflowPunct w:val="0"/>
              <w:spacing w:line="480" w:lineRule="auto"/>
              <w:ind w:left="181"/>
            </w:pPr>
            <w:r w:rsidRPr="00195BBC">
              <w:rPr>
                <w:spacing w:val="-1"/>
              </w:rPr>
              <w:t>Dako</w:t>
            </w:r>
            <w:r w:rsidRPr="00195BBC">
              <w:rPr>
                <w:spacing w:val="1"/>
              </w:rPr>
              <w:t xml:space="preserve"> </w:t>
            </w:r>
            <w:r w:rsidRPr="00195BBC">
              <w:t>UK</w:t>
            </w:r>
            <w:r w:rsidRPr="00195BBC">
              <w:rPr>
                <w:spacing w:val="-2"/>
              </w:rPr>
              <w:t xml:space="preserve"> </w:t>
            </w:r>
            <w:r w:rsidRPr="00195BBC">
              <w:rPr>
                <w:spacing w:val="-1"/>
              </w:rPr>
              <w:t>Ltd. (P0447)</w:t>
            </w:r>
          </w:p>
        </w:tc>
        <w:tc>
          <w:tcPr>
            <w:tcW w:w="2127" w:type="dxa"/>
            <w:tcBorders>
              <w:top w:val="single" w:sz="4" w:space="0" w:color="000000"/>
              <w:left w:val="single" w:sz="4" w:space="0" w:color="000000"/>
              <w:bottom w:val="single" w:sz="4" w:space="0" w:color="000000"/>
              <w:right w:val="single" w:sz="4" w:space="0" w:color="000000"/>
            </w:tcBorders>
          </w:tcPr>
          <w:p w14:paraId="305232D4" w14:textId="77777777" w:rsidR="002131B7" w:rsidRPr="00195BBC" w:rsidRDefault="002131B7" w:rsidP="00F36D7D">
            <w:pPr>
              <w:pStyle w:val="TableParagraph"/>
              <w:kinsoku w:val="0"/>
              <w:overflowPunct w:val="0"/>
              <w:spacing w:before="4" w:line="480" w:lineRule="auto"/>
              <w:rPr>
                <w:b/>
                <w:bCs/>
              </w:rPr>
            </w:pPr>
          </w:p>
          <w:p w14:paraId="5C74CAA7" w14:textId="77777777" w:rsidR="002131B7" w:rsidRPr="00195BBC" w:rsidRDefault="002131B7" w:rsidP="00F36D7D">
            <w:pPr>
              <w:pStyle w:val="TableParagraph"/>
              <w:kinsoku w:val="0"/>
              <w:overflowPunct w:val="0"/>
              <w:spacing w:line="480" w:lineRule="auto"/>
              <w:ind w:right="1"/>
              <w:jc w:val="center"/>
            </w:pPr>
            <w:r w:rsidRPr="00195BBC">
              <w:t>Goat</w:t>
            </w:r>
          </w:p>
        </w:tc>
        <w:tc>
          <w:tcPr>
            <w:tcW w:w="2189" w:type="dxa"/>
            <w:tcBorders>
              <w:top w:val="single" w:sz="4" w:space="0" w:color="000000"/>
              <w:left w:val="single" w:sz="4" w:space="0" w:color="000000"/>
              <w:bottom w:val="single" w:sz="4" w:space="0" w:color="000000"/>
              <w:right w:val="single" w:sz="4" w:space="0" w:color="000000"/>
            </w:tcBorders>
          </w:tcPr>
          <w:p w14:paraId="078F4821" w14:textId="77777777" w:rsidR="002131B7" w:rsidRPr="00195BBC" w:rsidRDefault="002131B7" w:rsidP="00F36D7D">
            <w:pPr>
              <w:pStyle w:val="TableParagraph"/>
              <w:kinsoku w:val="0"/>
              <w:overflowPunct w:val="0"/>
              <w:spacing w:before="4" w:line="480" w:lineRule="auto"/>
              <w:rPr>
                <w:b/>
                <w:bCs/>
              </w:rPr>
            </w:pPr>
          </w:p>
          <w:p w14:paraId="1ECEDD34" w14:textId="77777777" w:rsidR="002131B7" w:rsidRPr="00195BBC" w:rsidRDefault="002131B7" w:rsidP="00F36D7D">
            <w:pPr>
              <w:pStyle w:val="TableParagraph"/>
              <w:kinsoku w:val="0"/>
              <w:overflowPunct w:val="0"/>
              <w:spacing w:line="480" w:lineRule="auto"/>
              <w:ind w:right="1"/>
              <w:jc w:val="center"/>
            </w:pPr>
            <w:r w:rsidRPr="00195BBC">
              <w:rPr>
                <w:spacing w:val="-1"/>
              </w:rPr>
              <w:t>(1:100)</w:t>
            </w:r>
          </w:p>
        </w:tc>
      </w:tr>
    </w:tbl>
    <w:p w14:paraId="48709759" w14:textId="77777777" w:rsidR="002131B7" w:rsidRPr="00195BBC" w:rsidRDefault="002131B7" w:rsidP="002131B7">
      <w:pPr>
        <w:spacing w:line="480" w:lineRule="auto"/>
        <w:jc w:val="both"/>
        <w:rPr>
          <w:b/>
          <w:sz w:val="24"/>
          <w:szCs w:val="24"/>
        </w:rPr>
      </w:pPr>
    </w:p>
    <w:p w14:paraId="226B0182" w14:textId="77777777" w:rsidR="002131B7" w:rsidRPr="002B4A7E" w:rsidRDefault="002131B7" w:rsidP="002131B7">
      <w:pPr>
        <w:pStyle w:val="NormalWeb"/>
        <w:shd w:val="clear" w:color="auto" w:fill="FFFFFF"/>
        <w:spacing w:before="0" w:beforeAutospacing="0" w:after="0" w:afterAutospacing="0" w:line="480" w:lineRule="auto"/>
        <w:jc w:val="both"/>
        <w:textAlignment w:val="baseline"/>
        <w:rPr>
          <w:b/>
          <w:bCs/>
          <w:color w:val="191919"/>
        </w:rPr>
      </w:pPr>
      <w:r w:rsidRPr="002B4A7E">
        <w:rPr>
          <w:b/>
          <w:bCs/>
          <w:color w:val="191919"/>
        </w:rPr>
        <w:t>Supplementary Table 4. Antibodies used to K</w:t>
      </w:r>
      <w:r w:rsidRPr="002B4A7E">
        <w:rPr>
          <w:b/>
          <w:bCs/>
          <w:color w:val="191919"/>
          <w:vertAlign w:val="subscript"/>
        </w:rPr>
        <w:t>V</w:t>
      </w:r>
      <w:r w:rsidRPr="002B4A7E">
        <w:rPr>
          <w:b/>
          <w:bCs/>
          <w:color w:val="191919"/>
        </w:rPr>
        <w:t xml:space="preserve">7x and </w:t>
      </w:r>
      <w:proofErr w:type="spellStart"/>
      <w:r w:rsidRPr="002B4A7E">
        <w:rPr>
          <w:b/>
          <w:bCs/>
          <w:color w:val="191919"/>
        </w:rPr>
        <w:t>KCNEx</w:t>
      </w:r>
      <w:proofErr w:type="spellEnd"/>
      <w:r w:rsidRPr="002B4A7E">
        <w:rPr>
          <w:b/>
          <w:bCs/>
          <w:color w:val="191919"/>
        </w:rPr>
        <w:t xml:space="preserve"> proteins in Western Blot studies</w:t>
      </w:r>
      <w:r>
        <w:rPr>
          <w:b/>
          <w:bCs/>
          <w:color w:val="191919"/>
        </w:rPr>
        <w:t>.</w:t>
      </w:r>
    </w:p>
    <w:p w14:paraId="7E25A4CD" w14:textId="77777777" w:rsidR="002131B7" w:rsidRPr="00195BBC" w:rsidRDefault="002131B7" w:rsidP="002131B7">
      <w:pPr>
        <w:pStyle w:val="NormalWeb"/>
        <w:shd w:val="clear" w:color="auto" w:fill="FFFFFF"/>
        <w:spacing w:before="0" w:beforeAutospacing="0" w:after="0" w:afterAutospacing="0" w:line="480" w:lineRule="auto"/>
        <w:jc w:val="both"/>
        <w:textAlignment w:val="baseline"/>
        <w:rPr>
          <w:color w:val="191919"/>
        </w:rPr>
      </w:pPr>
    </w:p>
    <w:tbl>
      <w:tblPr>
        <w:tblW w:w="881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8"/>
        <w:gridCol w:w="2773"/>
        <w:gridCol w:w="1276"/>
        <w:gridCol w:w="1275"/>
        <w:gridCol w:w="1906"/>
      </w:tblGrid>
      <w:tr w:rsidR="002131B7" w:rsidRPr="003F65AC" w14:paraId="790ABB50" w14:textId="77777777" w:rsidTr="00F36D7D">
        <w:trPr>
          <w:trHeight w:val="883"/>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303EBE"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b/>
                <w:bCs/>
                <w:lang w:val="en-US"/>
              </w:rPr>
              <w:t>Antibody</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6E3B2A7" w14:textId="77777777" w:rsidR="002131B7" w:rsidRPr="003F65AC" w:rsidRDefault="002131B7" w:rsidP="00F36D7D">
            <w:pPr>
              <w:pStyle w:val="Body"/>
              <w:spacing w:line="480" w:lineRule="auto"/>
              <w:jc w:val="center"/>
              <w:rPr>
                <w:rFonts w:ascii="Times New Roman" w:hAnsi="Times New Roman" w:cs="Times New Roman"/>
                <w:b/>
                <w:bCs/>
                <w:lang w:val="en-US"/>
              </w:rPr>
            </w:pPr>
            <w:r w:rsidRPr="003F65AC">
              <w:rPr>
                <w:rFonts w:ascii="Times New Roman" w:hAnsi="Times New Roman" w:cs="Times New Roman"/>
                <w:b/>
                <w:bCs/>
                <w:lang w:val="en-US"/>
              </w:rPr>
              <w:t>Supplier</w:t>
            </w:r>
          </w:p>
          <w:p w14:paraId="084969EB"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b/>
                <w:bCs/>
                <w:lang w:val="en-US"/>
              </w:rPr>
              <w:t>(Cat. No.)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3710729"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b/>
                <w:bCs/>
                <w:lang w:val="en-US"/>
              </w:rPr>
              <w:t>Target species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2C5882"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b/>
                <w:bCs/>
                <w:lang w:val="en-US"/>
              </w:rPr>
              <w:t>Species raised in</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4C37F0"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b/>
                <w:bCs/>
                <w:lang w:val="en-US"/>
              </w:rPr>
              <w:t>Optimal concentration (dilution)</w:t>
            </w:r>
          </w:p>
        </w:tc>
      </w:tr>
      <w:tr w:rsidR="002131B7" w:rsidRPr="003F65AC" w14:paraId="26D719DB" w14:textId="77777777" w:rsidTr="00F36D7D">
        <w:trPr>
          <w:trHeight w:val="745"/>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BC0F70E"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Anti-Kv7.1</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4D2ABD4"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Santa Cruz Biotechnology Inc (SC-</w:t>
            </w:r>
            <w:r w:rsidRPr="003F65AC">
              <w:rPr>
                <w:rFonts w:ascii="Times New Roman" w:hAnsi="Times New Roman" w:cs="Times New Roman"/>
                <w:color w:val="191919"/>
              </w:rPr>
              <w:t>10646</w:t>
            </w:r>
            <w:r w:rsidRPr="003F65AC">
              <w:rPr>
                <w:rFonts w:ascii="Times New Roman" w:hAnsi="Times New Roman" w:cs="Times New Roman"/>
                <w:lang w:val="en-US"/>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116B264"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Human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EC68005"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Goat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02A038D"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 xml:space="preserve">1 </w:t>
            </w:r>
            <w:proofErr w:type="spellStart"/>
            <w:r w:rsidRPr="003F65AC">
              <w:rPr>
                <w:rFonts w:ascii="Times New Roman" w:hAnsi="Times New Roman" w:cs="Times New Roman"/>
                <w:lang w:val="en-US"/>
              </w:rPr>
              <w:t>μg</w:t>
            </w:r>
            <w:proofErr w:type="spellEnd"/>
            <w:r w:rsidRPr="003F65AC">
              <w:rPr>
                <w:rFonts w:ascii="Times New Roman" w:hAnsi="Times New Roman" w:cs="Times New Roman"/>
                <w:lang w:val="en-US"/>
              </w:rPr>
              <w:t>/ml (</w:t>
            </w:r>
            <w:r w:rsidRPr="003F65AC">
              <w:rPr>
                <w:rFonts w:ascii="Times New Roman" w:hAnsi="Times New Roman" w:cs="Times New Roman"/>
              </w:rPr>
              <w:t>1:200)</w:t>
            </w:r>
          </w:p>
        </w:tc>
      </w:tr>
      <w:tr w:rsidR="002131B7" w:rsidRPr="003F65AC" w14:paraId="583EDBDF" w14:textId="77777777" w:rsidTr="00F36D7D">
        <w:trPr>
          <w:trHeight w:val="745"/>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07B409"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lastRenderedPageBreak/>
              <w:t>Anti-Kv7.3</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929011"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Santa Cruz Biotechnology Inc (SC-7794)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ADAB01"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Human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85FC22"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Goat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269C17"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 xml:space="preserve">1 </w:t>
            </w:r>
            <w:proofErr w:type="spellStart"/>
            <w:r w:rsidRPr="003F65AC">
              <w:rPr>
                <w:rFonts w:ascii="Times New Roman" w:hAnsi="Times New Roman" w:cs="Times New Roman"/>
                <w:lang w:val="en-US"/>
              </w:rPr>
              <w:t>μg</w:t>
            </w:r>
            <w:proofErr w:type="spellEnd"/>
            <w:r w:rsidRPr="003F65AC">
              <w:rPr>
                <w:rFonts w:ascii="Times New Roman" w:hAnsi="Times New Roman" w:cs="Times New Roman"/>
                <w:lang w:val="en-US"/>
              </w:rPr>
              <w:t>/ml (</w:t>
            </w:r>
            <w:r w:rsidRPr="003F65AC">
              <w:rPr>
                <w:rFonts w:ascii="Times New Roman" w:hAnsi="Times New Roman" w:cs="Times New Roman"/>
              </w:rPr>
              <w:t>1:200)</w:t>
            </w:r>
          </w:p>
        </w:tc>
      </w:tr>
      <w:tr w:rsidR="002131B7" w:rsidRPr="003F65AC" w14:paraId="728AE4D6" w14:textId="77777777" w:rsidTr="00F36D7D">
        <w:trPr>
          <w:trHeight w:val="745"/>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85D8B8"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Anti-Kv7.4</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FD7FB75"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Santa Cruz Biotechnology Inc (SC-50417)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D6B801"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Human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75DEBFD"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Rabbit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932F26C" w14:textId="77777777" w:rsidR="002131B7" w:rsidRPr="003F65AC" w:rsidRDefault="002131B7" w:rsidP="00F36D7D">
            <w:pPr>
              <w:pStyle w:val="Body"/>
              <w:spacing w:line="480" w:lineRule="auto"/>
              <w:jc w:val="center"/>
              <w:rPr>
                <w:rFonts w:ascii="Times New Roman" w:hAnsi="Times New Roman" w:cs="Times New Roman"/>
              </w:rPr>
            </w:pPr>
            <w:r w:rsidRPr="003F65AC">
              <w:rPr>
                <w:rFonts w:ascii="Times New Roman" w:hAnsi="Times New Roman" w:cs="Times New Roman"/>
                <w:lang w:val="en-US"/>
              </w:rPr>
              <w:t xml:space="preserve">1 </w:t>
            </w:r>
            <w:proofErr w:type="spellStart"/>
            <w:r w:rsidRPr="003F65AC">
              <w:rPr>
                <w:rFonts w:ascii="Times New Roman" w:hAnsi="Times New Roman" w:cs="Times New Roman"/>
                <w:lang w:val="en-US"/>
              </w:rPr>
              <w:t>μg</w:t>
            </w:r>
            <w:proofErr w:type="spellEnd"/>
            <w:r w:rsidRPr="003F65AC">
              <w:rPr>
                <w:rFonts w:ascii="Times New Roman" w:hAnsi="Times New Roman" w:cs="Times New Roman"/>
                <w:lang w:val="en-US"/>
              </w:rPr>
              <w:t>/ml (</w:t>
            </w:r>
            <w:r w:rsidRPr="003F65AC">
              <w:rPr>
                <w:rFonts w:ascii="Times New Roman" w:hAnsi="Times New Roman" w:cs="Times New Roman"/>
              </w:rPr>
              <w:t>1:200)</w:t>
            </w:r>
          </w:p>
        </w:tc>
      </w:tr>
      <w:tr w:rsidR="002131B7" w:rsidRPr="003F65AC" w14:paraId="545F77A0" w14:textId="77777777" w:rsidTr="00F36D7D">
        <w:trPr>
          <w:trHeight w:val="745"/>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579CA25"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Anti-KCNE2</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C4CD691"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Santa Cruz Biotechnology Inc (SC-25703)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D04C71"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Human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118E19"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Rabbit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0854972"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 xml:space="preserve">1 </w:t>
            </w:r>
            <w:proofErr w:type="spellStart"/>
            <w:r w:rsidRPr="003F65AC">
              <w:rPr>
                <w:rFonts w:ascii="Times New Roman" w:hAnsi="Times New Roman" w:cs="Times New Roman"/>
                <w:lang w:val="en-US"/>
              </w:rPr>
              <w:t>μg</w:t>
            </w:r>
            <w:proofErr w:type="spellEnd"/>
            <w:r w:rsidRPr="003F65AC">
              <w:rPr>
                <w:rFonts w:ascii="Times New Roman" w:hAnsi="Times New Roman" w:cs="Times New Roman"/>
                <w:lang w:val="en-US"/>
              </w:rPr>
              <w:t>/ml (</w:t>
            </w:r>
            <w:r w:rsidRPr="003F65AC">
              <w:rPr>
                <w:rFonts w:ascii="Times New Roman" w:hAnsi="Times New Roman" w:cs="Times New Roman"/>
              </w:rPr>
              <w:t>1:200)</w:t>
            </w:r>
          </w:p>
        </w:tc>
      </w:tr>
      <w:tr w:rsidR="002131B7" w:rsidRPr="003F65AC" w14:paraId="40E40F4E" w14:textId="77777777" w:rsidTr="00F36D7D">
        <w:trPr>
          <w:trHeight w:val="745"/>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D7D0D77"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Anti-KCNE2</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17A6DFC" w14:textId="77777777" w:rsidR="002131B7" w:rsidRPr="003F65AC" w:rsidRDefault="002131B7" w:rsidP="00F36D7D">
            <w:pPr>
              <w:pStyle w:val="Body"/>
              <w:spacing w:line="480" w:lineRule="auto"/>
              <w:jc w:val="center"/>
              <w:rPr>
                <w:rFonts w:ascii="Times New Roman" w:hAnsi="Times New Roman" w:cs="Times New Roman"/>
                <w:lang w:val="en-US"/>
              </w:rPr>
            </w:pPr>
            <w:proofErr w:type="spellStart"/>
            <w:r w:rsidRPr="003F65AC">
              <w:rPr>
                <w:rFonts w:ascii="Times New Roman" w:hAnsi="Times New Roman" w:cs="Times New Roman"/>
                <w:lang w:val="en-US"/>
              </w:rPr>
              <w:t>Alomone</w:t>
            </w:r>
            <w:proofErr w:type="spellEnd"/>
            <w:r w:rsidRPr="003F65AC">
              <w:rPr>
                <w:rFonts w:ascii="Times New Roman" w:hAnsi="Times New Roman" w:cs="Times New Roman"/>
                <w:lang w:val="en-US"/>
              </w:rPr>
              <w:t xml:space="preserve"> (APC-054)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0DA6226"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Human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F3FA2F"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Rabbit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ED1C7A0"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 xml:space="preserve">3 </w:t>
            </w:r>
            <w:proofErr w:type="spellStart"/>
            <w:r w:rsidRPr="003F65AC">
              <w:rPr>
                <w:rFonts w:ascii="Times New Roman" w:hAnsi="Times New Roman" w:cs="Times New Roman"/>
                <w:lang w:val="en-US"/>
              </w:rPr>
              <w:t>μg</w:t>
            </w:r>
            <w:proofErr w:type="spellEnd"/>
            <w:r w:rsidRPr="003F65AC">
              <w:rPr>
                <w:rFonts w:ascii="Times New Roman" w:hAnsi="Times New Roman" w:cs="Times New Roman"/>
                <w:lang w:val="en-US"/>
              </w:rPr>
              <w:t>/ml (</w:t>
            </w:r>
            <w:r w:rsidRPr="003F65AC">
              <w:rPr>
                <w:rFonts w:ascii="Times New Roman" w:hAnsi="Times New Roman" w:cs="Times New Roman"/>
              </w:rPr>
              <w:t>1:200)</w:t>
            </w:r>
          </w:p>
        </w:tc>
      </w:tr>
      <w:tr w:rsidR="002131B7" w:rsidRPr="003F65AC" w14:paraId="49A4DE29" w14:textId="77777777" w:rsidTr="00F36D7D">
        <w:trPr>
          <w:trHeight w:val="745"/>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82BF66F"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Anti-KCNE3</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99C4A9"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Santa Cruz Biotechnology Inc (SC-10647)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B1A540C"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Human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17233A"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Goat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EAF643B"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 xml:space="preserve">1 </w:t>
            </w:r>
            <w:proofErr w:type="spellStart"/>
            <w:r w:rsidRPr="003F65AC">
              <w:rPr>
                <w:rFonts w:ascii="Times New Roman" w:hAnsi="Times New Roman" w:cs="Times New Roman"/>
                <w:lang w:val="en-US"/>
              </w:rPr>
              <w:t>μg</w:t>
            </w:r>
            <w:proofErr w:type="spellEnd"/>
            <w:r w:rsidRPr="003F65AC">
              <w:rPr>
                <w:rFonts w:ascii="Times New Roman" w:hAnsi="Times New Roman" w:cs="Times New Roman"/>
                <w:lang w:val="en-US"/>
              </w:rPr>
              <w:t>/ml (</w:t>
            </w:r>
            <w:r w:rsidRPr="003F65AC">
              <w:rPr>
                <w:rFonts w:ascii="Times New Roman" w:hAnsi="Times New Roman" w:cs="Times New Roman"/>
              </w:rPr>
              <w:t>1:200)</w:t>
            </w:r>
          </w:p>
        </w:tc>
      </w:tr>
      <w:tr w:rsidR="002131B7" w:rsidRPr="003F65AC" w14:paraId="5AD46F63" w14:textId="77777777" w:rsidTr="00F36D7D">
        <w:trPr>
          <w:trHeight w:val="745"/>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EBA39C"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Anti-KCNE4</w:t>
            </w:r>
          </w:p>
        </w:tc>
        <w:tc>
          <w:tcPr>
            <w:tcW w:w="2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EF073E8"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Santa Cruz Biotechnology Inc (SC-34915)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9B7C20"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Human</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F5A061"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Goat</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169163" w14:textId="77777777" w:rsidR="002131B7" w:rsidRPr="003F65AC" w:rsidRDefault="002131B7" w:rsidP="00F36D7D">
            <w:pPr>
              <w:pStyle w:val="Body"/>
              <w:spacing w:line="480" w:lineRule="auto"/>
              <w:jc w:val="center"/>
              <w:rPr>
                <w:rFonts w:ascii="Times New Roman" w:hAnsi="Times New Roman" w:cs="Times New Roman"/>
                <w:lang w:val="en-US"/>
              </w:rPr>
            </w:pPr>
            <w:r w:rsidRPr="003F65AC">
              <w:rPr>
                <w:rFonts w:ascii="Times New Roman" w:hAnsi="Times New Roman" w:cs="Times New Roman"/>
                <w:lang w:val="en-US"/>
              </w:rPr>
              <w:t xml:space="preserve">1 </w:t>
            </w:r>
            <w:proofErr w:type="spellStart"/>
            <w:r w:rsidRPr="003F65AC">
              <w:rPr>
                <w:rFonts w:ascii="Times New Roman" w:hAnsi="Times New Roman" w:cs="Times New Roman"/>
                <w:lang w:val="en-US"/>
              </w:rPr>
              <w:t>μg</w:t>
            </w:r>
            <w:proofErr w:type="spellEnd"/>
            <w:r w:rsidRPr="003F65AC">
              <w:rPr>
                <w:rFonts w:ascii="Times New Roman" w:hAnsi="Times New Roman" w:cs="Times New Roman"/>
                <w:lang w:val="en-US"/>
              </w:rPr>
              <w:t>/ml (</w:t>
            </w:r>
            <w:r w:rsidRPr="003F65AC">
              <w:rPr>
                <w:rFonts w:ascii="Times New Roman" w:hAnsi="Times New Roman" w:cs="Times New Roman"/>
              </w:rPr>
              <w:t>1:200)</w:t>
            </w:r>
          </w:p>
        </w:tc>
      </w:tr>
    </w:tbl>
    <w:p w14:paraId="22C1FC83" w14:textId="77777777" w:rsidR="002131B7" w:rsidRPr="00195BBC" w:rsidRDefault="002131B7" w:rsidP="002131B7">
      <w:pPr>
        <w:pStyle w:val="Paragraph"/>
        <w:spacing w:line="480" w:lineRule="auto"/>
        <w:ind w:firstLine="0"/>
      </w:pPr>
      <w:r>
        <w:rPr>
          <w:noProof/>
        </w:rPr>
        <w:drawing>
          <wp:inline distT="0" distB="0" distL="0" distR="0" wp14:anchorId="019D229C" wp14:editId="366AEF80">
            <wp:extent cx="5943600" cy="2790825"/>
            <wp:effectExtent l="0" t="0" r="0" b="0"/>
            <wp:docPr id="1758376634" name="Picture 1758376634" descr="A blue and red line with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76634" name="Picture 1758376634" descr="A blue and red line with arrow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790825"/>
                    </a:xfrm>
                    <a:prstGeom prst="rect">
                      <a:avLst/>
                    </a:prstGeom>
                  </pic:spPr>
                </pic:pic>
              </a:graphicData>
            </a:graphic>
          </wp:inline>
        </w:drawing>
      </w:r>
    </w:p>
    <w:p w14:paraId="0700F560" w14:textId="77777777" w:rsidR="002131B7" w:rsidRDefault="002131B7" w:rsidP="002131B7">
      <w:pPr>
        <w:pStyle w:val="Paragraph"/>
        <w:spacing w:line="480" w:lineRule="auto"/>
        <w:ind w:firstLine="0"/>
      </w:pPr>
    </w:p>
    <w:p w14:paraId="4AD217CD" w14:textId="77777777" w:rsidR="002131B7" w:rsidRPr="00A347B0" w:rsidRDefault="002131B7" w:rsidP="002131B7">
      <w:pPr>
        <w:spacing w:line="480" w:lineRule="auto"/>
        <w:jc w:val="both"/>
        <w:rPr>
          <w:sz w:val="22"/>
          <w:szCs w:val="22"/>
        </w:rPr>
      </w:pPr>
      <w:r w:rsidRPr="05274E5D">
        <w:rPr>
          <w:b/>
          <w:bCs/>
          <w:sz w:val="22"/>
          <w:szCs w:val="22"/>
        </w:rPr>
        <w:t>Supplementary Figure 1. Experimental protocol for assessing impact of K</w:t>
      </w:r>
      <w:r w:rsidRPr="05274E5D">
        <w:rPr>
          <w:b/>
          <w:bCs/>
          <w:sz w:val="22"/>
          <w:szCs w:val="22"/>
          <w:vertAlign w:val="subscript"/>
        </w:rPr>
        <w:t>V</w:t>
      </w:r>
      <w:r w:rsidRPr="05274E5D">
        <w:rPr>
          <w:b/>
          <w:bCs/>
          <w:sz w:val="22"/>
          <w:szCs w:val="22"/>
        </w:rPr>
        <w:t xml:space="preserve">7 activators on preterm birth in mice. </w:t>
      </w:r>
      <w:r w:rsidRPr="05274E5D">
        <w:rPr>
          <w:sz w:val="22"/>
          <w:szCs w:val="22"/>
        </w:rPr>
        <w:t>(</w:t>
      </w:r>
      <w:r w:rsidRPr="05274E5D">
        <w:rPr>
          <w:b/>
          <w:bCs/>
          <w:sz w:val="22"/>
          <w:szCs w:val="22"/>
        </w:rPr>
        <w:t>A</w:t>
      </w:r>
      <w:r w:rsidRPr="05274E5D">
        <w:rPr>
          <w:sz w:val="22"/>
          <w:szCs w:val="22"/>
        </w:rPr>
        <w:t xml:space="preserve">) </w:t>
      </w:r>
      <w:r w:rsidRPr="05274E5D">
        <w:rPr>
          <w:b/>
          <w:bCs/>
          <w:sz w:val="22"/>
          <w:szCs w:val="22"/>
        </w:rPr>
        <w:t>S</w:t>
      </w:r>
      <w:r w:rsidRPr="05274E5D">
        <w:rPr>
          <w:sz w:val="22"/>
          <w:szCs w:val="22"/>
        </w:rPr>
        <w:t xml:space="preserve">chematic of the experimental protocol used to induce preterm labor and </w:t>
      </w:r>
      <w:r w:rsidRPr="05274E5D">
        <w:rPr>
          <w:sz w:val="22"/>
          <w:szCs w:val="22"/>
        </w:rPr>
        <w:lastRenderedPageBreak/>
        <w:t xml:space="preserve">birth in pregnant C57BL/6J mice. Mice were mated (day 0) with plug confirmed on day1 followed by daily weighing up to days 8-10; female mice were approximately </w:t>
      </w:r>
      <w:bookmarkStart w:id="0" w:name="_Int_TLwCuf5L"/>
      <w:r w:rsidRPr="05274E5D">
        <w:rPr>
          <w:sz w:val="22"/>
          <w:szCs w:val="22"/>
        </w:rPr>
        <w:t>13 weeks</w:t>
      </w:r>
      <w:bookmarkEnd w:id="0"/>
      <w:r w:rsidRPr="05274E5D">
        <w:rPr>
          <w:sz w:val="22"/>
          <w:szCs w:val="22"/>
        </w:rPr>
        <w:t xml:space="preserve"> old. On day 15, mice were injected intraperitonially with either RU486 (150 µg dissolved in DMSO at a concentration of 1 µg/ml) or DMSO (150 µl) alone. For organ bath experiments, animals were sacrificed, and myometrium was collected on day 16 from DMSO controls (preterm not in labor, PNL) and RU486 treated animals at the time of delivery (preterm in labor, PTAL). Other mice were used for timing of gestation length, telemetry experiments and assessment of the effect of K</w:t>
      </w:r>
      <w:r w:rsidRPr="05274E5D">
        <w:rPr>
          <w:sz w:val="22"/>
          <w:szCs w:val="22"/>
          <w:vertAlign w:val="subscript"/>
        </w:rPr>
        <w:t>V</w:t>
      </w:r>
      <w:r w:rsidRPr="05274E5D">
        <w:rPr>
          <w:sz w:val="22"/>
          <w:szCs w:val="22"/>
        </w:rPr>
        <w:t>7 activator treatments (see methods for details) given by gavage. (</w:t>
      </w:r>
      <w:r w:rsidRPr="05274E5D">
        <w:rPr>
          <w:b/>
          <w:bCs/>
          <w:sz w:val="22"/>
          <w:szCs w:val="22"/>
        </w:rPr>
        <w:t>B</w:t>
      </w:r>
      <w:r w:rsidRPr="05274E5D">
        <w:rPr>
          <w:sz w:val="22"/>
          <w:szCs w:val="22"/>
        </w:rPr>
        <w:t xml:space="preserve">) Effect of RU486 administration on gestation length. Using CCTV, the delivery of the first </w:t>
      </w:r>
      <w:bookmarkStart w:id="1" w:name="_Int_wkV7zrZF"/>
      <w:r w:rsidRPr="05274E5D">
        <w:rPr>
          <w:sz w:val="22"/>
          <w:szCs w:val="22"/>
        </w:rPr>
        <w:t>pup</w:t>
      </w:r>
      <w:bookmarkEnd w:id="1"/>
      <w:r w:rsidRPr="05274E5D">
        <w:rPr>
          <w:sz w:val="22"/>
          <w:szCs w:val="22"/>
        </w:rPr>
        <w:t xml:space="preserve"> defined end of gestation. RU486 treated mice (n=6) consistently delivered on day 16, control animals (n=6) on day 19 (** p&lt;0.001). Data are expressed as mean ± SEM.</w:t>
      </w:r>
    </w:p>
    <w:p w14:paraId="78E7E897" w14:textId="77777777" w:rsidR="002131B7" w:rsidRDefault="002131B7" w:rsidP="002131B7">
      <w:pPr>
        <w:pStyle w:val="Paragraph"/>
        <w:spacing w:line="480" w:lineRule="auto"/>
        <w:ind w:firstLine="0"/>
      </w:pPr>
    </w:p>
    <w:p w14:paraId="73D2CFE1" w14:textId="77777777" w:rsidR="002131B7" w:rsidRDefault="002131B7" w:rsidP="002131B7">
      <w:pPr>
        <w:pStyle w:val="Paragraph"/>
        <w:spacing w:line="480" w:lineRule="auto"/>
        <w:ind w:firstLine="0"/>
      </w:pPr>
    </w:p>
    <w:p w14:paraId="797DE1A5" w14:textId="77777777" w:rsidR="002131B7" w:rsidRDefault="002131B7" w:rsidP="002131B7">
      <w:pPr>
        <w:pStyle w:val="Paragraph"/>
        <w:spacing w:line="480" w:lineRule="auto"/>
        <w:ind w:firstLine="0"/>
      </w:pPr>
    </w:p>
    <w:p w14:paraId="6D468155" w14:textId="77777777" w:rsidR="002131B7" w:rsidRDefault="002131B7" w:rsidP="002131B7">
      <w:pPr>
        <w:pStyle w:val="Paragraph"/>
        <w:spacing w:line="480" w:lineRule="auto"/>
        <w:ind w:firstLine="0"/>
      </w:pPr>
      <w:r w:rsidRPr="00962D24">
        <w:rPr>
          <w:noProof/>
        </w:rPr>
        <w:lastRenderedPageBreak/>
        <w:drawing>
          <wp:inline distT="0" distB="0" distL="0" distR="0" wp14:anchorId="76CA9789" wp14:editId="55245691">
            <wp:extent cx="5943600" cy="6711950"/>
            <wp:effectExtent l="0" t="0" r="0" b="0"/>
            <wp:docPr id="968538767" name="Picture 7" descr="A graph of a number of hours&#10;&#10;Description automatically generated with medium confidence">
              <a:extLst xmlns:a="http://schemas.openxmlformats.org/drawingml/2006/main">
                <a:ext uri="{FF2B5EF4-FFF2-40B4-BE49-F238E27FC236}">
                  <a16:creationId xmlns:a16="http://schemas.microsoft.com/office/drawing/2014/main" id="{0BB08032-DF7B-F4B0-8DA8-FAE5745F0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38767" name="Picture 7" descr="A graph of a number of hours&#10;&#10;Description automatically generated with medium confidence">
                      <a:extLst>
                        <a:ext uri="{FF2B5EF4-FFF2-40B4-BE49-F238E27FC236}">
                          <a16:creationId xmlns:a16="http://schemas.microsoft.com/office/drawing/2014/main" id="{0BB08032-DF7B-F4B0-8DA8-FAE5745F0577}"/>
                        </a:ext>
                      </a:extLst>
                    </pic:cNvPr>
                    <pic:cNvPicPr>
                      <a:picLocks noChangeAspect="1"/>
                    </pic:cNvPicPr>
                  </pic:nvPicPr>
                  <pic:blipFill>
                    <a:blip r:embed="rId5"/>
                    <a:stretch>
                      <a:fillRect/>
                    </a:stretch>
                  </pic:blipFill>
                  <pic:spPr>
                    <a:xfrm>
                      <a:off x="0" y="0"/>
                      <a:ext cx="5943600" cy="6711950"/>
                    </a:xfrm>
                    <a:prstGeom prst="rect">
                      <a:avLst/>
                    </a:prstGeom>
                  </pic:spPr>
                </pic:pic>
              </a:graphicData>
            </a:graphic>
          </wp:inline>
        </w:drawing>
      </w:r>
    </w:p>
    <w:p w14:paraId="44DC869A" w14:textId="77777777" w:rsidR="002131B7" w:rsidRPr="00A347B0" w:rsidRDefault="002131B7" w:rsidP="002131B7">
      <w:pPr>
        <w:pStyle w:val="Paragraph"/>
        <w:spacing w:line="480" w:lineRule="auto"/>
        <w:ind w:firstLine="0"/>
        <w:jc w:val="both"/>
        <w:rPr>
          <w:sz w:val="22"/>
          <w:szCs w:val="22"/>
        </w:rPr>
      </w:pPr>
      <w:r w:rsidRPr="05274E5D">
        <w:rPr>
          <w:b/>
          <w:bCs/>
          <w:sz w:val="22"/>
          <w:szCs w:val="22"/>
        </w:rPr>
        <w:t>Supplementary Figure 2.</w:t>
      </w:r>
      <w:r w:rsidRPr="05274E5D">
        <w:rPr>
          <w:sz w:val="22"/>
          <w:szCs w:val="22"/>
        </w:rPr>
        <w:t xml:space="preserve"> </w:t>
      </w:r>
      <w:r w:rsidRPr="05274E5D">
        <w:rPr>
          <w:b/>
          <w:bCs/>
          <w:sz w:val="22"/>
          <w:szCs w:val="22"/>
        </w:rPr>
        <w:t>K</w:t>
      </w:r>
      <w:r w:rsidRPr="05274E5D">
        <w:rPr>
          <w:b/>
          <w:bCs/>
          <w:sz w:val="22"/>
          <w:szCs w:val="22"/>
          <w:vertAlign w:val="subscript"/>
        </w:rPr>
        <w:t>V</w:t>
      </w:r>
      <w:r w:rsidRPr="05274E5D">
        <w:rPr>
          <w:b/>
          <w:bCs/>
          <w:sz w:val="22"/>
          <w:szCs w:val="22"/>
        </w:rPr>
        <w:t>7 activator retigabine affects intrauterine pressure (IUP) in CB57BL/6J</w:t>
      </w:r>
      <w:r w:rsidRPr="05274E5D">
        <w:rPr>
          <w:sz w:val="22"/>
          <w:szCs w:val="22"/>
        </w:rPr>
        <w:t xml:space="preserve"> </w:t>
      </w:r>
      <w:r w:rsidRPr="05274E5D">
        <w:rPr>
          <w:b/>
          <w:bCs/>
          <w:sz w:val="22"/>
          <w:szCs w:val="22"/>
        </w:rPr>
        <w:t xml:space="preserve">pregnant mice following RU486 administration. </w:t>
      </w:r>
      <w:r w:rsidRPr="05274E5D">
        <w:rPr>
          <w:sz w:val="22"/>
          <w:szCs w:val="22"/>
        </w:rPr>
        <w:t>Hourly averages of continuous IUP measurements recorded during the 24 hours following RU486 administration are presented relative to the administration of RU486 (</w:t>
      </w:r>
      <w:r w:rsidRPr="05274E5D">
        <w:rPr>
          <w:b/>
          <w:bCs/>
          <w:sz w:val="22"/>
          <w:szCs w:val="22"/>
        </w:rPr>
        <w:t>A</w:t>
      </w:r>
      <w:r w:rsidRPr="05274E5D">
        <w:rPr>
          <w:sz w:val="22"/>
          <w:szCs w:val="22"/>
        </w:rPr>
        <w:t>) or time of delivery (</w:t>
      </w:r>
      <w:r w:rsidRPr="05274E5D">
        <w:rPr>
          <w:b/>
          <w:bCs/>
          <w:sz w:val="22"/>
          <w:szCs w:val="22"/>
        </w:rPr>
        <w:t>B</w:t>
      </w:r>
      <w:r w:rsidRPr="05274E5D">
        <w:rPr>
          <w:sz w:val="22"/>
          <w:szCs w:val="22"/>
        </w:rPr>
        <w:t>) (n=6 for both). As the onset of delivery was not identical in all mice, the straight black line in (</w:t>
      </w:r>
      <w:r w:rsidRPr="05274E5D">
        <w:rPr>
          <w:b/>
          <w:bCs/>
          <w:sz w:val="22"/>
          <w:szCs w:val="22"/>
        </w:rPr>
        <w:t>A</w:t>
      </w:r>
      <w:r w:rsidRPr="05274E5D">
        <w:rPr>
          <w:sz w:val="22"/>
          <w:szCs w:val="22"/>
        </w:rPr>
        <w:t>) indicates the spread of delivery times in mice administered RU486. In (</w:t>
      </w:r>
      <w:r w:rsidRPr="05274E5D">
        <w:rPr>
          <w:b/>
          <w:bCs/>
          <w:sz w:val="22"/>
          <w:szCs w:val="22"/>
        </w:rPr>
        <w:t>B</w:t>
      </w:r>
      <w:r w:rsidRPr="05274E5D">
        <w:rPr>
          <w:sz w:val="22"/>
          <w:szCs w:val="22"/>
        </w:rPr>
        <w:t xml:space="preserve">), the red and blue lines represent DMSO-injected and RU486-injected mice, </w:t>
      </w:r>
      <w:r w:rsidRPr="05274E5D">
        <w:rPr>
          <w:sz w:val="22"/>
          <w:szCs w:val="22"/>
        </w:rPr>
        <w:lastRenderedPageBreak/>
        <w:t>respectively. The hourly averages for DMSO-injected mice in (B) are of an equivalent time point to those of the RU486-injected mice.</w:t>
      </w:r>
    </w:p>
    <w:p w14:paraId="5B248B00" w14:textId="77777777" w:rsidR="002131B7" w:rsidRDefault="002131B7" w:rsidP="002131B7">
      <w:pPr>
        <w:pStyle w:val="Paragraph"/>
        <w:spacing w:line="480" w:lineRule="auto"/>
        <w:ind w:firstLine="0"/>
      </w:pPr>
      <w:r>
        <w:rPr>
          <w:noProof/>
        </w:rPr>
        <w:drawing>
          <wp:inline distT="0" distB="0" distL="0" distR="0" wp14:anchorId="6E19D390" wp14:editId="3F72DBCA">
            <wp:extent cx="6260123" cy="1486110"/>
            <wp:effectExtent l="0" t="0" r="7620" b="0"/>
            <wp:docPr id="1449065957" name="Picture 1" descr="A graph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65957" name="Picture 1" descr="A graph with red lin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74915" cy="1489621"/>
                    </a:xfrm>
                    <a:prstGeom prst="rect">
                      <a:avLst/>
                    </a:prstGeom>
                  </pic:spPr>
                </pic:pic>
              </a:graphicData>
            </a:graphic>
          </wp:inline>
        </w:drawing>
      </w:r>
    </w:p>
    <w:p w14:paraId="23F55CAA" w14:textId="77777777" w:rsidR="002131B7" w:rsidRDefault="002131B7" w:rsidP="002131B7">
      <w:pPr>
        <w:spacing w:line="480" w:lineRule="auto"/>
        <w:rPr>
          <w:b/>
          <w:sz w:val="24"/>
          <w:szCs w:val="24"/>
        </w:rPr>
      </w:pPr>
    </w:p>
    <w:p w14:paraId="16F09B2F" w14:textId="77777777" w:rsidR="002131B7" w:rsidRPr="00A347B0" w:rsidRDefault="002131B7" w:rsidP="002131B7">
      <w:pPr>
        <w:pStyle w:val="Paragraph"/>
        <w:spacing w:line="480" w:lineRule="auto"/>
        <w:ind w:firstLine="0"/>
        <w:jc w:val="both"/>
        <w:rPr>
          <w:sz w:val="22"/>
          <w:szCs w:val="22"/>
        </w:rPr>
      </w:pPr>
      <w:r w:rsidRPr="05274E5D">
        <w:rPr>
          <w:b/>
          <w:bCs/>
          <w:sz w:val="22"/>
          <w:szCs w:val="22"/>
        </w:rPr>
        <w:t>Supplementary Figure 3. Effect of K</w:t>
      </w:r>
      <w:r w:rsidRPr="05274E5D">
        <w:rPr>
          <w:b/>
          <w:bCs/>
          <w:sz w:val="22"/>
          <w:szCs w:val="22"/>
          <w:vertAlign w:val="subscript"/>
        </w:rPr>
        <w:t>V</w:t>
      </w:r>
      <w:r w:rsidRPr="05274E5D">
        <w:rPr>
          <w:b/>
          <w:bCs/>
          <w:sz w:val="22"/>
          <w:szCs w:val="22"/>
        </w:rPr>
        <w:t xml:space="preserve">7 channel activation on fetal ductus arteriosus (DA) tone. </w:t>
      </w:r>
      <w:r w:rsidRPr="05274E5D">
        <w:rPr>
          <w:sz w:val="22"/>
          <w:szCs w:val="22"/>
        </w:rPr>
        <w:t>(</w:t>
      </w:r>
      <w:r w:rsidRPr="05274E5D">
        <w:rPr>
          <w:b/>
          <w:bCs/>
          <w:sz w:val="22"/>
          <w:szCs w:val="22"/>
        </w:rPr>
        <w:t>A</w:t>
      </w:r>
      <w:r w:rsidRPr="05274E5D">
        <w:rPr>
          <w:sz w:val="22"/>
          <w:szCs w:val="22"/>
        </w:rPr>
        <w:t>). Isolated DAs from term gestation fetal mice were mounted on glass pipettes for pressure myography. (</w:t>
      </w:r>
      <w:r w:rsidRPr="05274E5D">
        <w:rPr>
          <w:b/>
          <w:bCs/>
          <w:sz w:val="22"/>
          <w:szCs w:val="22"/>
        </w:rPr>
        <w:t>B</w:t>
      </w:r>
      <w:r w:rsidRPr="05274E5D">
        <w:rPr>
          <w:sz w:val="22"/>
          <w:szCs w:val="22"/>
        </w:rPr>
        <w:t xml:space="preserve">). Representative tracing of an isolated fetal DA in response to 50 mM </w:t>
      </w:r>
      <w:proofErr w:type="spellStart"/>
      <w:r w:rsidRPr="05274E5D">
        <w:rPr>
          <w:sz w:val="22"/>
          <w:szCs w:val="22"/>
        </w:rPr>
        <w:t>KCl</w:t>
      </w:r>
      <w:proofErr w:type="spellEnd"/>
      <w:r w:rsidRPr="05274E5D">
        <w:rPr>
          <w:sz w:val="22"/>
          <w:szCs w:val="22"/>
        </w:rPr>
        <w:t xml:space="preserve"> to verify vessel reactivity, followed by exposure to increasing concentrations of ML213 (10-4 to 10-8 M). (</w:t>
      </w:r>
      <w:r w:rsidRPr="05274E5D">
        <w:rPr>
          <w:b/>
          <w:bCs/>
          <w:sz w:val="22"/>
          <w:szCs w:val="22"/>
        </w:rPr>
        <w:t>C</w:t>
      </w:r>
      <w:r w:rsidRPr="05274E5D">
        <w:rPr>
          <w:sz w:val="22"/>
          <w:szCs w:val="22"/>
        </w:rPr>
        <w:t>). Cumulative concentration-response curves show that exposure to increasing concentrations of ML213 had no effect on DA diameter under fetal oxygen conditions. Constriction of the isolated DA was noted after exposure to the highest concentrations of retigabine (p&lt;0.005 compared to ML213). *** p&lt;0.0005 compared to baseline diameter. Data are mean ± S.E.M., representing DA tissues from 5 different litters.</w:t>
      </w:r>
    </w:p>
    <w:p w14:paraId="277E211C" w14:textId="77777777" w:rsidR="002131B7" w:rsidRDefault="002131B7" w:rsidP="002131B7">
      <w:pPr>
        <w:pStyle w:val="Paragraph"/>
        <w:spacing w:line="480" w:lineRule="auto"/>
        <w:ind w:firstLine="0"/>
        <w:rPr>
          <w:iCs/>
          <w:color w:val="2E74B5"/>
          <w:sz w:val="18"/>
        </w:rPr>
      </w:pPr>
    </w:p>
    <w:p w14:paraId="2CC8EA24" w14:textId="77777777" w:rsidR="002131B7" w:rsidRDefault="002131B7" w:rsidP="002131B7">
      <w:pPr>
        <w:pStyle w:val="Paragraph"/>
        <w:spacing w:line="480" w:lineRule="auto"/>
        <w:ind w:firstLine="0"/>
        <w:rPr>
          <w:iCs/>
          <w:color w:val="2E74B5"/>
          <w:sz w:val="18"/>
        </w:rPr>
      </w:pPr>
    </w:p>
    <w:p w14:paraId="32CB3F0C" w14:textId="77777777" w:rsidR="002131B7" w:rsidRDefault="002131B7" w:rsidP="002131B7">
      <w:pPr>
        <w:pStyle w:val="Paragraph"/>
        <w:spacing w:line="480" w:lineRule="auto"/>
        <w:ind w:firstLine="0"/>
        <w:rPr>
          <w:iCs/>
          <w:color w:val="2E74B5"/>
          <w:sz w:val="18"/>
        </w:rPr>
      </w:pPr>
    </w:p>
    <w:sectPr w:rsidR="00213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7"/>
    <w:rsid w:val="002131B7"/>
    <w:rsid w:val="003B18B8"/>
    <w:rsid w:val="005704D3"/>
    <w:rsid w:val="0062580E"/>
    <w:rsid w:val="008711D2"/>
    <w:rsid w:val="00916B6A"/>
    <w:rsid w:val="00B4458B"/>
    <w:rsid w:val="00F01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B954"/>
  <w15:chartTrackingRefBased/>
  <w15:docId w15:val="{BCEE33A9-0118-48E3-A6E5-713F8807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B7"/>
    <w:pPr>
      <w:spacing w:after="0" w:line="240" w:lineRule="auto"/>
    </w:pPr>
    <w:rPr>
      <w:rFonts w:ascii="Times New Roman" w:eastAsia="Calibri"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2131B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131B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131B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131B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2131B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2131B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2131B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2131B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2131B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1B7"/>
    <w:rPr>
      <w:rFonts w:eastAsiaTheme="majorEastAsia" w:cstheme="majorBidi"/>
      <w:color w:val="272727" w:themeColor="text1" w:themeTint="D8"/>
    </w:rPr>
  </w:style>
  <w:style w:type="paragraph" w:styleId="Title">
    <w:name w:val="Title"/>
    <w:basedOn w:val="Normal"/>
    <w:next w:val="Normal"/>
    <w:link w:val="TitleChar"/>
    <w:uiPriority w:val="10"/>
    <w:qFormat/>
    <w:rsid w:val="002131B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13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1B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13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1B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2131B7"/>
    <w:rPr>
      <w:i/>
      <w:iCs/>
      <w:color w:val="404040" w:themeColor="text1" w:themeTint="BF"/>
    </w:rPr>
  </w:style>
  <w:style w:type="paragraph" w:styleId="ListParagraph">
    <w:name w:val="List Paragraph"/>
    <w:basedOn w:val="Normal"/>
    <w:uiPriority w:val="34"/>
    <w:qFormat/>
    <w:rsid w:val="002131B7"/>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2131B7"/>
    <w:rPr>
      <w:i/>
      <w:iCs/>
      <w:color w:val="0F4761" w:themeColor="accent1" w:themeShade="BF"/>
    </w:rPr>
  </w:style>
  <w:style w:type="paragraph" w:styleId="IntenseQuote">
    <w:name w:val="Intense Quote"/>
    <w:basedOn w:val="Normal"/>
    <w:next w:val="Normal"/>
    <w:link w:val="IntenseQuoteChar"/>
    <w:uiPriority w:val="30"/>
    <w:qFormat/>
    <w:rsid w:val="002131B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2131B7"/>
    <w:rPr>
      <w:i/>
      <w:iCs/>
      <w:color w:val="0F4761" w:themeColor="accent1" w:themeShade="BF"/>
    </w:rPr>
  </w:style>
  <w:style w:type="character" w:styleId="IntenseReference">
    <w:name w:val="Intense Reference"/>
    <w:basedOn w:val="DefaultParagraphFont"/>
    <w:uiPriority w:val="32"/>
    <w:qFormat/>
    <w:rsid w:val="002131B7"/>
    <w:rPr>
      <w:b/>
      <w:bCs/>
      <w:smallCaps/>
      <w:color w:val="0F4761" w:themeColor="accent1" w:themeShade="BF"/>
      <w:spacing w:val="5"/>
    </w:rPr>
  </w:style>
  <w:style w:type="paragraph" w:customStyle="1" w:styleId="Paragraph">
    <w:name w:val="Paragraph"/>
    <w:basedOn w:val="Normal"/>
    <w:rsid w:val="002131B7"/>
    <w:pPr>
      <w:spacing w:before="120"/>
      <w:ind w:firstLine="720"/>
    </w:pPr>
    <w:rPr>
      <w:rFonts w:eastAsia="Times New Roman"/>
      <w:sz w:val="24"/>
      <w:szCs w:val="24"/>
    </w:rPr>
  </w:style>
  <w:style w:type="paragraph" w:customStyle="1" w:styleId="SOMHead">
    <w:name w:val="SOMHead"/>
    <w:basedOn w:val="Normal"/>
    <w:rsid w:val="002131B7"/>
    <w:pPr>
      <w:keepNext/>
      <w:spacing w:before="240"/>
      <w:outlineLvl w:val="0"/>
    </w:pPr>
    <w:rPr>
      <w:rFonts w:eastAsia="Times New Roman"/>
      <w:b/>
      <w:kern w:val="28"/>
      <w:sz w:val="24"/>
      <w:szCs w:val="24"/>
    </w:rPr>
  </w:style>
  <w:style w:type="paragraph" w:styleId="NormalWeb">
    <w:name w:val="Normal (Web)"/>
    <w:basedOn w:val="Normal"/>
    <w:uiPriority w:val="99"/>
    <w:unhideWhenUsed/>
    <w:rsid w:val="002131B7"/>
    <w:pPr>
      <w:spacing w:before="100" w:beforeAutospacing="1" w:after="100" w:afterAutospacing="1"/>
    </w:pPr>
    <w:rPr>
      <w:rFonts w:eastAsia="Times New Roman"/>
      <w:sz w:val="24"/>
      <w:szCs w:val="24"/>
      <w:lang w:val="en-GB" w:eastAsia="en-GB"/>
    </w:rPr>
  </w:style>
  <w:style w:type="paragraph" w:styleId="BodyText">
    <w:name w:val="Body Text"/>
    <w:basedOn w:val="Normal"/>
    <w:link w:val="BodyTextChar"/>
    <w:uiPriority w:val="99"/>
    <w:semiHidden/>
    <w:unhideWhenUsed/>
    <w:rsid w:val="002131B7"/>
    <w:pPr>
      <w:spacing w:after="120"/>
    </w:pPr>
  </w:style>
  <w:style w:type="character" w:customStyle="1" w:styleId="BodyTextChar">
    <w:name w:val="Body Text Char"/>
    <w:basedOn w:val="DefaultParagraphFont"/>
    <w:link w:val="BodyText"/>
    <w:uiPriority w:val="99"/>
    <w:semiHidden/>
    <w:rsid w:val="002131B7"/>
    <w:rPr>
      <w:rFonts w:ascii="Times New Roman" w:eastAsia="Calibri" w:hAnsi="Times New Roman" w:cs="Times New Roman"/>
      <w:kern w:val="0"/>
      <w:sz w:val="20"/>
      <w:szCs w:val="20"/>
      <w:lang w:val="en-US"/>
      <w14:ligatures w14:val="none"/>
    </w:rPr>
  </w:style>
  <w:style w:type="paragraph" w:customStyle="1" w:styleId="Body">
    <w:name w:val="Body"/>
    <w:rsid w:val="002131B7"/>
    <w:pPr>
      <w:spacing w:after="0" w:line="360" w:lineRule="auto"/>
      <w:jc w:val="both"/>
    </w:pPr>
    <w:rPr>
      <w:rFonts w:ascii="Cambria" w:eastAsia="Cambria" w:hAnsi="Cambria" w:cs="Cambria"/>
      <w:color w:val="000000"/>
      <w:kern w:val="0"/>
      <w:sz w:val="24"/>
      <w:szCs w:val="24"/>
      <w:u w:color="000000"/>
      <w:lang w:eastAsia="en-GB"/>
      <w14:ligatures w14:val="none"/>
    </w:rPr>
  </w:style>
  <w:style w:type="paragraph" w:customStyle="1" w:styleId="TableParagraph">
    <w:name w:val="Table Paragraph"/>
    <w:basedOn w:val="Normal"/>
    <w:uiPriority w:val="1"/>
    <w:qFormat/>
    <w:rsid w:val="002131B7"/>
    <w:pPr>
      <w:autoSpaceDE w:val="0"/>
      <w:autoSpaceDN w:val="0"/>
      <w:adjustRightInd w:val="0"/>
    </w:pPr>
    <w:rPr>
      <w:sz w:val="24"/>
      <w:szCs w:val="24"/>
      <w:lang w:val="en-GB"/>
    </w:rPr>
  </w:style>
  <w:style w:type="paragraph" w:styleId="Caption">
    <w:name w:val="caption"/>
    <w:next w:val="Body"/>
    <w:rsid w:val="002131B7"/>
    <w:pPr>
      <w:keepNext/>
      <w:pBdr>
        <w:top w:val="nil"/>
        <w:left w:val="nil"/>
        <w:bottom w:val="nil"/>
        <w:right w:val="nil"/>
        <w:between w:val="nil"/>
        <w:bar w:val="nil"/>
      </w:pBdr>
      <w:spacing w:after="200" w:line="360" w:lineRule="auto"/>
      <w:jc w:val="both"/>
    </w:pPr>
    <w:rPr>
      <w:rFonts w:ascii="Cambria" w:eastAsia="Cambria" w:hAnsi="Cambria" w:cs="Cambria"/>
      <w:b/>
      <w:bCs/>
      <w:color w:val="000000"/>
      <w:kern w:val="0"/>
      <w:sz w:val="20"/>
      <w:szCs w:val="2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Hiten Mistry</dc:creator>
  <cp:keywords/>
  <dc:description/>
  <cp:lastModifiedBy>Hiten Mistry</cp:lastModifiedBy>
  <cp:revision>1</cp:revision>
  <dcterms:created xsi:type="dcterms:W3CDTF">2025-03-11T15:49:00Z</dcterms:created>
  <dcterms:modified xsi:type="dcterms:W3CDTF">2025-03-11T15:50:00Z</dcterms:modified>
</cp:coreProperties>
</file>