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474CB" w14:textId="77777777" w:rsidR="000A7E03" w:rsidRPr="000A7E03" w:rsidRDefault="000A7E03" w:rsidP="000A7E03">
      <w:pPr>
        <w:spacing w:line="480" w:lineRule="auto"/>
        <w:rPr>
          <w:rFonts w:ascii="Arial" w:eastAsia="Calibri" w:hAnsi="Arial" w:cs="Arial"/>
          <w:b/>
          <w:i/>
          <w:sz w:val="20"/>
          <w:szCs w:val="20"/>
          <w:lang w:val="en-US"/>
        </w:rPr>
      </w:pPr>
      <w:r w:rsidRPr="000A7E03">
        <w:rPr>
          <w:rFonts w:ascii="Arial" w:eastAsia="Calibri" w:hAnsi="Arial" w:cs="Arial"/>
          <w:b/>
          <w:i/>
          <w:sz w:val="20"/>
          <w:szCs w:val="20"/>
          <w:lang w:val="en-US"/>
        </w:rPr>
        <w:t>Supplementary</w:t>
      </w:r>
      <w:r w:rsidRPr="000A7E03">
        <w:rPr>
          <w:rFonts w:ascii="Arial" w:eastAsia="Calibri" w:hAnsi="Arial" w:cs="Arial"/>
          <w:sz w:val="20"/>
          <w:szCs w:val="20"/>
          <w:lang w:val="en-US"/>
        </w:rPr>
        <w:t xml:space="preserve"> </w:t>
      </w:r>
      <w:r w:rsidRPr="000A7E03">
        <w:rPr>
          <w:rFonts w:ascii="Arial" w:eastAsia="Calibri" w:hAnsi="Arial" w:cs="Arial"/>
          <w:b/>
          <w:i/>
          <w:sz w:val="20"/>
          <w:szCs w:val="20"/>
          <w:lang w:val="en-US"/>
        </w:rPr>
        <w:t>materials and methods</w:t>
      </w:r>
    </w:p>
    <w:p w14:paraId="0B119007" w14:textId="77777777" w:rsidR="000A7E03" w:rsidRPr="000A7E03" w:rsidRDefault="000A7E03" w:rsidP="000A7E03">
      <w:pPr>
        <w:spacing w:line="480" w:lineRule="auto"/>
        <w:rPr>
          <w:rFonts w:ascii="Arial" w:eastAsia="Calibri" w:hAnsi="Arial" w:cs="Arial"/>
          <w:b/>
          <w:sz w:val="20"/>
          <w:szCs w:val="20"/>
          <w:lang w:val="en-US"/>
        </w:rPr>
      </w:pPr>
      <w:r w:rsidRPr="000A7E03">
        <w:rPr>
          <w:rFonts w:ascii="Arial" w:eastAsia="Calibri" w:hAnsi="Arial" w:cs="Arial"/>
          <w:b/>
          <w:sz w:val="20"/>
          <w:szCs w:val="20"/>
          <w:lang w:val="en-US"/>
        </w:rPr>
        <w:t>Efflux Transporter Activity Test</w:t>
      </w:r>
    </w:p>
    <w:p w14:paraId="3BCF25D3" w14:textId="77777777" w:rsidR="000A7E03" w:rsidRPr="000A7E03" w:rsidRDefault="000A7E03" w:rsidP="000A7E03">
      <w:pPr>
        <w:spacing w:line="480" w:lineRule="auto"/>
        <w:ind w:firstLine="708"/>
        <w:rPr>
          <w:rFonts w:ascii="Arial" w:eastAsia="Calibri" w:hAnsi="Arial" w:cs="Arial"/>
          <w:i/>
          <w:sz w:val="20"/>
          <w:szCs w:val="20"/>
          <w:u w:val="single"/>
          <w:lang w:val="en-US"/>
        </w:rPr>
      </w:pPr>
      <w:r w:rsidRPr="000A7E03">
        <w:rPr>
          <w:rFonts w:ascii="Arial" w:eastAsia="Calibri" w:hAnsi="Arial" w:cs="Arial"/>
          <w:i/>
          <w:sz w:val="20"/>
          <w:szCs w:val="20"/>
          <w:u w:val="single"/>
          <w:lang w:val="en-US"/>
        </w:rPr>
        <w:t>Non-specific: Rhodamine123</w:t>
      </w:r>
    </w:p>
    <w:p w14:paraId="14EADBDB" w14:textId="77777777" w:rsidR="000A7E03" w:rsidRPr="000A7E03" w:rsidRDefault="000A7E03" w:rsidP="000A7E03">
      <w:pPr>
        <w:spacing w:line="480" w:lineRule="auto"/>
        <w:jc w:val="both"/>
        <w:rPr>
          <w:rFonts w:ascii="Arial" w:eastAsia="Calibri" w:hAnsi="Arial" w:cs="Arial"/>
          <w:sz w:val="20"/>
          <w:szCs w:val="20"/>
          <w:lang w:val="en-US"/>
        </w:rPr>
      </w:pPr>
      <w:r w:rsidRPr="000A7E03">
        <w:rPr>
          <w:rFonts w:ascii="Arial" w:eastAsia="Calibri" w:hAnsi="Arial" w:cs="Arial"/>
          <w:sz w:val="20"/>
          <w:szCs w:val="20"/>
          <w:lang w:val="en-US"/>
        </w:rPr>
        <w:t>Rhodamine123 (R123, Santa Cruz Biotechnology, Heidelberg, Germany) is a fluorescent compound that passively enters the cell and is extruded using efflux transporters. Cells are incubated for 15 minutes at 37°C with R123. Then, two washes with PBS (Phosphate Buffered Saline) are performed. Afterward, a portion of the cells is fixed with 1% paraformaldehyde (PFA), thus corresponding to the maximum amount of R123 contained in the cells. This condition constitutes our T0. The other portion is incubated at 37°C for an additional 45 minutes with complete culture medium. After this incubation, we perform two washes with PBS before fixing the cells with 1% PFA. The cells are scraped off their support and placed into 5 ml tubes. The cells are then analyzed using a MACSQuant flow cytometer (Miltenyi Biotec, Paris, France). The collected data are analyzed using FlowJo software (version 10.7). The protocol is described in our previous study</w:t>
      </w:r>
      <w:r w:rsidRPr="000A7E03">
        <w:rPr>
          <w:rFonts w:ascii="Arial" w:eastAsia="Calibri" w:hAnsi="Arial" w:cs="Arial"/>
          <w:sz w:val="20"/>
          <w:szCs w:val="20"/>
          <w:lang w:val="en-US"/>
        </w:rPr>
        <w:fldChar w:fldCharType="begin"/>
      </w:r>
      <w:r w:rsidRPr="000A7E03">
        <w:rPr>
          <w:rFonts w:ascii="Arial" w:eastAsia="Calibri" w:hAnsi="Arial" w:cs="Arial"/>
          <w:sz w:val="20"/>
          <w:szCs w:val="20"/>
          <w:lang w:val="en-US"/>
        </w:rPr>
        <w:instrText xml:space="preserve"> ADDIN ZOTERO_ITEM CSL_CITATION {"citationID":"KAvCEoHt","properties":{"formattedCitation":"\\super 38\\nosupersub{}","plainCitation":"38","noteIndex":0},"citationItems":[{"id":39,"uris":["http://zotero.org/users/15486707/items/5ZET9P2M"],"itemData":{"id":39,"type":"article-journal","container-title":"Oncotarget","DOI":"10.18632/oncotarget.8679","ISSN":"1949-2553","issue":"22","journalAbbreviation":"Oncotarget","language":"en","note":"number: 22","page":"32493-32503","source":"DOI.org (Crossref)","title":"Hepatocyte SLAMF3 reduced specifically the multidrugs resistance protein MRP-1 and increases HCC cells sensitization to anti-cancer drugs","volume":"7","author":[{"family":"Fouquet","given":"Grégory"},{"family":"Debuysscher","given":"Véronique"},{"family":"Ouled-Haddou","given":"Hakim"},{"family":"Eugenio","given":"Mélanie Simoes"},{"family":"Demey","given":"Baptiste"},{"family":"Singh","given":"Amrathlal Rabbind"},{"family":"Ossart","given":"Christèle"},{"family":"Bagami","given":"Mohammed Al"},{"family":"Regimbeau","given":"Jean-Marc"},{"family":"Nguyen-Khac","given":"Eric"},{"family":"Naassila","given":"Mickael"},{"family":"Marcq","given":"Ingrid"},{"family":"Bouhlal","given":"Hicham"}],"issued":{"date-parts":[["2016",5,31]]}}}],"schema":"https://github.com/citation-style-language/schema/raw/master/csl-citation.json"} </w:instrText>
      </w:r>
      <w:r w:rsidRPr="000A7E03">
        <w:rPr>
          <w:rFonts w:ascii="Arial" w:eastAsia="Calibri" w:hAnsi="Arial" w:cs="Arial"/>
          <w:sz w:val="20"/>
          <w:szCs w:val="20"/>
          <w:lang w:val="en-US"/>
        </w:rPr>
        <w:fldChar w:fldCharType="separate"/>
      </w:r>
      <w:r w:rsidRPr="000A7E03">
        <w:rPr>
          <w:rFonts w:ascii="Arial" w:eastAsia="Calibri" w:hAnsi="Arial" w:cs="Arial"/>
          <w:sz w:val="20"/>
          <w:szCs w:val="20"/>
          <w:vertAlign w:val="superscript"/>
        </w:rPr>
        <w:t>38</w:t>
      </w:r>
      <w:r w:rsidRPr="000A7E03">
        <w:rPr>
          <w:rFonts w:ascii="Arial" w:eastAsia="Calibri" w:hAnsi="Arial" w:cs="Arial"/>
          <w:sz w:val="20"/>
          <w:szCs w:val="20"/>
          <w:lang w:val="en-US"/>
        </w:rPr>
        <w:fldChar w:fldCharType="end"/>
      </w:r>
      <w:r w:rsidRPr="000A7E03">
        <w:rPr>
          <w:rFonts w:ascii="Arial" w:eastAsia="Calibri" w:hAnsi="Arial" w:cs="Arial"/>
          <w:sz w:val="20"/>
          <w:szCs w:val="20"/>
        </w:rPr>
        <w:t>.</w:t>
      </w:r>
    </w:p>
    <w:p w14:paraId="11012FFC" w14:textId="77777777" w:rsidR="000A7E03" w:rsidRPr="000A7E03" w:rsidRDefault="000A7E03" w:rsidP="000A7E03">
      <w:pPr>
        <w:spacing w:line="480" w:lineRule="auto"/>
        <w:ind w:firstLine="708"/>
        <w:rPr>
          <w:rFonts w:ascii="Arial" w:eastAsia="Calibri" w:hAnsi="Arial" w:cs="Arial"/>
          <w:i/>
          <w:sz w:val="20"/>
          <w:szCs w:val="20"/>
          <w:u w:val="single"/>
          <w:lang w:val="en-US"/>
        </w:rPr>
      </w:pPr>
      <w:r w:rsidRPr="000A7E03">
        <w:rPr>
          <w:rFonts w:ascii="Arial" w:eastAsia="Calibri" w:hAnsi="Arial" w:cs="Arial"/>
          <w:i/>
          <w:sz w:val="20"/>
          <w:szCs w:val="20"/>
          <w:u w:val="single"/>
          <w:lang w:val="en-US"/>
        </w:rPr>
        <w:t>Specific: EFFLUX Gold Test</w:t>
      </w:r>
    </w:p>
    <w:p w14:paraId="759A9EB3" w14:textId="77777777" w:rsidR="000A7E03" w:rsidRPr="000A7E03" w:rsidRDefault="000A7E03" w:rsidP="000A7E03">
      <w:pPr>
        <w:spacing w:line="480" w:lineRule="auto"/>
        <w:jc w:val="both"/>
        <w:rPr>
          <w:rFonts w:ascii="Arial" w:eastAsia="Calibri" w:hAnsi="Arial" w:cs="Arial"/>
          <w:sz w:val="20"/>
          <w:szCs w:val="20"/>
          <w:lang w:val="en-US"/>
        </w:rPr>
      </w:pPr>
      <w:r w:rsidRPr="000A7E03">
        <w:rPr>
          <w:rFonts w:ascii="Arial" w:eastAsia="Calibri" w:hAnsi="Arial" w:cs="Arial"/>
          <w:sz w:val="20"/>
          <w:szCs w:val="20"/>
          <w:lang w:val="en-US"/>
        </w:rPr>
        <w:t>To determine the specific activity of several efflux transporters, we used the EFFLUX-ID® Gold kit (Enzo Life Sciences), which contains inhibitors for the MRP1 (ABCC1), MDR1 (ABCB1), and BCRP (ABCG2) transporters. For each condition, 2×10⁵ cells were incubated with the Efflux Gold reagent in the presence or absence of specific inhibitors of MRP1 (MK-571), MDR1 (Verapamil), and BCRP (Novobiocin) according to the protocol for 30 minutes at 37°C. The cells were then resuspended in cold PBS for flow cytometry analysis (MACSQuant Cytometer; Miltenyi Biotec, Paris, France).</w:t>
      </w:r>
    </w:p>
    <w:p w14:paraId="47C73628" w14:textId="77777777" w:rsidR="000A7E03" w:rsidRPr="000A7E03" w:rsidRDefault="000A7E03" w:rsidP="000A7E03">
      <w:pPr>
        <w:spacing w:line="480" w:lineRule="auto"/>
        <w:rPr>
          <w:rFonts w:ascii="Arial" w:eastAsia="Calibri" w:hAnsi="Arial" w:cs="Arial"/>
          <w:sz w:val="20"/>
          <w:szCs w:val="20"/>
          <w:lang w:val="en-US"/>
        </w:rPr>
      </w:pPr>
      <w:r w:rsidRPr="000A7E03">
        <w:rPr>
          <w:rFonts w:ascii="Arial" w:eastAsia="Calibri" w:hAnsi="Arial" w:cs="Arial"/>
          <w:sz w:val="20"/>
          <w:szCs w:val="20"/>
          <w:lang w:val="en-US"/>
        </w:rPr>
        <w:t>The activity of each studied transporter was determined using the following formula:</w:t>
      </w:r>
    </w:p>
    <w:p w14:paraId="4075838F" w14:textId="77777777" w:rsidR="000A7E03" w:rsidRPr="000A7E03" w:rsidRDefault="000A7E03" w:rsidP="000A7E03">
      <w:pPr>
        <w:spacing w:line="480" w:lineRule="auto"/>
        <w:rPr>
          <w:rFonts w:ascii="Arial" w:eastAsia="Calibri" w:hAnsi="Arial" w:cs="Arial"/>
          <w:sz w:val="20"/>
          <w:szCs w:val="20"/>
          <w:vertAlign w:val="subscript"/>
          <w:lang w:val="en-US"/>
        </w:rPr>
      </w:pPr>
      <w:r w:rsidRPr="000A7E03">
        <w:rPr>
          <w:rFonts w:ascii="Cambria Math" w:eastAsia="Calibri" w:hAnsi="Cambria Math" w:cs="Cambria Math"/>
          <w:sz w:val="20"/>
          <w:szCs w:val="20"/>
        </w:rPr>
        <w:t>𝑀𝐴𝐹</w:t>
      </w:r>
      <w:r w:rsidRPr="000A7E03">
        <w:rPr>
          <w:rFonts w:ascii="Arial" w:eastAsia="Calibri" w:hAnsi="Arial" w:cs="Arial"/>
          <w:sz w:val="20"/>
          <w:szCs w:val="20"/>
          <w:vertAlign w:val="subscript"/>
          <w:lang w:val="en-US"/>
        </w:rPr>
        <w:t xml:space="preserve">MDR </w:t>
      </w:r>
      <w:r w:rsidRPr="000A7E03">
        <w:rPr>
          <w:rFonts w:ascii="Arial" w:eastAsia="Calibri" w:hAnsi="Arial" w:cs="Arial"/>
          <w:sz w:val="20"/>
          <w:szCs w:val="20"/>
          <w:lang w:val="en-US"/>
        </w:rPr>
        <w:t>= 100 × (</w:t>
      </w:r>
      <w:r w:rsidRPr="000A7E03">
        <w:rPr>
          <w:rFonts w:ascii="Cambria Math" w:eastAsia="Calibri" w:hAnsi="Cambria Math" w:cs="Cambria Math"/>
          <w:sz w:val="20"/>
          <w:szCs w:val="20"/>
        </w:rPr>
        <w:t>𝐹</w:t>
      </w:r>
      <w:r w:rsidRPr="000A7E03">
        <w:rPr>
          <w:rFonts w:ascii="Arial" w:eastAsia="Calibri" w:hAnsi="Arial" w:cs="Arial"/>
          <w:sz w:val="20"/>
          <w:szCs w:val="20"/>
          <w:vertAlign w:val="subscript"/>
          <w:lang w:val="en-US"/>
        </w:rPr>
        <w:t>MDR</w:t>
      </w:r>
      <w:r w:rsidRPr="000A7E03">
        <w:rPr>
          <w:rFonts w:ascii="Arial" w:eastAsia="Calibri" w:hAnsi="Arial" w:cs="Arial"/>
          <w:sz w:val="20"/>
          <w:szCs w:val="20"/>
          <w:lang w:val="en-US"/>
        </w:rPr>
        <w:t xml:space="preserve"> − </w:t>
      </w:r>
      <w:r w:rsidRPr="000A7E03">
        <w:rPr>
          <w:rFonts w:ascii="Cambria Math" w:eastAsia="Calibri" w:hAnsi="Cambria Math" w:cs="Cambria Math"/>
          <w:sz w:val="20"/>
          <w:szCs w:val="20"/>
        </w:rPr>
        <w:t>𝐹</w:t>
      </w:r>
      <w:r w:rsidRPr="000A7E03">
        <w:rPr>
          <w:rFonts w:ascii="Arial" w:eastAsia="Calibri" w:hAnsi="Arial" w:cs="Arial"/>
          <w:sz w:val="20"/>
          <w:szCs w:val="20"/>
          <w:lang w:val="en-US"/>
        </w:rPr>
        <w:t xml:space="preserve">0 ) / </w:t>
      </w:r>
      <w:r w:rsidRPr="000A7E03">
        <w:rPr>
          <w:rFonts w:ascii="Cambria Math" w:eastAsia="Calibri" w:hAnsi="Cambria Math" w:cs="Cambria Math"/>
          <w:sz w:val="20"/>
          <w:szCs w:val="20"/>
        </w:rPr>
        <w:t>𝐹</w:t>
      </w:r>
      <w:r w:rsidRPr="000A7E03">
        <w:rPr>
          <w:rFonts w:ascii="Arial" w:eastAsia="Calibri" w:hAnsi="Arial" w:cs="Arial"/>
          <w:sz w:val="20"/>
          <w:szCs w:val="20"/>
          <w:vertAlign w:val="subscript"/>
          <w:lang w:val="en-US"/>
        </w:rPr>
        <w:t>MDR</w:t>
      </w:r>
    </w:p>
    <w:p w14:paraId="7744D56B" w14:textId="77777777" w:rsidR="000A7E03" w:rsidRPr="000A7E03" w:rsidRDefault="000A7E03" w:rsidP="000A7E03">
      <w:pPr>
        <w:spacing w:after="0" w:line="480" w:lineRule="auto"/>
        <w:rPr>
          <w:rFonts w:ascii="Arial" w:eastAsia="Calibri" w:hAnsi="Arial" w:cs="Arial"/>
          <w:sz w:val="20"/>
          <w:szCs w:val="20"/>
          <w:lang w:val="en-US"/>
        </w:rPr>
      </w:pPr>
      <w:r w:rsidRPr="000A7E03">
        <w:rPr>
          <w:rFonts w:ascii="Arial" w:eastAsia="Calibri" w:hAnsi="Arial" w:cs="Arial"/>
          <w:sz w:val="20"/>
          <w:szCs w:val="20"/>
          <w:lang w:val="en-US"/>
        </w:rPr>
        <w:t xml:space="preserve">MAF: multidrug resistance activity factor </w:t>
      </w:r>
    </w:p>
    <w:p w14:paraId="26BC6D39" w14:textId="77777777" w:rsidR="000A7E03" w:rsidRPr="000A7E03" w:rsidRDefault="000A7E03" w:rsidP="000A7E03">
      <w:pPr>
        <w:spacing w:after="0" w:line="480" w:lineRule="auto"/>
        <w:rPr>
          <w:rFonts w:ascii="Arial" w:eastAsia="Calibri" w:hAnsi="Arial" w:cs="Arial"/>
          <w:sz w:val="20"/>
          <w:szCs w:val="20"/>
          <w:lang w:val="en-US"/>
        </w:rPr>
      </w:pPr>
      <w:r w:rsidRPr="000A7E03">
        <w:rPr>
          <w:rFonts w:ascii="Arial" w:eastAsia="Calibri" w:hAnsi="Arial" w:cs="Arial"/>
          <w:sz w:val="20"/>
          <w:szCs w:val="20"/>
          <w:lang w:val="en-US"/>
        </w:rPr>
        <w:t>F</w:t>
      </w:r>
      <w:r w:rsidRPr="000A7E03">
        <w:rPr>
          <w:rFonts w:ascii="Arial" w:eastAsia="Calibri" w:hAnsi="Arial" w:cs="Arial"/>
          <w:sz w:val="20"/>
          <w:szCs w:val="20"/>
          <w:vertAlign w:val="subscript"/>
          <w:lang w:val="en-US"/>
        </w:rPr>
        <w:t>MDR</w:t>
      </w:r>
      <w:r w:rsidRPr="000A7E03">
        <w:rPr>
          <w:rFonts w:ascii="Arial" w:eastAsia="Calibri" w:hAnsi="Arial" w:cs="Arial"/>
          <w:sz w:val="20"/>
          <w:szCs w:val="20"/>
          <w:lang w:val="en-US"/>
        </w:rPr>
        <w:t>: mean fluorescence intensity in the presence of Verapamil</w:t>
      </w:r>
      <w:r w:rsidRPr="000A7E03">
        <w:rPr>
          <w:rFonts w:ascii="Arial" w:eastAsia="Calibri" w:hAnsi="Arial" w:cs="Arial"/>
          <w:sz w:val="20"/>
          <w:szCs w:val="20"/>
          <w:lang w:val="en-US"/>
        </w:rPr>
        <w:br/>
      </w:r>
      <w:r w:rsidRPr="000A7E03">
        <w:rPr>
          <w:rFonts w:ascii="Arial" w:eastAsia="Calibri" w:hAnsi="Arial" w:cs="Arial"/>
          <w:bCs/>
          <w:sz w:val="20"/>
          <w:szCs w:val="20"/>
          <w:lang w:val="en-US"/>
        </w:rPr>
        <w:t>F0</w:t>
      </w:r>
      <w:r w:rsidRPr="000A7E03">
        <w:rPr>
          <w:rFonts w:ascii="Arial" w:eastAsia="Calibri" w:hAnsi="Arial" w:cs="Arial"/>
          <w:b/>
          <w:sz w:val="20"/>
          <w:szCs w:val="20"/>
          <w:lang w:val="en-US"/>
        </w:rPr>
        <w:t>:</w:t>
      </w:r>
      <w:r w:rsidRPr="000A7E03">
        <w:rPr>
          <w:rFonts w:ascii="Arial" w:eastAsia="Calibri" w:hAnsi="Arial" w:cs="Arial"/>
          <w:sz w:val="20"/>
          <w:szCs w:val="20"/>
          <w:lang w:val="en-US"/>
        </w:rPr>
        <w:t xml:space="preserve"> fluorescence intensity in the absence of inhibitor </w:t>
      </w:r>
    </w:p>
    <w:p w14:paraId="25B6E738" w14:textId="50D8B071" w:rsidR="000A7E03" w:rsidRDefault="000A7E03" w:rsidP="000A7E03">
      <w:pPr>
        <w:spacing w:after="0" w:line="480" w:lineRule="auto"/>
        <w:rPr>
          <w:rFonts w:ascii="Arial" w:eastAsia="Calibri" w:hAnsi="Arial" w:cs="Arial"/>
          <w:sz w:val="20"/>
          <w:szCs w:val="20"/>
          <w:lang w:val="en-US"/>
        </w:rPr>
      </w:pPr>
    </w:p>
    <w:p w14:paraId="23F5ACFA" w14:textId="22F9C911" w:rsidR="0068257E" w:rsidRDefault="0068257E" w:rsidP="000A7E03">
      <w:pPr>
        <w:spacing w:after="0" w:line="480" w:lineRule="auto"/>
        <w:rPr>
          <w:rFonts w:ascii="Arial" w:eastAsia="Calibri" w:hAnsi="Arial" w:cs="Arial"/>
          <w:sz w:val="20"/>
          <w:szCs w:val="20"/>
          <w:lang w:val="en-US"/>
        </w:rPr>
      </w:pPr>
    </w:p>
    <w:p w14:paraId="63A34746" w14:textId="77777777" w:rsidR="0068257E" w:rsidRPr="000A7E03" w:rsidRDefault="0068257E" w:rsidP="000A7E03">
      <w:pPr>
        <w:spacing w:after="0" w:line="480" w:lineRule="auto"/>
        <w:rPr>
          <w:rFonts w:ascii="Arial" w:eastAsia="Calibri" w:hAnsi="Arial" w:cs="Arial"/>
          <w:sz w:val="20"/>
          <w:szCs w:val="20"/>
          <w:lang w:val="en-US"/>
        </w:rPr>
      </w:pPr>
    </w:p>
    <w:p w14:paraId="74D11C11" w14:textId="77777777" w:rsidR="000A7E03" w:rsidRPr="000A7E03" w:rsidRDefault="000A7E03" w:rsidP="000A7E03">
      <w:pPr>
        <w:spacing w:line="480" w:lineRule="auto"/>
        <w:rPr>
          <w:rFonts w:ascii="Arial" w:eastAsia="Calibri" w:hAnsi="Arial" w:cs="Arial"/>
          <w:b/>
          <w:sz w:val="20"/>
          <w:szCs w:val="20"/>
          <w:lang w:val="en-US"/>
        </w:rPr>
      </w:pPr>
      <w:r w:rsidRPr="000A7E03">
        <w:rPr>
          <w:rFonts w:ascii="Arial" w:eastAsia="Calibri" w:hAnsi="Arial" w:cs="Arial"/>
          <w:b/>
          <w:sz w:val="20"/>
          <w:szCs w:val="20"/>
          <w:lang w:val="en-US"/>
        </w:rPr>
        <w:lastRenderedPageBreak/>
        <w:t>RNA Extraction and Quantitative Real-Time PCR</w:t>
      </w:r>
    </w:p>
    <w:p w14:paraId="152EB862" w14:textId="77777777" w:rsidR="000A7E03" w:rsidRPr="000A7E03" w:rsidRDefault="000A7E03" w:rsidP="000A7E03">
      <w:pPr>
        <w:spacing w:line="480" w:lineRule="auto"/>
        <w:jc w:val="both"/>
        <w:rPr>
          <w:rFonts w:ascii="Arial" w:eastAsia="Calibri" w:hAnsi="Arial" w:cs="Arial"/>
          <w:sz w:val="20"/>
          <w:szCs w:val="20"/>
          <w:lang w:val="en-US"/>
        </w:rPr>
      </w:pPr>
      <w:r w:rsidRPr="000A7E03">
        <w:rPr>
          <w:rFonts w:ascii="Arial" w:eastAsia="Calibri" w:hAnsi="Arial" w:cs="Arial"/>
          <w:sz w:val="20"/>
          <w:szCs w:val="20"/>
          <w:lang w:val="en-US"/>
        </w:rPr>
        <w:t>Total RNA was extracted using the ReliaPrep™ RNA Miniprep system (Promega). After RNA quantification, 1 µg of total RNA was used to prepare cDNA using the High-Capacity cDNA Reverse Transcription kit (Applied Biosystems). Quantitative real-time PCR was performed using a SYBRGreen probe. The sequence of the primers used for quantitative real-time PCR (RT-qPCR) is presented in Supplementary Table 1. The HPRT1 gene was used as the reference gene.</w:t>
      </w:r>
    </w:p>
    <w:p w14:paraId="3C6432FC" w14:textId="77777777" w:rsidR="000A7E03" w:rsidRPr="000A7E03" w:rsidRDefault="000A7E03" w:rsidP="000A7E03">
      <w:pPr>
        <w:spacing w:line="480" w:lineRule="auto"/>
        <w:rPr>
          <w:rFonts w:ascii="Arial" w:eastAsia="Calibri" w:hAnsi="Arial" w:cs="Arial"/>
          <w:b/>
          <w:sz w:val="20"/>
          <w:szCs w:val="20"/>
          <w:lang w:val="en-US"/>
        </w:rPr>
      </w:pPr>
      <w:r w:rsidRPr="000A7E03">
        <w:rPr>
          <w:rFonts w:ascii="Arial" w:eastAsia="Calibri" w:hAnsi="Arial" w:cs="Arial"/>
          <w:b/>
          <w:sz w:val="20"/>
          <w:szCs w:val="20"/>
          <w:lang w:val="en-US"/>
        </w:rPr>
        <w:t>Flow cytometry</w:t>
      </w:r>
      <w:r w:rsidRPr="000A7E03">
        <w:rPr>
          <w:rFonts w:ascii="Arial" w:eastAsia="Calibri" w:hAnsi="Arial" w:cs="Arial"/>
          <w:sz w:val="20"/>
          <w:szCs w:val="20"/>
          <w:lang w:val="en-US"/>
        </w:rPr>
        <w:t xml:space="preserve"> </w:t>
      </w:r>
    </w:p>
    <w:p w14:paraId="6B04CDE7" w14:textId="77777777" w:rsidR="000A7E03" w:rsidRPr="000A7E03" w:rsidRDefault="000A7E03" w:rsidP="000A7E03">
      <w:pPr>
        <w:spacing w:line="480" w:lineRule="auto"/>
        <w:jc w:val="both"/>
        <w:rPr>
          <w:rFonts w:ascii="Arial" w:eastAsia="Calibri" w:hAnsi="Arial" w:cs="Arial"/>
          <w:sz w:val="20"/>
          <w:szCs w:val="20"/>
          <w:lang w:val="en-US"/>
        </w:rPr>
      </w:pPr>
      <w:r w:rsidRPr="000A7E03">
        <w:rPr>
          <w:rFonts w:ascii="Arial" w:eastAsia="Calibri" w:hAnsi="Arial" w:cs="Arial"/>
          <w:sz w:val="20"/>
          <w:szCs w:val="20"/>
          <w:lang w:val="en-US"/>
        </w:rPr>
        <w:t xml:space="preserve">Flow cytometry analysis was used to determine the impact of CAE on the expression of efflux transporters (MRP1 and MDR1). Cells were incubated in a saturated solution of PBS and 2.5% fetal bovine serum for 30 minutes at 4°C, then incubated with fluorescent primary antibodies or their corresponding isotypes for 30 minutes at 4°C. </w:t>
      </w:r>
    </w:p>
    <w:p w14:paraId="0F942D2C" w14:textId="09F227D1" w:rsidR="000A7E03" w:rsidRPr="000A7E03" w:rsidRDefault="000A7E03" w:rsidP="0068257E">
      <w:pPr>
        <w:jc w:val="both"/>
        <w:rPr>
          <w:rFonts w:ascii="Arial" w:eastAsia="Calibri" w:hAnsi="Arial" w:cs="Arial"/>
          <w:sz w:val="20"/>
          <w:szCs w:val="20"/>
          <w:lang w:val="en-US"/>
        </w:rPr>
      </w:pPr>
      <w:r w:rsidRPr="000A7E03">
        <w:rPr>
          <w:rFonts w:ascii="Arial" w:eastAsia="Calibri" w:hAnsi="Arial" w:cs="Arial"/>
          <w:sz w:val="20"/>
          <w:szCs w:val="20"/>
          <w:lang w:val="en-US"/>
        </w:rPr>
        <w:t>Cells were washed twice with PBS and analyzed using a MACSQuant flow cytometer (Miltenyi Biotec). The results were analyzed using FlowJo software. The antibodies used are listed in Supplementary Table 2.</w:t>
      </w:r>
    </w:p>
    <w:p w14:paraId="42959A0C" w14:textId="77777777" w:rsidR="000A7E03" w:rsidRPr="000A7E03" w:rsidRDefault="000A7E03" w:rsidP="000A7E03">
      <w:pPr>
        <w:rPr>
          <w:rFonts w:ascii="Arial" w:eastAsia="Calibri" w:hAnsi="Arial" w:cs="Arial"/>
          <w:b/>
          <w:i/>
          <w:sz w:val="20"/>
          <w:szCs w:val="20"/>
          <w:lang w:val="en-US"/>
        </w:rPr>
      </w:pPr>
      <w:r w:rsidRPr="000A7E03">
        <w:rPr>
          <w:rFonts w:ascii="Arial" w:eastAsia="Calibri" w:hAnsi="Arial" w:cs="Arial"/>
          <w:b/>
          <w:i/>
          <w:sz w:val="20"/>
          <w:szCs w:val="20"/>
          <w:lang w:val="en-US"/>
        </w:rPr>
        <w:t>Supplementary figures and tables materials and methods</w:t>
      </w:r>
    </w:p>
    <w:p w14:paraId="00438685" w14:textId="77777777" w:rsidR="000A7E03" w:rsidRPr="000A7E03" w:rsidRDefault="000A7E03" w:rsidP="000A7E03">
      <w:pPr>
        <w:jc w:val="center"/>
        <w:rPr>
          <w:rFonts w:ascii="Arial" w:eastAsia="Calibri" w:hAnsi="Arial" w:cs="Arial"/>
          <w:b/>
          <w:i/>
          <w:sz w:val="20"/>
          <w:szCs w:val="20"/>
        </w:rPr>
      </w:pPr>
      <w:r w:rsidRPr="000A7E03">
        <w:rPr>
          <w:rFonts w:ascii="Arial" w:eastAsia="Calibri" w:hAnsi="Arial" w:cs="Arial"/>
          <w:b/>
          <w:i/>
          <w:noProof/>
          <w:sz w:val="20"/>
          <w:szCs w:val="20"/>
        </w:rPr>
        <w:drawing>
          <wp:inline distT="0" distB="0" distL="0" distR="0" wp14:anchorId="1D18A3EE" wp14:editId="3BA1D315">
            <wp:extent cx="4079631" cy="1399219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131"/>
                    <a:stretch/>
                  </pic:blipFill>
                  <pic:spPr bwMode="auto">
                    <a:xfrm>
                      <a:off x="0" y="0"/>
                      <a:ext cx="4090450" cy="14029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8C4CB9" w14:textId="77777777" w:rsidR="000A7E03" w:rsidRPr="000A7E03" w:rsidRDefault="000A7E03" w:rsidP="000A7E03">
      <w:pPr>
        <w:jc w:val="center"/>
        <w:rPr>
          <w:rFonts w:ascii="Arial" w:eastAsia="Calibri" w:hAnsi="Arial" w:cs="Arial"/>
          <w:bCs/>
          <w:i/>
          <w:sz w:val="20"/>
          <w:szCs w:val="20"/>
          <w:u w:val="single"/>
          <w:lang w:val="en-US"/>
        </w:rPr>
      </w:pPr>
      <w:r w:rsidRPr="000A7E03">
        <w:rPr>
          <w:rFonts w:ascii="Arial" w:eastAsia="Calibri" w:hAnsi="Arial" w:cs="Arial"/>
          <w:bCs/>
          <w:sz w:val="20"/>
          <w:szCs w:val="20"/>
          <w:u w:val="single"/>
          <w:lang w:val="en-US"/>
        </w:rPr>
        <w:t>Supplementary Figure 1 : Protocol of Chronic Alcohol Exposure (CAE)</w:t>
      </w:r>
    </w:p>
    <w:p w14:paraId="566815B9" w14:textId="77777777" w:rsidR="000A7E03" w:rsidRPr="000A7E03" w:rsidRDefault="000A7E03" w:rsidP="000A7E03">
      <w:pPr>
        <w:jc w:val="center"/>
        <w:rPr>
          <w:rFonts w:ascii="Arial" w:eastAsia="Calibri" w:hAnsi="Arial" w:cs="Arial"/>
          <w:b/>
          <w:i/>
          <w:sz w:val="20"/>
          <w:szCs w:val="20"/>
          <w:lang w:val="en-US"/>
        </w:rPr>
      </w:pPr>
    </w:p>
    <w:tbl>
      <w:tblPr>
        <w:tblStyle w:val="Grilledutableau"/>
        <w:tblW w:w="9209" w:type="dxa"/>
        <w:tblLook w:val="04A0" w:firstRow="1" w:lastRow="0" w:firstColumn="1" w:lastColumn="0" w:noHBand="0" w:noVBand="1"/>
      </w:tblPr>
      <w:tblGrid>
        <w:gridCol w:w="1980"/>
        <w:gridCol w:w="3544"/>
        <w:gridCol w:w="3685"/>
      </w:tblGrid>
      <w:tr w:rsidR="000A7E03" w:rsidRPr="000A7E03" w14:paraId="56B33793" w14:textId="77777777" w:rsidTr="000A7E03">
        <w:tc>
          <w:tcPr>
            <w:tcW w:w="1980" w:type="dxa"/>
          </w:tcPr>
          <w:p w14:paraId="72162B20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b/>
                <w:sz w:val="20"/>
                <w:szCs w:val="20"/>
              </w:rPr>
              <w:t>Target transcript</w:t>
            </w:r>
          </w:p>
        </w:tc>
        <w:tc>
          <w:tcPr>
            <w:tcW w:w="3544" w:type="dxa"/>
          </w:tcPr>
          <w:p w14:paraId="5781716B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b/>
                <w:sz w:val="20"/>
                <w:szCs w:val="20"/>
              </w:rPr>
              <w:t>Forward</w:t>
            </w:r>
          </w:p>
        </w:tc>
        <w:tc>
          <w:tcPr>
            <w:tcW w:w="3685" w:type="dxa"/>
          </w:tcPr>
          <w:p w14:paraId="1BE90D62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b/>
                <w:sz w:val="20"/>
                <w:szCs w:val="20"/>
              </w:rPr>
              <w:t>Reverse</w:t>
            </w:r>
          </w:p>
        </w:tc>
      </w:tr>
      <w:tr w:rsidR="000A7E03" w:rsidRPr="000A7E03" w14:paraId="65EF0772" w14:textId="77777777" w:rsidTr="000A7E03">
        <w:tc>
          <w:tcPr>
            <w:tcW w:w="1980" w:type="dxa"/>
          </w:tcPr>
          <w:p w14:paraId="3467ED7A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b/>
                <w:sz w:val="20"/>
                <w:szCs w:val="20"/>
              </w:rPr>
              <w:t>MRP1</w:t>
            </w:r>
          </w:p>
        </w:tc>
        <w:tc>
          <w:tcPr>
            <w:tcW w:w="3544" w:type="dxa"/>
            <w:vAlign w:val="center"/>
          </w:tcPr>
          <w:p w14:paraId="120E2A74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sz w:val="20"/>
                <w:szCs w:val="20"/>
              </w:rPr>
              <w:t>5’-TTCTGGCTGGTAGCCCTAGT-3’</w:t>
            </w:r>
          </w:p>
        </w:tc>
        <w:tc>
          <w:tcPr>
            <w:tcW w:w="3685" w:type="dxa"/>
            <w:vAlign w:val="center"/>
          </w:tcPr>
          <w:p w14:paraId="447F6268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sz w:val="20"/>
                <w:szCs w:val="20"/>
              </w:rPr>
              <w:t>5’-ACAGGACAA GACGAGCTGAA-3’</w:t>
            </w:r>
          </w:p>
        </w:tc>
      </w:tr>
      <w:tr w:rsidR="000A7E03" w:rsidRPr="000A7E03" w14:paraId="3081BCCF" w14:textId="77777777" w:rsidTr="000A7E03">
        <w:tc>
          <w:tcPr>
            <w:tcW w:w="1980" w:type="dxa"/>
          </w:tcPr>
          <w:p w14:paraId="1DFD8E30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b/>
                <w:sz w:val="20"/>
                <w:szCs w:val="20"/>
              </w:rPr>
              <w:t>MDR1</w:t>
            </w:r>
          </w:p>
        </w:tc>
        <w:tc>
          <w:tcPr>
            <w:tcW w:w="3544" w:type="dxa"/>
            <w:vAlign w:val="center"/>
          </w:tcPr>
          <w:p w14:paraId="23447EE3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sz w:val="20"/>
                <w:szCs w:val="20"/>
              </w:rPr>
              <w:t>5’-TCATCCATGGGG CTGGACTT-3’</w:t>
            </w:r>
          </w:p>
        </w:tc>
        <w:tc>
          <w:tcPr>
            <w:tcW w:w="3685" w:type="dxa"/>
            <w:vAlign w:val="center"/>
          </w:tcPr>
          <w:p w14:paraId="15C48DD4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sz w:val="20"/>
                <w:szCs w:val="20"/>
              </w:rPr>
              <w:t>5’-CCTCCAGATTCATGAAGAACCC-3’</w:t>
            </w:r>
          </w:p>
        </w:tc>
      </w:tr>
      <w:tr w:rsidR="000A7E03" w:rsidRPr="000A7E03" w14:paraId="103EF149" w14:textId="77777777" w:rsidTr="000A7E03">
        <w:tc>
          <w:tcPr>
            <w:tcW w:w="1980" w:type="dxa"/>
          </w:tcPr>
          <w:p w14:paraId="7C350CEA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b/>
                <w:sz w:val="20"/>
                <w:szCs w:val="20"/>
              </w:rPr>
              <w:t>MRP3</w:t>
            </w:r>
          </w:p>
        </w:tc>
        <w:tc>
          <w:tcPr>
            <w:tcW w:w="3544" w:type="dxa"/>
            <w:vAlign w:val="center"/>
          </w:tcPr>
          <w:p w14:paraId="1A3D644C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sz w:val="20"/>
                <w:szCs w:val="20"/>
              </w:rPr>
              <w:t>5′-CTTAAGACTTCCCCTCAACATGC-3′</w:t>
            </w:r>
          </w:p>
        </w:tc>
        <w:tc>
          <w:tcPr>
            <w:tcW w:w="3685" w:type="dxa"/>
            <w:vAlign w:val="center"/>
          </w:tcPr>
          <w:p w14:paraId="403D71AE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sz w:val="20"/>
                <w:szCs w:val="20"/>
              </w:rPr>
              <w:t>5′-GGTCAAGTTCCTCTTGGCTC-3’</w:t>
            </w:r>
          </w:p>
        </w:tc>
      </w:tr>
      <w:tr w:rsidR="000A7E03" w:rsidRPr="000A7E03" w14:paraId="32F74024" w14:textId="77777777" w:rsidTr="000A7E03">
        <w:tc>
          <w:tcPr>
            <w:tcW w:w="1980" w:type="dxa"/>
          </w:tcPr>
          <w:p w14:paraId="59BB4586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b/>
                <w:sz w:val="20"/>
                <w:szCs w:val="20"/>
              </w:rPr>
              <w:t>ABCG2</w:t>
            </w:r>
          </w:p>
        </w:tc>
        <w:tc>
          <w:tcPr>
            <w:tcW w:w="3544" w:type="dxa"/>
            <w:vAlign w:val="center"/>
          </w:tcPr>
          <w:p w14:paraId="006714E1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sz w:val="20"/>
                <w:szCs w:val="20"/>
              </w:rPr>
              <w:t>5’-GACTTATGTTCCACGGGCCT-3’</w:t>
            </w:r>
          </w:p>
        </w:tc>
        <w:tc>
          <w:tcPr>
            <w:tcW w:w="3685" w:type="dxa"/>
            <w:vAlign w:val="center"/>
          </w:tcPr>
          <w:p w14:paraId="0D989E22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sz w:val="20"/>
                <w:szCs w:val="20"/>
              </w:rPr>
              <w:t>5’-TGCCACAGCAGTGGAATCTC-3’</w:t>
            </w:r>
          </w:p>
        </w:tc>
      </w:tr>
      <w:tr w:rsidR="000A7E03" w:rsidRPr="000A7E03" w14:paraId="1BABA59C" w14:textId="77777777" w:rsidTr="000A7E03">
        <w:tc>
          <w:tcPr>
            <w:tcW w:w="1980" w:type="dxa"/>
          </w:tcPr>
          <w:p w14:paraId="5264795A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b/>
                <w:sz w:val="20"/>
                <w:szCs w:val="20"/>
              </w:rPr>
              <w:t>HPRT1</w:t>
            </w:r>
          </w:p>
        </w:tc>
        <w:tc>
          <w:tcPr>
            <w:tcW w:w="3544" w:type="dxa"/>
            <w:vAlign w:val="center"/>
          </w:tcPr>
          <w:p w14:paraId="739060A9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color w:val="000000"/>
                <w:sz w:val="20"/>
                <w:szCs w:val="20"/>
              </w:rPr>
              <w:t>5’- TGACCTTGATTTATTTTGCATACC -3'</w:t>
            </w:r>
          </w:p>
        </w:tc>
        <w:tc>
          <w:tcPr>
            <w:tcW w:w="3685" w:type="dxa"/>
            <w:vAlign w:val="center"/>
          </w:tcPr>
          <w:p w14:paraId="04D933FA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color w:val="000000"/>
                <w:sz w:val="20"/>
                <w:szCs w:val="20"/>
              </w:rPr>
              <w:t>5`- CGAGCAAGACGTTCAGTCCT -3'</w:t>
            </w:r>
          </w:p>
        </w:tc>
      </w:tr>
    </w:tbl>
    <w:p w14:paraId="22FD1675" w14:textId="77777777" w:rsidR="000A7E03" w:rsidRPr="000A7E03" w:rsidRDefault="000A7E03" w:rsidP="000A7E03">
      <w:pPr>
        <w:keepNext/>
        <w:spacing w:after="200" w:line="240" w:lineRule="auto"/>
        <w:rPr>
          <w:rFonts w:ascii="Arial" w:eastAsia="Calibri" w:hAnsi="Arial" w:cs="Arial"/>
          <w:iCs/>
          <w:color w:val="000000"/>
          <w:sz w:val="20"/>
          <w:szCs w:val="20"/>
          <w:u w:val="single"/>
        </w:rPr>
      </w:pPr>
    </w:p>
    <w:p w14:paraId="6253569A" w14:textId="77777777" w:rsidR="000A7E03" w:rsidRPr="000A7E03" w:rsidRDefault="000A7E03" w:rsidP="000A7E03">
      <w:pPr>
        <w:keepNext/>
        <w:spacing w:after="200" w:line="240" w:lineRule="auto"/>
        <w:jc w:val="center"/>
        <w:rPr>
          <w:rFonts w:ascii="Arial" w:eastAsia="Calibri" w:hAnsi="Arial" w:cs="Arial"/>
          <w:iCs/>
          <w:color w:val="000000"/>
          <w:sz w:val="20"/>
          <w:szCs w:val="20"/>
          <w:u w:val="single"/>
          <w:lang w:val="en-US"/>
        </w:rPr>
      </w:pPr>
      <w:r w:rsidRPr="000A7E03">
        <w:rPr>
          <w:rFonts w:ascii="Arial" w:eastAsia="Calibri" w:hAnsi="Arial" w:cs="Arial"/>
          <w:iCs/>
          <w:color w:val="000000"/>
          <w:sz w:val="20"/>
          <w:szCs w:val="20"/>
          <w:u w:val="single"/>
          <w:lang w:val="en-US"/>
        </w:rPr>
        <w:t xml:space="preserve">Supplemetary table 1: </w:t>
      </w:r>
      <w:r w:rsidRPr="000A7E03">
        <w:rPr>
          <w:rFonts w:ascii="Arial" w:eastAsia="Calibri" w:hAnsi="Arial" w:cs="Arial"/>
          <w:iCs/>
          <w:color w:val="000000"/>
          <w:sz w:val="20"/>
          <w:szCs w:val="20"/>
          <w:lang w:val="en-US"/>
        </w:rPr>
        <w:t>Table of primer sequences used in RT-qPCR</w:t>
      </w:r>
    </w:p>
    <w:p w14:paraId="322E3274" w14:textId="77777777" w:rsidR="000A7E03" w:rsidRPr="000A7E03" w:rsidRDefault="000A7E03" w:rsidP="000A7E03">
      <w:pPr>
        <w:rPr>
          <w:rFonts w:ascii="Arial" w:eastAsia="Calibri" w:hAnsi="Arial" w:cs="Arial"/>
          <w:sz w:val="20"/>
          <w:szCs w:val="20"/>
          <w:lang w:val="en-U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3"/>
        <w:gridCol w:w="1813"/>
      </w:tblGrid>
      <w:tr w:rsidR="000A7E03" w:rsidRPr="000A7E03" w14:paraId="4B8C6C9F" w14:textId="77777777" w:rsidTr="00125B62">
        <w:tc>
          <w:tcPr>
            <w:tcW w:w="1812" w:type="dxa"/>
          </w:tcPr>
          <w:p w14:paraId="3152642F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b/>
                <w:sz w:val="20"/>
                <w:szCs w:val="20"/>
              </w:rPr>
              <w:lastRenderedPageBreak/>
              <w:t>Target proteins</w:t>
            </w:r>
          </w:p>
        </w:tc>
        <w:tc>
          <w:tcPr>
            <w:tcW w:w="1812" w:type="dxa"/>
          </w:tcPr>
          <w:p w14:paraId="40DA22F6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b/>
                <w:sz w:val="20"/>
                <w:szCs w:val="20"/>
              </w:rPr>
              <w:t>Clones</w:t>
            </w:r>
          </w:p>
        </w:tc>
        <w:tc>
          <w:tcPr>
            <w:tcW w:w="1812" w:type="dxa"/>
          </w:tcPr>
          <w:p w14:paraId="0B7C0093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b/>
                <w:sz w:val="20"/>
                <w:szCs w:val="20"/>
              </w:rPr>
              <w:t>Fluorochrome</w:t>
            </w:r>
          </w:p>
        </w:tc>
        <w:tc>
          <w:tcPr>
            <w:tcW w:w="1813" w:type="dxa"/>
          </w:tcPr>
          <w:p w14:paraId="2F2ECCA3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b/>
                <w:sz w:val="20"/>
                <w:szCs w:val="20"/>
              </w:rPr>
              <w:t>Dilution</w:t>
            </w:r>
          </w:p>
        </w:tc>
        <w:tc>
          <w:tcPr>
            <w:tcW w:w="1813" w:type="dxa"/>
          </w:tcPr>
          <w:p w14:paraId="316D5CC3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b/>
                <w:sz w:val="20"/>
                <w:szCs w:val="20"/>
              </w:rPr>
              <w:t>Manufacturer</w:t>
            </w:r>
          </w:p>
        </w:tc>
      </w:tr>
      <w:tr w:rsidR="000A7E03" w:rsidRPr="000A7E03" w14:paraId="3B9C4BE8" w14:textId="77777777" w:rsidTr="00125B62">
        <w:tc>
          <w:tcPr>
            <w:tcW w:w="1812" w:type="dxa"/>
          </w:tcPr>
          <w:p w14:paraId="652FEA0C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sz w:val="20"/>
                <w:szCs w:val="20"/>
              </w:rPr>
              <w:t>MRP1</w:t>
            </w:r>
          </w:p>
        </w:tc>
        <w:tc>
          <w:tcPr>
            <w:tcW w:w="1812" w:type="dxa"/>
          </w:tcPr>
          <w:p w14:paraId="7A32C9D7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sz w:val="20"/>
                <w:szCs w:val="20"/>
              </w:rPr>
              <w:t>REA481</w:t>
            </w:r>
          </w:p>
        </w:tc>
        <w:tc>
          <w:tcPr>
            <w:tcW w:w="1812" w:type="dxa"/>
          </w:tcPr>
          <w:p w14:paraId="09762423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sz w:val="20"/>
                <w:szCs w:val="20"/>
              </w:rPr>
              <w:t>APC</w:t>
            </w:r>
          </w:p>
        </w:tc>
        <w:tc>
          <w:tcPr>
            <w:tcW w:w="1813" w:type="dxa"/>
          </w:tcPr>
          <w:p w14:paraId="1454FCE7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sz w:val="20"/>
                <w:szCs w:val="20"/>
              </w:rPr>
              <w:t>1/50</w:t>
            </w:r>
          </w:p>
        </w:tc>
        <w:tc>
          <w:tcPr>
            <w:tcW w:w="1813" w:type="dxa"/>
          </w:tcPr>
          <w:p w14:paraId="1B76E783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sz w:val="20"/>
                <w:szCs w:val="20"/>
              </w:rPr>
              <w:t>Miltenyi Biotech</w:t>
            </w:r>
          </w:p>
        </w:tc>
      </w:tr>
      <w:tr w:rsidR="000A7E03" w:rsidRPr="000A7E03" w14:paraId="41130283" w14:textId="77777777" w:rsidTr="00125B62">
        <w:tc>
          <w:tcPr>
            <w:tcW w:w="1812" w:type="dxa"/>
          </w:tcPr>
          <w:p w14:paraId="7618C969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sz w:val="20"/>
                <w:szCs w:val="20"/>
              </w:rPr>
              <w:t>MDR1</w:t>
            </w:r>
          </w:p>
        </w:tc>
        <w:tc>
          <w:tcPr>
            <w:tcW w:w="1812" w:type="dxa"/>
          </w:tcPr>
          <w:p w14:paraId="2FF3C1F3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sz w:val="20"/>
                <w:szCs w:val="20"/>
              </w:rPr>
              <w:t>REA495</w:t>
            </w:r>
          </w:p>
        </w:tc>
        <w:tc>
          <w:tcPr>
            <w:tcW w:w="1812" w:type="dxa"/>
          </w:tcPr>
          <w:p w14:paraId="3564440C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sz w:val="20"/>
                <w:szCs w:val="20"/>
              </w:rPr>
              <w:t>FITC</w:t>
            </w:r>
          </w:p>
        </w:tc>
        <w:tc>
          <w:tcPr>
            <w:tcW w:w="1813" w:type="dxa"/>
          </w:tcPr>
          <w:p w14:paraId="62933FBF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sz w:val="20"/>
                <w:szCs w:val="20"/>
              </w:rPr>
              <w:t>1/50</w:t>
            </w:r>
          </w:p>
        </w:tc>
        <w:tc>
          <w:tcPr>
            <w:tcW w:w="1813" w:type="dxa"/>
          </w:tcPr>
          <w:p w14:paraId="460175DA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sz w:val="20"/>
                <w:szCs w:val="20"/>
              </w:rPr>
              <w:t>Miltenyi Biotech</w:t>
            </w:r>
          </w:p>
        </w:tc>
      </w:tr>
    </w:tbl>
    <w:p w14:paraId="11543F06" w14:textId="77777777" w:rsidR="000A7E03" w:rsidRPr="000A7E03" w:rsidRDefault="000A7E03" w:rsidP="000A7E03">
      <w:pPr>
        <w:rPr>
          <w:rFonts w:ascii="Arial" w:eastAsia="Calibri" w:hAnsi="Arial" w:cs="Arial"/>
          <w:sz w:val="20"/>
          <w:szCs w:val="20"/>
        </w:rPr>
      </w:pPr>
    </w:p>
    <w:p w14:paraId="68027E14" w14:textId="77777777" w:rsidR="000A7E03" w:rsidRPr="000A7E03" w:rsidRDefault="000A7E03" w:rsidP="000A7E03">
      <w:pPr>
        <w:jc w:val="center"/>
        <w:rPr>
          <w:rFonts w:ascii="Arial" w:eastAsia="Calibri" w:hAnsi="Arial" w:cs="Arial"/>
          <w:sz w:val="20"/>
          <w:szCs w:val="20"/>
          <w:lang w:val="en-US"/>
        </w:rPr>
      </w:pPr>
      <w:r w:rsidRPr="000A7E03">
        <w:rPr>
          <w:rFonts w:ascii="Arial" w:eastAsia="Calibri" w:hAnsi="Arial" w:cs="Arial"/>
          <w:sz w:val="20"/>
          <w:szCs w:val="20"/>
          <w:u w:val="single"/>
          <w:lang w:val="en-US"/>
        </w:rPr>
        <w:t>Supplementary table 2</w:t>
      </w:r>
      <w:r w:rsidRPr="000A7E03">
        <w:rPr>
          <w:rFonts w:ascii="Arial" w:eastAsia="Calibri" w:hAnsi="Arial" w:cs="Arial"/>
          <w:sz w:val="20"/>
          <w:szCs w:val="20"/>
          <w:lang w:val="en-US"/>
        </w:rPr>
        <w:t>: List of antibodies used in flow cytometry</w:t>
      </w:r>
    </w:p>
    <w:p w14:paraId="42ABA83F" w14:textId="77777777" w:rsidR="000A7E03" w:rsidRPr="000A7E03" w:rsidRDefault="000A7E03" w:rsidP="000A7E03">
      <w:pPr>
        <w:rPr>
          <w:rFonts w:ascii="Arial" w:eastAsia="Calibri" w:hAnsi="Arial" w:cs="Arial"/>
          <w:b/>
          <w:i/>
          <w:sz w:val="20"/>
          <w:szCs w:val="20"/>
          <w:lang w:val="en-U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93"/>
        <w:gridCol w:w="3031"/>
        <w:gridCol w:w="3538"/>
      </w:tblGrid>
      <w:tr w:rsidR="000A7E03" w:rsidRPr="000A7E03" w14:paraId="3CFBB3C2" w14:textId="77777777" w:rsidTr="00125B62">
        <w:tc>
          <w:tcPr>
            <w:tcW w:w="2493" w:type="dxa"/>
          </w:tcPr>
          <w:p w14:paraId="4E6250B4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b/>
                <w:sz w:val="20"/>
                <w:szCs w:val="20"/>
              </w:rPr>
              <w:t>Target transcript</w:t>
            </w:r>
          </w:p>
        </w:tc>
        <w:tc>
          <w:tcPr>
            <w:tcW w:w="3031" w:type="dxa"/>
          </w:tcPr>
          <w:p w14:paraId="2CBEDEBC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Manufacturers</w:t>
            </w:r>
          </w:p>
        </w:tc>
        <w:tc>
          <w:tcPr>
            <w:tcW w:w="3538" w:type="dxa"/>
          </w:tcPr>
          <w:p w14:paraId="3173A7DE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b/>
                <w:sz w:val="20"/>
                <w:szCs w:val="20"/>
              </w:rPr>
              <w:t>Dilution</w:t>
            </w:r>
          </w:p>
        </w:tc>
      </w:tr>
      <w:tr w:rsidR="000A7E03" w:rsidRPr="000A7E03" w14:paraId="5BE11FE3" w14:textId="77777777" w:rsidTr="00125B62">
        <w:tc>
          <w:tcPr>
            <w:tcW w:w="2493" w:type="dxa"/>
          </w:tcPr>
          <w:p w14:paraId="1F2BF797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b/>
                <w:sz w:val="20"/>
                <w:szCs w:val="20"/>
              </w:rPr>
              <w:t>p-mTOR Ser2448</w:t>
            </w:r>
          </w:p>
        </w:tc>
        <w:tc>
          <w:tcPr>
            <w:tcW w:w="3031" w:type="dxa"/>
            <w:vAlign w:val="center"/>
          </w:tcPr>
          <w:p w14:paraId="74C614B9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sz w:val="20"/>
                <w:szCs w:val="20"/>
              </w:rPr>
              <w:t>Cell Signaling Technology</w:t>
            </w:r>
          </w:p>
        </w:tc>
        <w:tc>
          <w:tcPr>
            <w:tcW w:w="3538" w:type="dxa"/>
            <w:vAlign w:val="center"/>
          </w:tcPr>
          <w:p w14:paraId="6E15F83D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sz w:val="20"/>
                <w:szCs w:val="20"/>
              </w:rPr>
              <w:t>1/1000</w:t>
            </w:r>
          </w:p>
        </w:tc>
      </w:tr>
      <w:tr w:rsidR="000A7E03" w:rsidRPr="000A7E03" w14:paraId="612CA1AE" w14:textId="77777777" w:rsidTr="00125B62">
        <w:tc>
          <w:tcPr>
            <w:tcW w:w="2493" w:type="dxa"/>
          </w:tcPr>
          <w:p w14:paraId="66913EAC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b/>
                <w:sz w:val="20"/>
                <w:szCs w:val="20"/>
              </w:rPr>
              <w:t>mTOR</w:t>
            </w:r>
          </w:p>
        </w:tc>
        <w:tc>
          <w:tcPr>
            <w:tcW w:w="3031" w:type="dxa"/>
            <w:vAlign w:val="center"/>
          </w:tcPr>
          <w:p w14:paraId="6D1E4C4F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sz w:val="20"/>
                <w:szCs w:val="20"/>
              </w:rPr>
              <w:t>Cell Signaling Technology</w:t>
            </w:r>
          </w:p>
        </w:tc>
        <w:tc>
          <w:tcPr>
            <w:tcW w:w="3538" w:type="dxa"/>
            <w:vAlign w:val="center"/>
          </w:tcPr>
          <w:p w14:paraId="3E626E42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sz w:val="20"/>
                <w:szCs w:val="20"/>
              </w:rPr>
              <w:t>1/1000</w:t>
            </w:r>
          </w:p>
        </w:tc>
      </w:tr>
      <w:tr w:rsidR="000A7E03" w:rsidRPr="000A7E03" w14:paraId="28C09C08" w14:textId="77777777" w:rsidTr="00125B62">
        <w:tc>
          <w:tcPr>
            <w:tcW w:w="2493" w:type="dxa"/>
          </w:tcPr>
          <w:p w14:paraId="084389E6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b/>
                <w:sz w:val="20"/>
                <w:szCs w:val="20"/>
              </w:rPr>
              <w:t>p-ERK1/2 Thr202/Tyr204</w:t>
            </w:r>
          </w:p>
        </w:tc>
        <w:tc>
          <w:tcPr>
            <w:tcW w:w="3031" w:type="dxa"/>
            <w:vAlign w:val="center"/>
          </w:tcPr>
          <w:p w14:paraId="220DEF6F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sz w:val="20"/>
                <w:szCs w:val="20"/>
              </w:rPr>
              <w:t>Cell Signaling Technology</w:t>
            </w:r>
          </w:p>
        </w:tc>
        <w:tc>
          <w:tcPr>
            <w:tcW w:w="3538" w:type="dxa"/>
            <w:vAlign w:val="center"/>
          </w:tcPr>
          <w:p w14:paraId="0BA7359E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sz w:val="20"/>
                <w:szCs w:val="20"/>
              </w:rPr>
              <w:t>1/1000</w:t>
            </w:r>
          </w:p>
        </w:tc>
      </w:tr>
      <w:tr w:rsidR="000A7E03" w:rsidRPr="000A7E03" w14:paraId="0DB80629" w14:textId="77777777" w:rsidTr="00125B62">
        <w:tc>
          <w:tcPr>
            <w:tcW w:w="2493" w:type="dxa"/>
          </w:tcPr>
          <w:p w14:paraId="002EAA23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b/>
                <w:sz w:val="20"/>
                <w:szCs w:val="20"/>
              </w:rPr>
              <w:t>ERK1/2</w:t>
            </w:r>
          </w:p>
        </w:tc>
        <w:tc>
          <w:tcPr>
            <w:tcW w:w="3031" w:type="dxa"/>
            <w:vAlign w:val="center"/>
          </w:tcPr>
          <w:p w14:paraId="1941C248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sz w:val="20"/>
                <w:szCs w:val="20"/>
              </w:rPr>
              <w:t>Cell Signaling Technology</w:t>
            </w:r>
          </w:p>
        </w:tc>
        <w:tc>
          <w:tcPr>
            <w:tcW w:w="3538" w:type="dxa"/>
            <w:vAlign w:val="center"/>
          </w:tcPr>
          <w:p w14:paraId="0AC6F52A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sz w:val="20"/>
                <w:szCs w:val="20"/>
              </w:rPr>
              <w:t>1/1000</w:t>
            </w:r>
          </w:p>
        </w:tc>
      </w:tr>
      <w:tr w:rsidR="000A7E03" w:rsidRPr="000A7E03" w14:paraId="4951970A" w14:textId="77777777" w:rsidTr="00125B62">
        <w:tc>
          <w:tcPr>
            <w:tcW w:w="2493" w:type="dxa"/>
          </w:tcPr>
          <w:p w14:paraId="67D11DE0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b/>
                <w:sz w:val="20"/>
                <w:szCs w:val="20"/>
              </w:rPr>
              <w:t>Ras</w:t>
            </w:r>
          </w:p>
        </w:tc>
        <w:tc>
          <w:tcPr>
            <w:tcW w:w="3031" w:type="dxa"/>
            <w:vAlign w:val="center"/>
          </w:tcPr>
          <w:p w14:paraId="5C741B9B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sz w:val="20"/>
                <w:szCs w:val="20"/>
              </w:rPr>
              <w:t>Cell Signaling Technology</w:t>
            </w:r>
          </w:p>
        </w:tc>
        <w:tc>
          <w:tcPr>
            <w:tcW w:w="3538" w:type="dxa"/>
            <w:vAlign w:val="center"/>
          </w:tcPr>
          <w:p w14:paraId="6D53F7AD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sz w:val="20"/>
                <w:szCs w:val="20"/>
              </w:rPr>
              <w:t>1/1000</w:t>
            </w:r>
          </w:p>
        </w:tc>
      </w:tr>
      <w:tr w:rsidR="000A7E03" w:rsidRPr="000A7E03" w14:paraId="361CC38D" w14:textId="77777777" w:rsidTr="00125B62">
        <w:tc>
          <w:tcPr>
            <w:tcW w:w="2493" w:type="dxa"/>
          </w:tcPr>
          <w:p w14:paraId="5A1C49C0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b/>
                <w:sz w:val="20"/>
                <w:szCs w:val="20"/>
              </w:rPr>
              <w:t>GAPDH</w:t>
            </w:r>
          </w:p>
        </w:tc>
        <w:tc>
          <w:tcPr>
            <w:tcW w:w="3031" w:type="dxa"/>
            <w:vAlign w:val="center"/>
          </w:tcPr>
          <w:p w14:paraId="0A4632E7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sz w:val="20"/>
                <w:szCs w:val="20"/>
              </w:rPr>
              <w:t>Cell Signaling Technology</w:t>
            </w:r>
          </w:p>
        </w:tc>
        <w:tc>
          <w:tcPr>
            <w:tcW w:w="3538" w:type="dxa"/>
            <w:vAlign w:val="center"/>
          </w:tcPr>
          <w:p w14:paraId="421B8DD4" w14:textId="77777777" w:rsidR="000A7E03" w:rsidRPr="000A7E03" w:rsidRDefault="000A7E03" w:rsidP="000A7E03">
            <w:pPr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0A7E03">
              <w:rPr>
                <w:rFonts w:ascii="Arial" w:eastAsia="Calibri" w:hAnsi="Arial" w:cs="Arial"/>
                <w:sz w:val="20"/>
                <w:szCs w:val="20"/>
              </w:rPr>
              <w:t>1/1000</w:t>
            </w:r>
          </w:p>
        </w:tc>
      </w:tr>
    </w:tbl>
    <w:p w14:paraId="0886C148" w14:textId="77777777" w:rsidR="000A7E03" w:rsidRPr="000A7E03" w:rsidRDefault="000A7E03" w:rsidP="000A7E03">
      <w:pPr>
        <w:rPr>
          <w:rFonts w:ascii="Arial" w:eastAsia="Calibri" w:hAnsi="Arial" w:cs="Arial"/>
          <w:b/>
          <w:i/>
          <w:sz w:val="20"/>
          <w:szCs w:val="20"/>
          <w:lang w:val="en-US"/>
        </w:rPr>
      </w:pPr>
    </w:p>
    <w:p w14:paraId="34B19E74" w14:textId="77777777" w:rsidR="000A7E03" w:rsidRPr="000A7E03" w:rsidRDefault="000A7E03" w:rsidP="000A7E03">
      <w:pPr>
        <w:jc w:val="center"/>
        <w:rPr>
          <w:rFonts w:ascii="Arial" w:eastAsia="Calibri" w:hAnsi="Arial" w:cs="Arial"/>
          <w:sz w:val="20"/>
          <w:szCs w:val="20"/>
          <w:lang w:val="en-US"/>
        </w:rPr>
      </w:pPr>
      <w:r w:rsidRPr="000A7E03">
        <w:rPr>
          <w:rFonts w:ascii="Arial" w:eastAsia="Calibri" w:hAnsi="Arial" w:cs="Arial"/>
          <w:sz w:val="20"/>
          <w:szCs w:val="20"/>
          <w:u w:val="single"/>
          <w:lang w:val="en-US"/>
        </w:rPr>
        <w:t>Supplementary table 3</w:t>
      </w:r>
      <w:r w:rsidRPr="000A7E03">
        <w:rPr>
          <w:rFonts w:ascii="Arial" w:eastAsia="Calibri" w:hAnsi="Arial" w:cs="Arial"/>
          <w:sz w:val="20"/>
          <w:szCs w:val="20"/>
          <w:lang w:val="en-US"/>
        </w:rPr>
        <w:t>: List of antibodies used in Western Blot</w:t>
      </w:r>
    </w:p>
    <w:p w14:paraId="01B691C2" w14:textId="77777777" w:rsidR="004D3FF1" w:rsidRDefault="004D3FF1"/>
    <w:sectPr w:rsidR="004D3F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E03"/>
    <w:rsid w:val="000A7E03"/>
    <w:rsid w:val="004D3FF1"/>
    <w:rsid w:val="00682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1D8B05"/>
  <w15:chartTrackingRefBased/>
  <w15:docId w15:val="{080CCE0C-F0D9-4EA3-A2F4-05EB267D1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0A7E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838</Words>
  <Characters>4610</Characters>
  <Application>Microsoft Office Word</Application>
  <DocSecurity>0</DocSecurity>
  <Lines>38</Lines>
  <Paragraphs>10</Paragraphs>
  <ScaleCrop>false</ScaleCrop>
  <Company/>
  <LinksUpToDate>false</LinksUpToDate>
  <CharactersWithSpaces>5438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Anoisia courtois</dc:creator>
  <cp:keywords/>
  <dc:description/>
  <cp:lastModifiedBy>anoisia</cp:lastModifiedBy>
  <cp:revision>2</cp:revision>
  <dcterms:created xsi:type="dcterms:W3CDTF">2025-02-04T14:06:00Z</dcterms:created>
  <dcterms:modified xsi:type="dcterms:W3CDTF">2025-05-14T07:47:00Z</dcterms:modified>
</cp:coreProperties>
</file>