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514E0" w14:textId="77777777" w:rsidR="00B2247E" w:rsidRPr="009F33C0" w:rsidRDefault="00B2247E" w:rsidP="00B2247E">
      <w:pPr>
        <w:jc w:val="right"/>
        <w:rPr>
          <w:rFonts w:asciiTheme="majorBidi" w:hAnsiTheme="majorBidi" w:cstheme="majorBidi"/>
          <w:b/>
          <w:bCs/>
          <w:sz w:val="20"/>
          <w:szCs w:val="20"/>
        </w:rPr>
      </w:pPr>
      <w:r w:rsidRPr="009F33C0">
        <w:rPr>
          <w:rFonts w:asciiTheme="majorBidi" w:hAnsiTheme="majorBidi" w:cstheme="majorBidi"/>
          <w:b/>
          <w:bCs/>
          <w:sz w:val="20"/>
          <w:szCs w:val="20"/>
        </w:rPr>
        <w:t>Appendix:</w:t>
      </w:r>
    </w:p>
    <w:p w14:paraId="314EBB5B" w14:textId="77777777" w:rsidR="00B2247E" w:rsidRPr="009F33C0" w:rsidRDefault="00B2247E" w:rsidP="00B2247E">
      <w:pPr>
        <w:spacing w:before="113" w:after="113" w:line="240" w:lineRule="auto"/>
        <w:jc w:val="right"/>
        <w:textAlignment w:val="center"/>
        <w:outlineLvl w:val="2"/>
        <w:rPr>
          <w:rFonts w:asciiTheme="majorBidi" w:eastAsia="Times New Roman" w:hAnsiTheme="majorBidi" w:cstheme="majorBidi"/>
          <w:b/>
          <w:bCs/>
          <w:sz w:val="20"/>
          <w:szCs w:val="20"/>
          <w:lang w:eastAsia="en-AU"/>
        </w:rPr>
      </w:pPr>
      <w:r w:rsidRPr="009F33C0">
        <w:rPr>
          <w:rFonts w:asciiTheme="majorBidi" w:eastAsia="Times New Roman" w:hAnsiTheme="majorBidi" w:cstheme="majorBidi"/>
          <w:b/>
          <w:bCs/>
          <w:sz w:val="20"/>
          <w:szCs w:val="20"/>
          <w:lang w:eastAsia="en-AU"/>
        </w:rPr>
        <w:t>Table S1</w:t>
      </w:r>
      <w:r>
        <w:rPr>
          <w:rFonts w:asciiTheme="majorBidi" w:eastAsia="Times New Roman" w:hAnsiTheme="majorBidi" w:cstheme="majorBidi"/>
          <w:b/>
          <w:bCs/>
          <w:sz w:val="20"/>
          <w:szCs w:val="20"/>
          <w:lang w:eastAsia="en-AU"/>
        </w:rPr>
        <w:t>.</w:t>
      </w:r>
      <w:r w:rsidRPr="009F33C0">
        <w:rPr>
          <w:rFonts w:asciiTheme="majorBidi" w:eastAsia="Times New Roman" w:hAnsiTheme="majorBidi" w:cstheme="majorBidi"/>
          <w:b/>
          <w:bCs/>
          <w:sz w:val="20"/>
          <w:szCs w:val="20"/>
          <w:lang w:eastAsia="en-AU"/>
        </w:rPr>
        <w:t xml:space="preserve"> Fit indices for unadjusted and adjusted models</w:t>
      </w:r>
    </w:p>
    <w:tbl>
      <w:tblPr>
        <w:tblStyle w:val="ListTable6Colorful-Accent5"/>
        <w:tblW w:w="0" w:type="auto"/>
        <w:tblLook w:val="04A0" w:firstRow="1" w:lastRow="0" w:firstColumn="1" w:lastColumn="0" w:noHBand="0" w:noVBand="1"/>
      </w:tblPr>
      <w:tblGrid>
        <w:gridCol w:w="4244"/>
        <w:gridCol w:w="62"/>
        <w:gridCol w:w="1669"/>
        <w:gridCol w:w="254"/>
        <w:gridCol w:w="1592"/>
        <w:gridCol w:w="120"/>
      </w:tblGrid>
      <w:tr w:rsidR="00B2247E" w:rsidRPr="009F33C0" w14:paraId="6638C560" w14:textId="77777777" w:rsidTr="00DA5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hideMark/>
          </w:tcPr>
          <w:p w14:paraId="34764DB4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Index</w:t>
            </w:r>
          </w:p>
        </w:tc>
        <w:tc>
          <w:tcPr>
            <w:tcW w:w="0" w:type="auto"/>
            <w:gridSpan w:val="2"/>
            <w:hideMark/>
          </w:tcPr>
          <w:p w14:paraId="398FBC58" w14:textId="77777777" w:rsidR="00B2247E" w:rsidRPr="009F33C0" w:rsidRDefault="00B2247E" w:rsidP="00DA5F1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Model 1 (Unadjusted)</w:t>
            </w:r>
          </w:p>
        </w:tc>
        <w:tc>
          <w:tcPr>
            <w:tcW w:w="0" w:type="auto"/>
            <w:gridSpan w:val="2"/>
            <w:hideMark/>
          </w:tcPr>
          <w:p w14:paraId="5A396085" w14:textId="77777777" w:rsidR="00B2247E" w:rsidRPr="009F33C0" w:rsidRDefault="00B2247E" w:rsidP="00DA5F19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Model 2 (Adjusted)</w:t>
            </w:r>
          </w:p>
        </w:tc>
      </w:tr>
      <w:tr w:rsidR="00B2247E" w:rsidRPr="009F33C0" w14:paraId="0E5BC0B3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AF8E5C5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Comparative Fit Index (CFI)</w:t>
            </w:r>
          </w:p>
        </w:tc>
        <w:tc>
          <w:tcPr>
            <w:tcW w:w="0" w:type="auto"/>
            <w:hideMark/>
          </w:tcPr>
          <w:p w14:paraId="29936DA4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7E1F377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0.98</w:t>
            </w:r>
          </w:p>
        </w:tc>
        <w:tc>
          <w:tcPr>
            <w:tcW w:w="0" w:type="auto"/>
            <w:hideMark/>
          </w:tcPr>
          <w:p w14:paraId="5245C943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5A46EF8C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0.79</w:t>
            </w:r>
          </w:p>
        </w:tc>
        <w:tc>
          <w:tcPr>
            <w:tcW w:w="0" w:type="auto"/>
            <w:hideMark/>
          </w:tcPr>
          <w:p w14:paraId="6E60B063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6E119397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FC5AE2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Tucker-Lewis Index (TLI)</w:t>
            </w:r>
          </w:p>
        </w:tc>
        <w:tc>
          <w:tcPr>
            <w:tcW w:w="0" w:type="auto"/>
            <w:hideMark/>
          </w:tcPr>
          <w:p w14:paraId="1C37715C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604A792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0.97</w:t>
            </w:r>
          </w:p>
        </w:tc>
        <w:tc>
          <w:tcPr>
            <w:tcW w:w="0" w:type="auto"/>
            <w:hideMark/>
          </w:tcPr>
          <w:p w14:paraId="4B9D5B03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6EB96D29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0.75</w:t>
            </w:r>
          </w:p>
        </w:tc>
        <w:tc>
          <w:tcPr>
            <w:tcW w:w="0" w:type="auto"/>
            <w:hideMark/>
          </w:tcPr>
          <w:p w14:paraId="5A9DAD63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677F0CCE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5805E3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Bentler-Bonett Non-normed Fit Index (NNFI)</w:t>
            </w:r>
          </w:p>
        </w:tc>
        <w:tc>
          <w:tcPr>
            <w:tcW w:w="0" w:type="auto"/>
            <w:hideMark/>
          </w:tcPr>
          <w:p w14:paraId="52E69D05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7422B48F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0.97</w:t>
            </w:r>
          </w:p>
        </w:tc>
        <w:tc>
          <w:tcPr>
            <w:tcW w:w="0" w:type="auto"/>
            <w:hideMark/>
          </w:tcPr>
          <w:p w14:paraId="7275D9CB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2E3126BA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0.75</w:t>
            </w:r>
          </w:p>
        </w:tc>
        <w:tc>
          <w:tcPr>
            <w:tcW w:w="0" w:type="auto"/>
            <w:hideMark/>
          </w:tcPr>
          <w:p w14:paraId="2EA7694A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2B93FAF0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1B1B46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Bentler-Bonett Normed Fit Index (NFI)</w:t>
            </w:r>
          </w:p>
        </w:tc>
        <w:tc>
          <w:tcPr>
            <w:tcW w:w="0" w:type="auto"/>
            <w:hideMark/>
          </w:tcPr>
          <w:p w14:paraId="7AF1F723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2FA2E816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0.96</w:t>
            </w:r>
          </w:p>
        </w:tc>
        <w:tc>
          <w:tcPr>
            <w:tcW w:w="0" w:type="auto"/>
            <w:hideMark/>
          </w:tcPr>
          <w:p w14:paraId="17AE5CE6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72EB348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0.70</w:t>
            </w:r>
          </w:p>
        </w:tc>
        <w:tc>
          <w:tcPr>
            <w:tcW w:w="0" w:type="auto"/>
            <w:hideMark/>
          </w:tcPr>
          <w:p w14:paraId="75A08ED2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79BC731E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0E8B59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Bollen's Relative Fit Index (RFI)</w:t>
            </w:r>
          </w:p>
        </w:tc>
        <w:tc>
          <w:tcPr>
            <w:tcW w:w="0" w:type="auto"/>
            <w:hideMark/>
          </w:tcPr>
          <w:p w14:paraId="3404BE15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34FD02EC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0.93</w:t>
            </w:r>
          </w:p>
        </w:tc>
        <w:tc>
          <w:tcPr>
            <w:tcW w:w="0" w:type="auto"/>
            <w:hideMark/>
          </w:tcPr>
          <w:p w14:paraId="6965E2A9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04B55FD0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0.65</w:t>
            </w:r>
          </w:p>
        </w:tc>
        <w:tc>
          <w:tcPr>
            <w:tcW w:w="0" w:type="auto"/>
            <w:hideMark/>
          </w:tcPr>
          <w:p w14:paraId="3D29700D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671FB8E8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994247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Bollen's Incremental Fit Index (IFI)</w:t>
            </w:r>
          </w:p>
        </w:tc>
        <w:tc>
          <w:tcPr>
            <w:tcW w:w="0" w:type="auto"/>
            <w:hideMark/>
          </w:tcPr>
          <w:p w14:paraId="0B908BB7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34CB0DD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0.98</w:t>
            </w:r>
          </w:p>
        </w:tc>
        <w:tc>
          <w:tcPr>
            <w:tcW w:w="0" w:type="auto"/>
            <w:hideMark/>
          </w:tcPr>
          <w:p w14:paraId="7029EFC4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3E0181C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0.80</w:t>
            </w:r>
          </w:p>
        </w:tc>
        <w:tc>
          <w:tcPr>
            <w:tcW w:w="0" w:type="auto"/>
            <w:hideMark/>
          </w:tcPr>
          <w:p w14:paraId="17099ED9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769F5696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058076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Relative </w:t>
            </w:r>
            <w:proofErr w:type="spellStart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Noncentrality</w:t>
            </w:r>
            <w:proofErr w:type="spellEnd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 Index (RNI)</w:t>
            </w:r>
          </w:p>
        </w:tc>
        <w:tc>
          <w:tcPr>
            <w:tcW w:w="0" w:type="auto"/>
            <w:hideMark/>
          </w:tcPr>
          <w:p w14:paraId="391E0316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F694320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0.98</w:t>
            </w:r>
          </w:p>
        </w:tc>
        <w:tc>
          <w:tcPr>
            <w:tcW w:w="0" w:type="auto"/>
            <w:hideMark/>
          </w:tcPr>
          <w:p w14:paraId="1440FE31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C644FEE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0.79</w:t>
            </w:r>
          </w:p>
        </w:tc>
        <w:tc>
          <w:tcPr>
            <w:tcW w:w="0" w:type="auto"/>
            <w:hideMark/>
          </w:tcPr>
          <w:p w14:paraId="4F5B24CB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6B17F98B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C9A656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Root </w:t>
            </w:r>
            <w:proofErr w:type="gramStart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mean</w:t>
            </w:r>
            <w:proofErr w:type="gramEnd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 square error of approximation (RMSEA)</w:t>
            </w:r>
          </w:p>
        </w:tc>
        <w:tc>
          <w:tcPr>
            <w:tcW w:w="0" w:type="auto"/>
            <w:hideMark/>
          </w:tcPr>
          <w:p w14:paraId="27FF162C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0002632A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0.06</w:t>
            </w:r>
          </w:p>
        </w:tc>
        <w:tc>
          <w:tcPr>
            <w:tcW w:w="0" w:type="auto"/>
            <w:hideMark/>
          </w:tcPr>
          <w:p w14:paraId="76A2F92D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653E3905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0" w:type="auto"/>
            <w:hideMark/>
          </w:tcPr>
          <w:p w14:paraId="1F1E5E65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077AC089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CD33D3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RMSEA 90% CI lower bound</w:t>
            </w:r>
          </w:p>
        </w:tc>
        <w:tc>
          <w:tcPr>
            <w:tcW w:w="0" w:type="auto"/>
            <w:hideMark/>
          </w:tcPr>
          <w:p w14:paraId="0849CF8A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2ABA938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0" w:type="auto"/>
            <w:hideMark/>
          </w:tcPr>
          <w:p w14:paraId="5E8772C7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0D4B274B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0.07</w:t>
            </w:r>
          </w:p>
        </w:tc>
        <w:tc>
          <w:tcPr>
            <w:tcW w:w="0" w:type="auto"/>
            <w:hideMark/>
          </w:tcPr>
          <w:p w14:paraId="172F2A69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73803C25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38F8B4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RMSEA 90% CI upper bound</w:t>
            </w:r>
          </w:p>
        </w:tc>
        <w:tc>
          <w:tcPr>
            <w:tcW w:w="0" w:type="auto"/>
            <w:hideMark/>
          </w:tcPr>
          <w:p w14:paraId="23A9B5F5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0B6440E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0" w:type="auto"/>
            <w:hideMark/>
          </w:tcPr>
          <w:p w14:paraId="2B5DB4F0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4F32B96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0.09</w:t>
            </w:r>
          </w:p>
        </w:tc>
        <w:tc>
          <w:tcPr>
            <w:tcW w:w="0" w:type="auto"/>
            <w:hideMark/>
          </w:tcPr>
          <w:p w14:paraId="3FDBEF83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34CF8CC4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904331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RMSEA p-value</w:t>
            </w:r>
          </w:p>
        </w:tc>
        <w:tc>
          <w:tcPr>
            <w:tcW w:w="0" w:type="auto"/>
            <w:hideMark/>
          </w:tcPr>
          <w:p w14:paraId="4E6E6A12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7CE80203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0.27</w:t>
            </w:r>
          </w:p>
        </w:tc>
        <w:tc>
          <w:tcPr>
            <w:tcW w:w="0" w:type="auto"/>
            <w:hideMark/>
          </w:tcPr>
          <w:p w14:paraId="6BA2263F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6A23426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proofErr w:type="gramStart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4.63×10</w:t>
            </w:r>
            <w:proofErr w:type="gramEnd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vertAlign w:val="superscript"/>
                <w:lang w:eastAsia="en-AU"/>
              </w:rPr>
              <w:t>-6</w:t>
            </w: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 </w:t>
            </w:r>
          </w:p>
        </w:tc>
        <w:tc>
          <w:tcPr>
            <w:tcW w:w="0" w:type="auto"/>
            <w:hideMark/>
          </w:tcPr>
          <w:p w14:paraId="57B779FC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4C0C134B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581B57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Standardized root </w:t>
            </w:r>
            <w:proofErr w:type="gramStart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mean</w:t>
            </w:r>
            <w:proofErr w:type="gramEnd"/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 xml:space="preserve"> square residual (SRMR)</w:t>
            </w:r>
          </w:p>
        </w:tc>
        <w:tc>
          <w:tcPr>
            <w:tcW w:w="0" w:type="auto"/>
            <w:hideMark/>
          </w:tcPr>
          <w:p w14:paraId="641D8DCD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5CD5F053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0.03</w:t>
            </w:r>
          </w:p>
        </w:tc>
        <w:tc>
          <w:tcPr>
            <w:tcW w:w="0" w:type="auto"/>
            <w:hideMark/>
          </w:tcPr>
          <w:p w14:paraId="16718DDA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1D5B94AD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0.08</w:t>
            </w:r>
          </w:p>
        </w:tc>
        <w:tc>
          <w:tcPr>
            <w:tcW w:w="0" w:type="auto"/>
            <w:hideMark/>
          </w:tcPr>
          <w:p w14:paraId="5D637854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5CF190A4" w14:textId="77777777" w:rsidTr="00DA5F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64D09DA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Goodness of fit index (GFI)</w:t>
            </w:r>
          </w:p>
        </w:tc>
        <w:tc>
          <w:tcPr>
            <w:tcW w:w="0" w:type="auto"/>
            <w:hideMark/>
          </w:tcPr>
          <w:p w14:paraId="547FAF5C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1773AFB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1.00</w:t>
            </w:r>
          </w:p>
        </w:tc>
        <w:tc>
          <w:tcPr>
            <w:tcW w:w="0" w:type="auto"/>
            <w:hideMark/>
          </w:tcPr>
          <w:p w14:paraId="161E91DE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2DCEAD98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0.98</w:t>
            </w:r>
          </w:p>
        </w:tc>
        <w:tc>
          <w:tcPr>
            <w:tcW w:w="0" w:type="auto"/>
            <w:hideMark/>
          </w:tcPr>
          <w:p w14:paraId="6CE65FAE" w14:textId="77777777" w:rsidR="00B2247E" w:rsidRPr="009F33C0" w:rsidRDefault="00B2247E" w:rsidP="00DA5F1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  <w:tr w:rsidR="00B2247E" w:rsidRPr="009F33C0" w14:paraId="189EB755" w14:textId="77777777" w:rsidTr="00DA5F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46DC4A" w14:textId="77777777" w:rsidR="00B2247E" w:rsidRPr="009F33C0" w:rsidRDefault="00B2247E" w:rsidP="00DA5F19">
            <w:pPr>
              <w:jc w:val="both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McDonald fit index (MFI)</w:t>
            </w:r>
          </w:p>
        </w:tc>
        <w:tc>
          <w:tcPr>
            <w:tcW w:w="0" w:type="auto"/>
            <w:hideMark/>
          </w:tcPr>
          <w:p w14:paraId="4B7DCE43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345EAFD7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0.96</w:t>
            </w:r>
          </w:p>
        </w:tc>
        <w:tc>
          <w:tcPr>
            <w:tcW w:w="0" w:type="auto"/>
            <w:hideMark/>
          </w:tcPr>
          <w:p w14:paraId="2F8C9A3B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  <w:tc>
          <w:tcPr>
            <w:tcW w:w="0" w:type="auto"/>
            <w:hideMark/>
          </w:tcPr>
          <w:p w14:paraId="40059C14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  <w:r w:rsidRPr="009F33C0"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  <w:t>0.66</w:t>
            </w:r>
          </w:p>
        </w:tc>
        <w:tc>
          <w:tcPr>
            <w:tcW w:w="0" w:type="auto"/>
            <w:hideMark/>
          </w:tcPr>
          <w:p w14:paraId="32419285" w14:textId="77777777" w:rsidR="00B2247E" w:rsidRPr="009F33C0" w:rsidRDefault="00B2247E" w:rsidP="00DA5F1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en-AU"/>
              </w:rPr>
            </w:pPr>
          </w:p>
        </w:tc>
      </w:tr>
    </w:tbl>
    <w:p w14:paraId="1BEC0881" w14:textId="77777777" w:rsidR="00B2247E" w:rsidRPr="009F33C0" w:rsidRDefault="00B2247E" w:rsidP="00B2247E">
      <w:pPr>
        <w:spacing w:after="108" w:line="240" w:lineRule="auto"/>
        <w:jc w:val="both"/>
        <w:rPr>
          <w:rFonts w:asciiTheme="majorBidi" w:eastAsia="Times New Roman" w:hAnsiTheme="majorBidi" w:cstheme="majorBidi"/>
          <w:sz w:val="20"/>
          <w:szCs w:val="20"/>
          <w:lang w:eastAsia="en-AU"/>
        </w:rPr>
      </w:pPr>
      <w:r w:rsidRPr="009F33C0">
        <w:rPr>
          <w:rFonts w:asciiTheme="majorBidi" w:eastAsia="Times New Roman" w:hAnsiTheme="majorBidi" w:cstheme="majorBidi"/>
          <w:sz w:val="20"/>
          <w:szCs w:val="20"/>
          <w:lang w:eastAsia="en-AU"/>
        </w:rPr>
        <w:t> </w:t>
      </w:r>
    </w:p>
    <w:p w14:paraId="490F016C" w14:textId="77777777" w:rsidR="00B2247E" w:rsidRPr="009F33C0" w:rsidRDefault="00B2247E" w:rsidP="00B2247E">
      <w:pPr>
        <w:jc w:val="both"/>
        <w:rPr>
          <w:rFonts w:asciiTheme="majorBidi" w:hAnsiTheme="majorBidi" w:cstheme="majorBidi"/>
          <w:sz w:val="20"/>
          <w:szCs w:val="20"/>
          <w:rtl/>
          <w:lang w:bidi="fa-IR"/>
        </w:rPr>
      </w:pPr>
    </w:p>
    <w:p w14:paraId="5FB66DCA" w14:textId="77777777" w:rsidR="00B2247E" w:rsidRPr="009F33C0" w:rsidRDefault="00B2247E" w:rsidP="00B2247E">
      <w:pPr>
        <w:widowControl w:val="0"/>
        <w:pBdr>
          <w:top w:val="nil"/>
          <w:left w:val="nil"/>
          <w:bottom w:val="nil"/>
          <w:right w:val="nil"/>
          <w:between w:val="nil"/>
        </w:pBdr>
        <w:bidi w:val="0"/>
        <w:spacing w:after="0" w:line="276" w:lineRule="auto"/>
        <w:rPr>
          <w:rFonts w:asciiTheme="majorBidi" w:hAnsiTheme="majorBidi" w:cstheme="majorBidi"/>
          <w:sz w:val="20"/>
          <w:szCs w:val="20"/>
        </w:rPr>
      </w:pPr>
    </w:p>
    <w:p w14:paraId="02E217E8" w14:textId="77777777" w:rsidR="00A91650" w:rsidRDefault="00A91650"/>
    <w:sectPr w:rsidR="00A91650" w:rsidSect="00B2247E">
      <w:pgSz w:w="12240" w:h="15840"/>
      <w:pgMar w:top="1440" w:right="1440" w:bottom="709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47E"/>
    <w:rsid w:val="000E2EDD"/>
    <w:rsid w:val="00744FCF"/>
    <w:rsid w:val="00A91650"/>
    <w:rsid w:val="00B2247E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7CC9A"/>
  <w15:chartTrackingRefBased/>
  <w15:docId w15:val="{457804CD-2B7E-4F24-8F65-F71F7E974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2247E"/>
    <w:pPr>
      <w:bidi/>
      <w:spacing w:line="259" w:lineRule="auto"/>
    </w:pPr>
    <w:rPr>
      <w:rFonts w:ascii="Calibri" w:eastAsia="Calibri" w:hAnsi="Calibri" w:cs="Calibri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247E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247E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247E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247E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247E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247E"/>
    <w:pPr>
      <w:keepNext/>
      <w:keepLines/>
      <w:bidi w:val="0"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247E"/>
    <w:pPr>
      <w:keepNext/>
      <w:keepLines/>
      <w:bidi w:val="0"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247E"/>
    <w:pPr>
      <w:keepNext/>
      <w:keepLines/>
      <w:bidi w:val="0"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247E"/>
    <w:pPr>
      <w:keepNext/>
      <w:keepLines/>
      <w:bidi w:val="0"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24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24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24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24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24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24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247E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47E"/>
    <w:pPr>
      <w:numPr>
        <w:ilvl w:val="1"/>
      </w:numPr>
      <w:bidi w:val="0"/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247E"/>
    <w:pPr>
      <w:bidi w:val="0"/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24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247E"/>
    <w:pPr>
      <w:bidi w:val="0"/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24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4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247E"/>
    <w:rPr>
      <w:b/>
      <w:bCs/>
      <w:smallCaps/>
      <w:color w:val="0F4761" w:themeColor="accent1" w:themeShade="BF"/>
      <w:spacing w:val="5"/>
    </w:rPr>
  </w:style>
  <w:style w:type="table" w:styleId="ListTable6Colorful-Accent5">
    <w:name w:val="List Table 6 Colorful Accent 5"/>
    <w:basedOn w:val="TableNormal"/>
    <w:uiPriority w:val="51"/>
    <w:rsid w:val="00B2247E"/>
    <w:pPr>
      <w:spacing w:after="0" w:line="240" w:lineRule="auto"/>
    </w:pPr>
    <w:rPr>
      <w:rFonts w:ascii="Times New Roman" w:hAnsi="Times New Roman" w:cs="Times New Roman"/>
      <w:kern w:val="0"/>
      <w:sz w:val="18"/>
      <w:szCs w:val="18"/>
      <w:lang w:val="en-AU"/>
      <w14:ligatures w14:val="none"/>
    </w:rPr>
    <w:tblPr>
      <w:tblStyleRowBandSize w:val="1"/>
      <w:tblStyleColBandSize w:val="1"/>
      <w:tblBorders>
        <w:top w:val="single" w:sz="4" w:space="0" w:color="auto"/>
        <w:bottom w:val="single" w:sz="4" w:space="0" w:color="auto"/>
      </w:tblBorders>
      <w:tblCellMar>
        <w:left w:w="28" w:type="dxa"/>
        <w:right w:w="2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 w:val="0"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 w:val="0"/>
        <w:bCs/>
      </w:rPr>
    </w:tblStylePr>
    <w:tblStylePr w:type="lastCol">
      <w:rPr>
        <w:b w:val="0"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2025-08-05T20:12:00Z</dcterms:created>
  <dcterms:modified xsi:type="dcterms:W3CDTF">2025-08-05T20:12:00Z</dcterms:modified>
</cp:coreProperties>
</file>