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1200" w:hanging="1200" w:hangingChars="600"/>
        <w:rPr>
          <w:rFonts w:ascii="Times New Roman" w:hAnsi="Times New Roman" w:cs="Times New Roman"/>
          <w:i/>
          <w:sz w:val="20"/>
          <w:szCs w:val="20"/>
        </w:rPr>
      </w:pPr>
      <w:r>
        <w:rPr>
          <w:rFonts w:hint="eastAsia" w:ascii="Times New Roman" w:hAnsi="Times New Roman" w:cs="Times New Roman"/>
          <w:sz w:val="20"/>
          <w:szCs w:val="20"/>
        </w:rPr>
        <w:t>Table S</w:t>
      </w:r>
      <w:r>
        <w:rPr>
          <w:rFonts w:hint="eastAsia" w:ascii="Times New Roman" w:hAnsi="Times New Roman" w:cs="Times New Roman"/>
          <w:sz w:val="20"/>
          <w:szCs w:val="20"/>
          <w:lang w:val="en-US" w:eastAsia="zh-CN"/>
        </w:rPr>
        <w:t>1</w:t>
      </w:r>
      <w:r>
        <w:rPr>
          <w:rFonts w:ascii="Times New Roman" w:hAnsi="Times New Roman" w:cs="Times New Roman"/>
          <w:sz w:val="20"/>
          <w:szCs w:val="20"/>
        </w:rPr>
        <w:t xml:space="preserve"> The</w:t>
      </w:r>
      <w:r>
        <w:rPr>
          <w:rFonts w:ascii="Times New Roman" w:hAnsi="Times New Roman" w:cs="Times New Roman"/>
          <w:i w:val="0"/>
          <w:iCs w:val="0"/>
          <w:color w:val="000000" w:themeColor="text1"/>
          <w:sz w:val="20"/>
          <w:szCs w:val="20"/>
          <w14:textFill>
            <w14:solidFill>
              <w14:schemeClr w14:val="tx1"/>
            </w14:solidFill>
          </w14:textFill>
        </w:rPr>
        <w:t xml:space="preserve"> P values for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hint="eastAsia" w:ascii="Times New Roman" w:hAnsi="Times New Roman" w:cs="Times New Roman"/>
          <w:sz w:val="20"/>
          <w:szCs w:val="20"/>
          <w:lang w:val="en-US" w:eastAsia="zh-CN"/>
        </w:rPr>
        <w:t xml:space="preserve">season (S), stand type (T) and their </w:t>
      </w:r>
      <w:r>
        <w:rPr>
          <w:rFonts w:hint="eastAsia" w:ascii="Times New Roman" w:hAnsi="Times New Roman" w:cs="Times New Roman"/>
          <w:sz w:val="20"/>
          <w:szCs w:val="20"/>
        </w:rPr>
        <w:t>interacti</w:t>
      </w:r>
      <w:bookmarkStart w:id="0" w:name="_GoBack"/>
      <w:bookmarkEnd w:id="0"/>
      <w:r>
        <w:rPr>
          <w:rFonts w:hint="eastAsia" w:ascii="Times New Roman" w:hAnsi="Times New Roman" w:cs="Times New Roman"/>
          <w:sz w:val="20"/>
          <w:szCs w:val="20"/>
        </w:rPr>
        <w:t>on</w:t>
      </w:r>
      <w:r>
        <w:rPr>
          <w:rFonts w:hint="eastAsia" w:ascii="Times New Roman" w:hAnsi="Times New Roman" w:cs="Times New Roman"/>
          <w:sz w:val="20"/>
          <w:szCs w:val="20"/>
          <w:lang w:val="en-US" w:eastAsia="zh-CN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 xml:space="preserve">ANOVA effects on </w:t>
      </w:r>
      <w:r>
        <w:rPr>
          <w:rFonts w:hint="eastAsia" w:ascii="Times New Roman" w:hAnsi="Times New Roman" w:cs="Times New Roman"/>
          <w:sz w:val="20"/>
          <w:szCs w:val="20"/>
          <w:lang w:val="en-US" w:eastAsia="zh-CN"/>
        </w:rPr>
        <w:t>biomass and N content of</w:t>
      </w:r>
      <w:r>
        <w:rPr>
          <w:rFonts w:ascii="Times New Roman" w:hAnsi="Times New Roman" w:cs="Times New Roman"/>
          <w:i/>
          <w:sz w:val="20"/>
          <w:szCs w:val="20"/>
        </w:rPr>
        <w:t xml:space="preserve"> Eucalyputs urophylla</w:t>
      </w:r>
      <w:r>
        <w:rPr>
          <w:rFonts w:hint="eastAsia" w:ascii="Times New Roman" w:hAnsi="Times New Roman" w:cs="Times New Roman"/>
          <w:i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>×</w:t>
      </w:r>
      <w:r>
        <w:rPr>
          <w:rFonts w:ascii="Times New Roman" w:hAnsi="Times New Roman" w:cs="Times New Roman"/>
          <w:i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sz w:val="20"/>
          <w:szCs w:val="20"/>
        </w:rPr>
        <w:t xml:space="preserve">grandis </w:t>
      </w:r>
    </w:p>
    <w:tbl>
      <w:tblPr>
        <w:tblStyle w:val="2"/>
        <w:tblpPr w:leftFromText="180" w:rightFromText="180" w:vertAnchor="page" w:horzAnchor="page" w:tblpX="1323" w:tblpY="2498"/>
        <w:tblOverlap w:val="never"/>
        <w:tblW w:w="5104" w:type="pct"/>
        <w:tblInd w:w="0" w:type="dxa"/>
        <w:tblBorders>
          <w:top w:val="single" w:color="auto" w:sz="8" w:space="0"/>
          <w:left w:val="none" w:color="auto" w:sz="0" w:space="0"/>
          <w:bottom w:val="single" w:color="auto" w:sz="8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55"/>
        <w:gridCol w:w="775"/>
        <w:gridCol w:w="746"/>
        <w:gridCol w:w="734"/>
        <w:gridCol w:w="810"/>
        <w:gridCol w:w="710"/>
        <w:gridCol w:w="790"/>
        <w:gridCol w:w="680"/>
        <w:gridCol w:w="840"/>
        <w:gridCol w:w="700"/>
        <w:gridCol w:w="790"/>
        <w:gridCol w:w="680"/>
        <w:gridCol w:w="770"/>
        <w:gridCol w:w="700"/>
        <w:gridCol w:w="690"/>
        <w:gridCol w:w="690"/>
        <w:gridCol w:w="820"/>
        <w:gridCol w:w="700"/>
        <w:gridCol w:w="790"/>
      </w:tblGrid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</w:trPr>
        <w:tc>
          <w:tcPr>
            <w:tcW w:w="364" w:type="pct"/>
            <w:vMerge w:val="restart"/>
            <w:tcBorders>
              <w:top w:val="single" w:color="auto" w:sz="8" w:space="0"/>
            </w:tcBorders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jc w:val="center"/>
              <w:rPr>
                <w:rFonts w:ascii="Times New Roman" w:hAnsi="Times New Roman" w:cs="Times New Roman"/>
                <w:i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Source of variation</w:t>
            </w:r>
          </w:p>
        </w:tc>
        <w:tc>
          <w:tcPr>
            <w:tcW w:w="1577" w:type="pct"/>
            <w:gridSpan w:val="6"/>
            <w:tcBorders>
              <w:top w:val="single" w:color="auto" w:sz="8" w:space="0"/>
              <w:bottom w:val="single" w:color="auto" w:sz="4" w:space="0"/>
            </w:tcBorders>
            <w:shd w:val="clear" w:color="auto" w:fill="auto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S</w:t>
            </w:r>
            <w:r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eason</w:t>
            </w:r>
          </w:p>
        </w:tc>
        <w:tc>
          <w:tcPr>
            <w:tcW w:w="1541" w:type="pct"/>
            <w:gridSpan w:val="6"/>
            <w:tcBorders>
              <w:top w:val="single" w:color="auto" w:sz="8" w:space="0"/>
              <w:bottom w:val="single" w:color="auto" w:sz="4" w:space="0"/>
            </w:tcBorders>
            <w:shd w:val="clear" w:color="auto" w:fill="auto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Stand type</w:t>
            </w:r>
          </w:p>
        </w:tc>
        <w:tc>
          <w:tcPr>
            <w:tcW w:w="1516" w:type="pct"/>
            <w:gridSpan w:val="6"/>
            <w:tcBorders>
              <w:top w:val="single" w:color="auto" w:sz="8" w:space="0"/>
              <w:bottom w:val="single" w:color="auto" w:sz="4" w:space="0"/>
            </w:tcBorders>
            <w:shd w:val="clear" w:color="auto" w:fill="auto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S</w:t>
            </w:r>
            <w:r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eason</w:t>
            </w: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 xml:space="preserve"> × </w:t>
            </w:r>
            <w:r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stand type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64" w:type="pct"/>
            <w:vMerge w:val="continue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67" w:type="pct"/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root</w:t>
            </w:r>
          </w:p>
        </w:tc>
        <w:tc>
          <w:tcPr>
            <w:tcW w:w="257" w:type="pct"/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stem</w:t>
            </w:r>
          </w:p>
        </w:tc>
        <w:tc>
          <w:tcPr>
            <w:tcW w:w="253" w:type="pct"/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bark</w:t>
            </w:r>
          </w:p>
        </w:tc>
        <w:tc>
          <w:tcPr>
            <w:tcW w:w="279" w:type="pct"/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branch</w:t>
            </w:r>
          </w:p>
        </w:tc>
        <w:tc>
          <w:tcPr>
            <w:tcW w:w="245" w:type="pct"/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leaf</w:t>
            </w:r>
          </w:p>
        </w:tc>
        <w:tc>
          <w:tcPr>
            <w:tcW w:w="272" w:type="pct"/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Whole plant</w:t>
            </w:r>
          </w:p>
        </w:tc>
        <w:tc>
          <w:tcPr>
            <w:tcW w:w="234" w:type="pct"/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root</w:t>
            </w:r>
          </w:p>
        </w:tc>
        <w:tc>
          <w:tcPr>
            <w:tcW w:w="290" w:type="pct"/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stem</w:t>
            </w:r>
          </w:p>
        </w:tc>
        <w:tc>
          <w:tcPr>
            <w:tcW w:w="241" w:type="pct"/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bark</w:t>
            </w:r>
          </w:p>
        </w:tc>
        <w:tc>
          <w:tcPr>
            <w:tcW w:w="272" w:type="pct"/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branch</w:t>
            </w:r>
          </w:p>
        </w:tc>
        <w:tc>
          <w:tcPr>
            <w:tcW w:w="234" w:type="pct"/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leaf</w:t>
            </w:r>
          </w:p>
        </w:tc>
        <w:tc>
          <w:tcPr>
            <w:tcW w:w="266" w:type="pct"/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Whole plant</w:t>
            </w:r>
          </w:p>
        </w:tc>
        <w:tc>
          <w:tcPr>
            <w:tcW w:w="241" w:type="pct"/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root</w:t>
            </w:r>
          </w:p>
        </w:tc>
        <w:tc>
          <w:tcPr>
            <w:tcW w:w="238" w:type="pct"/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stem</w:t>
            </w:r>
          </w:p>
        </w:tc>
        <w:tc>
          <w:tcPr>
            <w:tcW w:w="238" w:type="pct"/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bark</w:t>
            </w:r>
          </w:p>
        </w:tc>
        <w:tc>
          <w:tcPr>
            <w:tcW w:w="283" w:type="pct"/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branch</w:t>
            </w:r>
          </w:p>
        </w:tc>
        <w:tc>
          <w:tcPr>
            <w:tcW w:w="241" w:type="pct"/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leaf</w:t>
            </w:r>
          </w:p>
        </w:tc>
        <w:tc>
          <w:tcPr>
            <w:tcW w:w="272" w:type="pct"/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Whole plant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64" w:type="pct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Biomass</w:t>
            </w:r>
          </w:p>
        </w:tc>
        <w:tc>
          <w:tcPr>
            <w:tcW w:w="267" w:type="pct"/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0.146</w:t>
            </w:r>
          </w:p>
        </w:tc>
        <w:tc>
          <w:tcPr>
            <w:tcW w:w="257" w:type="pct"/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0.269</w:t>
            </w:r>
          </w:p>
        </w:tc>
        <w:tc>
          <w:tcPr>
            <w:tcW w:w="253" w:type="pct"/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0.027</w:t>
            </w:r>
          </w:p>
        </w:tc>
        <w:tc>
          <w:tcPr>
            <w:tcW w:w="279" w:type="pct"/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0.043</w:t>
            </w:r>
          </w:p>
        </w:tc>
        <w:tc>
          <w:tcPr>
            <w:tcW w:w="245" w:type="pct"/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0.02</w:t>
            </w:r>
          </w:p>
        </w:tc>
        <w:tc>
          <w:tcPr>
            <w:tcW w:w="272" w:type="pct"/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0.052</w:t>
            </w:r>
          </w:p>
        </w:tc>
        <w:tc>
          <w:tcPr>
            <w:tcW w:w="234" w:type="pct"/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0.105</w:t>
            </w:r>
          </w:p>
        </w:tc>
        <w:tc>
          <w:tcPr>
            <w:tcW w:w="290" w:type="pct"/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0.059</w:t>
            </w:r>
          </w:p>
        </w:tc>
        <w:tc>
          <w:tcPr>
            <w:tcW w:w="241" w:type="pct"/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0.021</w:t>
            </w:r>
          </w:p>
        </w:tc>
        <w:tc>
          <w:tcPr>
            <w:tcW w:w="272" w:type="pct"/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0.001</w:t>
            </w:r>
          </w:p>
        </w:tc>
        <w:tc>
          <w:tcPr>
            <w:tcW w:w="234" w:type="pct"/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0.047</w:t>
            </w:r>
          </w:p>
        </w:tc>
        <w:tc>
          <w:tcPr>
            <w:tcW w:w="266" w:type="pct"/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0.007</w:t>
            </w:r>
          </w:p>
        </w:tc>
        <w:tc>
          <w:tcPr>
            <w:tcW w:w="241" w:type="pct"/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0.146</w:t>
            </w:r>
          </w:p>
        </w:tc>
        <w:tc>
          <w:tcPr>
            <w:tcW w:w="238" w:type="pct"/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0.131</w:t>
            </w:r>
          </w:p>
        </w:tc>
        <w:tc>
          <w:tcPr>
            <w:tcW w:w="238" w:type="pct"/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0.655</w:t>
            </w:r>
          </w:p>
        </w:tc>
        <w:tc>
          <w:tcPr>
            <w:tcW w:w="283" w:type="pct"/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0.274</w:t>
            </w:r>
          </w:p>
        </w:tc>
        <w:tc>
          <w:tcPr>
            <w:tcW w:w="241" w:type="pct"/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0.207</w:t>
            </w:r>
          </w:p>
        </w:tc>
        <w:tc>
          <w:tcPr>
            <w:tcW w:w="272" w:type="pct"/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0.068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64" w:type="pct"/>
            <w:tcBorders>
              <w:bottom w:val="single" w:color="auto" w:sz="8" w:space="0"/>
            </w:tcBorders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N content </w:t>
            </w:r>
          </w:p>
        </w:tc>
        <w:tc>
          <w:tcPr>
            <w:tcW w:w="267" w:type="pct"/>
            <w:tcBorders>
              <w:bottom w:val="single" w:color="auto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0.007</w:t>
            </w:r>
          </w:p>
        </w:tc>
        <w:tc>
          <w:tcPr>
            <w:tcW w:w="257" w:type="pct"/>
            <w:tcBorders>
              <w:bottom w:val="single" w:color="auto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0.114</w:t>
            </w:r>
          </w:p>
        </w:tc>
        <w:tc>
          <w:tcPr>
            <w:tcW w:w="253" w:type="pct"/>
            <w:tcBorders>
              <w:bottom w:val="single" w:color="auto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0.047</w:t>
            </w:r>
          </w:p>
        </w:tc>
        <w:tc>
          <w:tcPr>
            <w:tcW w:w="279" w:type="pct"/>
            <w:tcBorders>
              <w:bottom w:val="single" w:color="auto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0.051</w:t>
            </w:r>
          </w:p>
        </w:tc>
        <w:tc>
          <w:tcPr>
            <w:tcW w:w="245" w:type="pct"/>
            <w:tcBorders>
              <w:bottom w:val="single" w:color="auto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0.019</w:t>
            </w:r>
          </w:p>
        </w:tc>
        <w:tc>
          <w:tcPr>
            <w:tcW w:w="272" w:type="pct"/>
            <w:tcBorders>
              <w:bottom w:val="single" w:color="auto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0.015</w:t>
            </w:r>
          </w:p>
        </w:tc>
        <w:tc>
          <w:tcPr>
            <w:tcW w:w="234" w:type="pct"/>
            <w:tcBorders>
              <w:bottom w:val="single" w:color="auto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0.92</w:t>
            </w:r>
          </w:p>
        </w:tc>
        <w:tc>
          <w:tcPr>
            <w:tcW w:w="290" w:type="pct"/>
            <w:tcBorders>
              <w:bottom w:val="single" w:color="auto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0.144</w:t>
            </w:r>
          </w:p>
        </w:tc>
        <w:tc>
          <w:tcPr>
            <w:tcW w:w="241" w:type="pct"/>
            <w:tcBorders>
              <w:bottom w:val="single" w:color="auto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0.031</w:t>
            </w:r>
          </w:p>
        </w:tc>
        <w:tc>
          <w:tcPr>
            <w:tcW w:w="272" w:type="pct"/>
            <w:tcBorders>
              <w:bottom w:val="single" w:color="auto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0.007</w:t>
            </w:r>
          </w:p>
        </w:tc>
        <w:tc>
          <w:tcPr>
            <w:tcW w:w="234" w:type="pct"/>
            <w:tcBorders>
              <w:bottom w:val="single" w:color="auto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0.031</w:t>
            </w:r>
          </w:p>
        </w:tc>
        <w:tc>
          <w:tcPr>
            <w:tcW w:w="266" w:type="pct"/>
            <w:tcBorders>
              <w:bottom w:val="single" w:color="auto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0.002</w:t>
            </w:r>
          </w:p>
        </w:tc>
        <w:tc>
          <w:tcPr>
            <w:tcW w:w="241" w:type="pct"/>
            <w:tcBorders>
              <w:bottom w:val="single" w:color="auto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0.16</w:t>
            </w:r>
          </w:p>
        </w:tc>
        <w:tc>
          <w:tcPr>
            <w:tcW w:w="238" w:type="pct"/>
            <w:tcBorders>
              <w:bottom w:val="single" w:color="auto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0.157</w:t>
            </w:r>
          </w:p>
        </w:tc>
        <w:tc>
          <w:tcPr>
            <w:tcW w:w="238" w:type="pct"/>
            <w:tcBorders>
              <w:bottom w:val="single" w:color="auto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0.288</w:t>
            </w:r>
          </w:p>
        </w:tc>
        <w:tc>
          <w:tcPr>
            <w:tcW w:w="283" w:type="pct"/>
            <w:tcBorders>
              <w:bottom w:val="single" w:color="auto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0.233</w:t>
            </w:r>
          </w:p>
        </w:tc>
        <w:tc>
          <w:tcPr>
            <w:tcW w:w="241" w:type="pct"/>
            <w:tcBorders>
              <w:bottom w:val="single" w:color="auto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0.213</w:t>
            </w:r>
          </w:p>
        </w:tc>
        <w:tc>
          <w:tcPr>
            <w:tcW w:w="272" w:type="pct"/>
            <w:tcBorders>
              <w:bottom w:val="single" w:color="auto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0.05</w:t>
            </w:r>
          </w:p>
        </w:tc>
      </w:tr>
    </w:tbl>
    <w:p>
      <w:pPr>
        <w:ind w:left="1200" w:hanging="1200" w:hangingChars="600"/>
        <w:rPr>
          <w:rFonts w:ascii="Times New Roman" w:hAnsi="Times New Roman" w:cs="Times New Roman"/>
          <w:sz w:val="20"/>
          <w:szCs w:val="20"/>
        </w:rPr>
      </w:pPr>
      <w:r>
        <w:rPr>
          <w:rFonts w:hint="eastAsia" w:ascii="Times New Roman" w:hAnsi="Times New Roman" w:cs="Times New Roman"/>
          <w:sz w:val="20"/>
          <w:szCs w:val="20"/>
          <w:lang w:val="en-US" w:eastAsia="zh-CN"/>
        </w:rPr>
        <w:t xml:space="preserve"> P-values show that was not significant and significant affected for p&gt;0.05 and p&lt;0.05.  </w:t>
      </w:r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3934975"/>
    <w:rsid w:val="1C85132E"/>
    <w:rsid w:val="73A93ABA"/>
    <w:rsid w:val="7C7F2B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after="160" w:line="259" w:lineRule="auto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2021-05-21T02:34:00Z</dcterms:created>
  <dc:creator>dell</dc:creator>
  <cp:lastModifiedBy>咸鱼翻身</cp:lastModifiedBy>
  <dcterms:modified xsi:type="dcterms:W3CDTF">2021-05-21T11:32:01Z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F1784927F7344F1FB62A9ED508E92BAF</vt:lpwstr>
  </property>
</Properties>
</file>