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Supplemental material for Spontaneous EBV-positive B cell line from rectal tumor: characterization, interaction with autologous tumor-infiltrating T lymphocytes, comparison with B lymphoma cell lines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Tatiana V. Petrova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Daria V. Kuznetzova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Alexandra V. Kanygina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Liubov O. Skorodumova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Viktor A. Ivanov</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Tatiana A. Astrelina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Svetlana E. Varlamova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Elena I. Sharova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*Correspondence: Tatiana V. Petrova,  petrozik@gmail.com Elena I. Sharova sharova78@gmail.com</w:t>
      </w:r>
      <w:r w:rsidDel="00000000" w:rsidR="00000000" w:rsidRPr="00000000">
        <w:rPr>
          <w:rtl w:val="0"/>
        </w:rPr>
      </w:r>
    </w:p>
    <w:p w:rsidR="00000000" w:rsidDel="00000000" w:rsidP="00000000" w:rsidRDefault="00000000" w:rsidRPr="00000000" w14:paraId="00000004">
      <w:pPr>
        <w:spacing w:after="240" w:before="240"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of contents</w:t>
      </w:r>
    </w:p>
    <w:p w:rsidR="00000000" w:rsidDel="00000000" w:rsidP="00000000" w:rsidRDefault="00000000" w:rsidRPr="00000000" w14:paraId="00000005">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Figures</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Tables </w:t>
      </w:r>
      <w:r w:rsidDel="00000000" w:rsidR="00000000" w:rsidRPr="00000000">
        <w:br w:type="page"/>
      </w:r>
      <w:r w:rsidDel="00000000" w:rsidR="00000000" w:rsidRPr="00000000">
        <w:rPr>
          <w:rtl w:val="0"/>
        </w:rPr>
      </w:r>
    </w:p>
    <w:p w:rsidR="00000000" w:rsidDel="00000000" w:rsidP="00000000" w:rsidRDefault="00000000" w:rsidRPr="00000000" w14:paraId="00000007">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Figures</w:t>
      </w:r>
    </w:p>
    <w:p w:rsidR="00000000" w:rsidDel="00000000" w:rsidP="00000000" w:rsidRDefault="00000000" w:rsidRPr="00000000" w14:paraId="00000008">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731200" cy="4140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4140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Figure 1. Tumorigenicity of the lcl_burn0214 cell line in NU–A/A Tyrc/Tyrc Foxn1nu/Foxn1nu mice.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Representative image of the tumor-bearing mouse. </w:t>
      </w:r>
    </w:p>
    <w:p w:rsidR="00000000" w:rsidDel="00000000" w:rsidP="00000000" w:rsidRDefault="00000000" w:rsidRPr="00000000" w14:paraId="0000000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Tumor growth curve. One million cells of lcl_burn0214 cell line were subcutaneously inoculated into 5 NU–A/A Tyrc/Tyrc Foxn1nu/Foxn1nu male mice (m1-m5). Graft growth was monitored over the subsequent 75 days. Four (m2-m5) out of five lcl_burn0214 grafts regressed over time, with the exception of the tumor in mouse m1.</w:t>
      </w:r>
    </w:p>
    <w:p w:rsidR="00000000" w:rsidDel="00000000" w:rsidP="00000000" w:rsidRDefault="00000000" w:rsidRPr="00000000" w14:paraId="0000000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Hematoxylin and eosin staining of tumor graft section from m1 mice (tissue sections are 3.5 mkm thick). The xenograft tumor exhibited large zones of necrosis with few alive blasts, the blast on the representative image is highlighted with a red circle (scale bar = 10 μm, 100x magnigication). </w:t>
      </w:r>
    </w:p>
    <w:p w:rsidR="00000000" w:rsidDel="00000000" w:rsidP="00000000" w:rsidRDefault="00000000" w:rsidRPr="00000000" w14:paraId="0000000D">
      <w:pPr>
        <w:pStyle w:val="Heading2"/>
        <w:widowControl w:val="0"/>
        <w:spacing w:after="200" w:line="480" w:lineRule="auto"/>
        <w:rPr>
          <w:u w:val="none"/>
        </w:rPr>
      </w:pPr>
      <w:bookmarkStart w:colFirst="0" w:colLast="0" w:name="_cdfukpkjcekz" w:id="0"/>
      <w:bookmarkEnd w:id="0"/>
      <w:r w:rsidDel="00000000" w:rsidR="00000000" w:rsidRPr="00000000">
        <w:rPr>
          <w:u w:val="none"/>
          <w:rtl w:val="0"/>
        </w:rPr>
        <w:t xml:space="preserve">Supplementary Tables</w:t>
      </w:r>
    </w:p>
    <w:p w:rsidR="00000000" w:rsidDel="00000000" w:rsidP="00000000" w:rsidRDefault="00000000" w:rsidRPr="00000000" w14:paraId="0000000E">
      <w:pPr>
        <w:pStyle w:val="Heading2"/>
        <w:spacing w:after="200" w:before="200" w:line="480" w:lineRule="auto"/>
        <w:rPr/>
      </w:pPr>
      <w:bookmarkStart w:colFirst="0" w:colLast="0" w:name="_a6aedqejw2fk" w:id="1"/>
      <w:bookmarkEnd w:id="1"/>
      <w:r w:rsidDel="00000000" w:rsidR="00000000" w:rsidRPr="00000000">
        <w:rPr>
          <w:u w:val="none"/>
          <w:rtl w:val="0"/>
        </w:rPr>
        <w:t xml:space="preserve">Supplementary Table 1. </w:t>
      </w:r>
      <w:r w:rsidDel="00000000" w:rsidR="00000000" w:rsidRPr="00000000">
        <w:rPr>
          <w:b w:val="0"/>
          <w:u w:val="none"/>
          <w:rtl w:val="0"/>
        </w:rPr>
        <w:t xml:space="preserve">Number of BCR clonotypes and proportion of the most frequent BCR clonotype in tum_burn0214 and lcl_burn0214 samples</w:t>
      </w:r>
      <w:r w:rsidDel="00000000" w:rsidR="00000000" w:rsidRPr="00000000">
        <w:rPr>
          <w:rtl w:val="0"/>
        </w:rPr>
      </w:r>
    </w:p>
    <w:tbl>
      <w:tblPr>
        <w:tblStyle w:val="Table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4440"/>
        <w:gridCol w:w="3780"/>
        <w:tblGridChange w:id="0">
          <w:tblGrid>
            <w:gridCol w:w="855"/>
            <w:gridCol w:w="4440"/>
            <w:gridCol w:w="3780"/>
          </w:tblGrid>
        </w:tblGridChange>
      </w:tblGrid>
      <w:tr>
        <w:trPr>
          <w:cantSplit w:val="0"/>
          <w:trHeight w:val="533.6243019727503"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BCR chain name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tum_burn0214</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clonotypes/proportion of the most frequent BCR clonotype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lcl_burn0214</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clonotypes/proportion of the most frequent BCR clonotype </w:t>
            </w:r>
          </w:p>
        </w:tc>
      </w:tr>
      <w:tr>
        <w:trPr>
          <w:cantSplit w:val="0"/>
          <w:trHeight w:val="286.6027717382498"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176/0.12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16/.92</w:t>
            </w:r>
          </w:p>
        </w:tc>
      </w:tr>
      <w:tr>
        <w:trPr>
          <w:cantSplit w:val="0"/>
          <w:trHeight w:val="286.6027717382498"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IGK</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305/0.28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14/0.99</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8/0.98</w:t>
            </w:r>
          </w:p>
        </w:tc>
      </w:tr>
    </w:tbl>
    <w:p w:rsidR="00000000" w:rsidDel="00000000" w:rsidP="00000000" w:rsidRDefault="00000000" w:rsidRPr="00000000" w14:paraId="0000001D">
      <w:pPr>
        <w:pStyle w:val="Heading2"/>
        <w:widowControl w:val="0"/>
        <w:spacing w:line="480" w:lineRule="auto"/>
        <w:rPr/>
      </w:pPr>
      <w:bookmarkStart w:colFirst="0" w:colLast="0" w:name="_cdh3nj670psh" w:id="2"/>
      <w:bookmarkEnd w:id="2"/>
      <w:r w:rsidDel="00000000" w:rsidR="00000000" w:rsidRPr="00000000">
        <w:rPr>
          <w:rtl w:val="0"/>
        </w:rPr>
      </w:r>
    </w:p>
    <w:p w:rsidR="00000000" w:rsidDel="00000000" w:rsidP="00000000" w:rsidRDefault="00000000" w:rsidRPr="00000000" w14:paraId="0000001E">
      <w:pPr>
        <w:pStyle w:val="Heading2"/>
        <w:widowControl w:val="0"/>
        <w:spacing w:after="200" w:line="480" w:lineRule="auto"/>
        <w:rPr/>
      </w:pPr>
      <w:bookmarkStart w:colFirst="0" w:colLast="0" w:name="_72az4givpp" w:id="3"/>
      <w:bookmarkEnd w:id="3"/>
      <w:r w:rsidDel="00000000" w:rsidR="00000000" w:rsidRPr="00000000">
        <w:rPr>
          <w:u w:val="none"/>
          <w:rtl w:val="0"/>
        </w:rPr>
        <w:t xml:space="preserve">Supplementary Table 2A. </w:t>
      </w:r>
      <w:r w:rsidDel="00000000" w:rsidR="00000000" w:rsidRPr="00000000">
        <w:rPr>
          <w:b w:val="0"/>
          <w:u w:val="none"/>
          <w:rtl w:val="0"/>
        </w:rPr>
        <w:t xml:space="preserve">Cell deconvolution analysis of tum_burn0214 and lcl_burn0214 samples using bulk RNA-seq data and EPIC method</w:t>
      </w:r>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2985"/>
        <w:gridCol w:w="2430"/>
        <w:tblGridChange w:id="0">
          <w:tblGrid>
            <w:gridCol w:w="3615"/>
            <w:gridCol w:w="2985"/>
            <w:gridCol w:w="243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entity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lcl_burn0214</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tum_burn0214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 associated fibroblast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Endothelial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Macrophage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NK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uncharacterized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w:t>
            </w:r>
          </w:p>
        </w:tc>
      </w:tr>
    </w:tbl>
    <w:p w:rsidR="00000000" w:rsidDel="00000000" w:rsidP="00000000" w:rsidRDefault="00000000" w:rsidRPr="00000000" w14:paraId="0000003A">
      <w:pPr>
        <w:spacing w:before="200" w:line="48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before="20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Table 2B.  </w:t>
      </w:r>
      <w:r w:rsidDel="00000000" w:rsidR="00000000" w:rsidRPr="00000000">
        <w:rPr>
          <w:rFonts w:ascii="Times New Roman" w:cs="Times New Roman" w:eastAsia="Times New Roman" w:hAnsi="Times New Roman"/>
          <w:sz w:val="24"/>
          <w:szCs w:val="24"/>
          <w:rtl w:val="0"/>
        </w:rPr>
        <w:t xml:space="preserve">Cell deconvolution analysis of tum_burn0214 and lcl_burn0214 samples using bulk RNA-seq data and xCell method</w:t>
      </w:r>
    </w:p>
    <w:tbl>
      <w:tblPr>
        <w:tblStyle w:val="Table3"/>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3045"/>
        <w:gridCol w:w="2400"/>
        <w:tblGridChange w:id="0">
          <w:tblGrid>
            <w:gridCol w:w="3615"/>
            <w:gridCol w:w="3045"/>
            <w:gridCol w:w="240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entity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lcl_burn0214</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tum_burn0214</w:t>
            </w:r>
          </w:p>
        </w:tc>
      </w:tr>
      <w:tr>
        <w:trPr>
          <w:cantSplit w:val="0"/>
          <w:trHeight w:val="55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Myeloid dendritic cell activated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 memory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 naive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55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 (non-regulatory)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 central memory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55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CD4+ effector memory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CD8+ naive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CD8+ central memory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05D">
      <w:pPr>
        <w:spacing w:line="48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Table 2C. </w:t>
      </w:r>
      <w:r w:rsidDel="00000000" w:rsidR="00000000" w:rsidRPr="00000000">
        <w:rPr>
          <w:rFonts w:ascii="Times New Roman" w:cs="Times New Roman" w:eastAsia="Times New Roman" w:hAnsi="Times New Roman"/>
          <w:sz w:val="24"/>
          <w:szCs w:val="24"/>
          <w:rtl w:val="0"/>
        </w:rPr>
        <w:t xml:space="preserve">Cell deconvolution analysis of tum_burn0214 and lcl_burn0214 samples using bulk RNA-seq data and MCP method</w:t>
      </w:r>
    </w:p>
    <w:tbl>
      <w:tblPr>
        <w:tblStyle w:val="Table4"/>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2985"/>
        <w:gridCol w:w="3075"/>
        <w:tblGridChange w:id="0">
          <w:tblGrid>
            <w:gridCol w:w="3030"/>
            <w:gridCol w:w="2985"/>
            <w:gridCol w:w="3075"/>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entity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lcl_burn0214</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tum_burn0214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cell CD8+</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cytotoxicity score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8,65</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NK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1141,69</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30,40</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Monocyte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Macrophage/Monocyte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Myeloid dendritic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Neutrophil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6,96</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Endothelial cell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r>
    </w:tbl>
    <w:p w:rsidR="00000000" w:rsidDel="00000000" w:rsidP="00000000" w:rsidRDefault="00000000" w:rsidRPr="00000000" w14:paraId="00000080">
      <w:pPr>
        <w:pStyle w:val="Heading2"/>
        <w:spacing w:after="200" w:before="200" w:line="480" w:lineRule="auto"/>
        <w:rPr>
          <w:rFonts w:ascii="Times New Roman" w:cs="Times New Roman" w:eastAsia="Times New Roman" w:hAnsi="Times New Roman"/>
          <w:b w:val="0"/>
          <w:sz w:val="24"/>
          <w:szCs w:val="24"/>
          <w:u w:val="none"/>
        </w:rPr>
      </w:pPr>
      <w:bookmarkStart w:colFirst="0" w:colLast="0" w:name="_qnvkbhlquo3h" w:id="4"/>
      <w:bookmarkEnd w:id="4"/>
      <w:r w:rsidDel="00000000" w:rsidR="00000000" w:rsidRPr="00000000">
        <w:br w:type="page"/>
      </w:r>
      <w:r w:rsidDel="00000000" w:rsidR="00000000" w:rsidRPr="00000000">
        <w:rPr>
          <w:rFonts w:ascii="Times New Roman" w:cs="Times New Roman" w:eastAsia="Times New Roman" w:hAnsi="Times New Roman"/>
          <w:sz w:val="24"/>
          <w:szCs w:val="24"/>
          <w:u w:val="none"/>
          <w:rtl w:val="0"/>
        </w:rPr>
        <w:t xml:space="preserve">Supplementary </w:t>
      </w:r>
      <w:r w:rsidDel="00000000" w:rsidR="00000000" w:rsidRPr="00000000">
        <w:rPr>
          <w:u w:val="none"/>
          <w:rtl w:val="0"/>
        </w:rPr>
        <w:t xml:space="preserve">T</w:t>
      </w:r>
      <w:r w:rsidDel="00000000" w:rsidR="00000000" w:rsidRPr="00000000">
        <w:rPr>
          <w:rFonts w:ascii="Times New Roman" w:cs="Times New Roman" w:eastAsia="Times New Roman" w:hAnsi="Times New Roman"/>
          <w:sz w:val="24"/>
          <w:szCs w:val="24"/>
          <w:u w:val="none"/>
          <w:rtl w:val="0"/>
        </w:rPr>
        <w:t xml:space="preserve">able </w:t>
      </w:r>
      <w:r w:rsidDel="00000000" w:rsidR="00000000" w:rsidRPr="00000000">
        <w:rPr>
          <w:u w:val="none"/>
          <w:rtl w:val="0"/>
        </w:rPr>
        <w:t xml:space="preserve">3.</w:t>
      </w:r>
      <w:r w:rsidDel="00000000" w:rsidR="00000000" w:rsidRPr="00000000">
        <w:rPr>
          <w:rFonts w:ascii="Times New Roman" w:cs="Times New Roman" w:eastAsia="Times New Roman" w:hAnsi="Times New Roman"/>
          <w:b w:val="0"/>
          <w:sz w:val="24"/>
          <w:szCs w:val="24"/>
          <w:u w:val="none"/>
          <w:rtl w:val="0"/>
        </w:rPr>
        <w:t xml:space="preserve"> </w:t>
      </w:r>
      <w:r w:rsidDel="00000000" w:rsidR="00000000" w:rsidRPr="00000000">
        <w:rPr>
          <w:b w:val="0"/>
          <w:u w:val="none"/>
          <w:rtl w:val="0"/>
        </w:rPr>
        <w:t xml:space="preserve">Short tandem repeat</w:t>
      </w:r>
      <w:r w:rsidDel="00000000" w:rsidR="00000000" w:rsidRPr="00000000">
        <w:rPr>
          <w:rFonts w:ascii="Times New Roman" w:cs="Times New Roman" w:eastAsia="Times New Roman" w:hAnsi="Times New Roman"/>
          <w:b w:val="0"/>
          <w:sz w:val="24"/>
          <w:szCs w:val="24"/>
          <w:u w:val="none"/>
          <w:rtl w:val="0"/>
        </w:rPr>
        <w:t xml:space="preserve"> profiles of the PBMC_burn0214, </w:t>
      </w:r>
      <w:r w:rsidDel="00000000" w:rsidR="00000000" w:rsidRPr="00000000">
        <w:rPr>
          <w:b w:val="0"/>
          <w:u w:val="none"/>
          <w:rtl w:val="0"/>
        </w:rPr>
        <w:t xml:space="preserve">TIL_burn0214</w:t>
      </w:r>
      <w:r w:rsidDel="00000000" w:rsidR="00000000" w:rsidRPr="00000000">
        <w:rPr>
          <w:rFonts w:ascii="Times New Roman" w:cs="Times New Roman" w:eastAsia="Times New Roman" w:hAnsi="Times New Roman"/>
          <w:b w:val="0"/>
          <w:sz w:val="24"/>
          <w:szCs w:val="24"/>
          <w:u w:val="none"/>
          <w:rtl w:val="0"/>
        </w:rPr>
        <w:t xml:space="preserve"> and lcl_burn0214 cell line at passages 15 and 53</w:t>
      </w:r>
    </w:p>
    <w:tbl>
      <w:tblPr>
        <w:tblStyle w:val="Table5"/>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140"/>
        <w:gridCol w:w="1890"/>
        <w:gridCol w:w="2220"/>
        <w:gridCol w:w="2220"/>
        <w:tblGridChange w:id="0">
          <w:tblGrid>
            <w:gridCol w:w="1545"/>
            <w:gridCol w:w="1140"/>
            <w:gridCol w:w="1890"/>
            <w:gridCol w:w="2220"/>
            <w:gridCol w:w="2220"/>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1">
            <w:pPr>
              <w:spacing w:after="0" w:before="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Locus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2">
            <w:pPr>
              <w:spacing w:after="0" w:before="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PBMC_ burn0214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3">
            <w:pPr>
              <w:spacing w:after="0" w:before="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TIL_burn0214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4">
            <w:pPr>
              <w:spacing w:after="0" w:before="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lcl_burn0214_p53</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5">
            <w:pPr>
              <w:spacing w:after="0" w:before="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lcl_burn0214_p15</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Amelogenin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D3S1358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D1S1656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D2S441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D10S1248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D13S317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Penta 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D16S539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D18S51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D2S1338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CSF1PO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Penta 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D21S11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D7S820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D5S818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TPOX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D8S1179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D12S391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D19S433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SE33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18;30.2</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D22S1045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DYS391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D">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E">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FGA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F">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0">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1">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3">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DYS576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4">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5">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6">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8">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DYS570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9">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B">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C">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bl>
    <w:p w:rsidR="00000000" w:rsidDel="00000000" w:rsidP="00000000" w:rsidRDefault="00000000" w:rsidRPr="00000000" w14:paraId="0000010D">
      <w:pPr>
        <w:pStyle w:val="Heading2"/>
        <w:widowControl w:val="0"/>
        <w:spacing w:line="480" w:lineRule="auto"/>
        <w:rPr>
          <w:u w:val="none"/>
        </w:rPr>
      </w:pPr>
      <w:bookmarkStart w:colFirst="0" w:colLast="0" w:name="_17m7gdqu8425" w:id="5"/>
      <w:bookmarkEnd w:id="5"/>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2"/>
        <w:widowControl w:val="0"/>
        <w:spacing w:line="480" w:lineRule="auto"/>
        <w:rPr/>
      </w:pPr>
      <w:bookmarkStart w:colFirst="0" w:colLast="0" w:name="_9l03ve2veaiu" w:id="6"/>
      <w:bookmarkEnd w:id="6"/>
      <w:r w:rsidDel="00000000" w:rsidR="00000000" w:rsidRPr="00000000">
        <w:rPr>
          <w:u w:val="none"/>
          <w:rtl w:val="0"/>
        </w:rPr>
        <w:t xml:space="preserve">Supplementary Table 4. </w:t>
      </w:r>
      <w:r w:rsidDel="00000000" w:rsidR="00000000" w:rsidRPr="00000000">
        <w:rPr>
          <w:b w:val="0"/>
          <w:u w:val="none"/>
          <w:rtl w:val="0"/>
        </w:rPr>
        <w:t xml:space="preserve">Characteristics of selected B cell lines from Quentmeier H. dataset</w:t>
      </w:r>
      <w:r w:rsidDel="00000000" w:rsidR="00000000" w:rsidRPr="00000000">
        <w:rPr>
          <w:rtl w:val="0"/>
        </w:rPr>
      </w:r>
    </w:p>
    <w:tbl>
      <w:tblPr>
        <w:tblStyle w:val="Table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200"/>
        <w:gridCol w:w="1335"/>
        <w:gridCol w:w="480"/>
        <w:gridCol w:w="540"/>
        <w:gridCol w:w="1020"/>
        <w:gridCol w:w="1245"/>
        <w:gridCol w:w="1515"/>
        <w:tblGridChange w:id="0">
          <w:tblGrid>
            <w:gridCol w:w="1530"/>
            <w:gridCol w:w="1200"/>
            <w:gridCol w:w="1335"/>
            <w:gridCol w:w="480"/>
            <w:gridCol w:w="540"/>
            <w:gridCol w:w="1020"/>
            <w:gridCol w:w="1245"/>
            <w:gridCol w:w="1515"/>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line name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Selected aberrations</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EBV status</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 #</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PLL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R3HCC1L-HTRA1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ERR3003563</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PLL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PGA-1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caucasian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ERR3003584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DLBCL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NU-DHL-1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t(3;8)(p25;q24); t(14;18)(q32;q21)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ERR3003577</w:t>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DLBCL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DOHH-2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t(8;14;18)(q24;q32;q21)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ERR3003528</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HCL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BONNA-12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ERR3003517</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HCL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HC-1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ERR3003535</w:t>
            </w:r>
          </w:p>
        </w:tc>
      </w:tr>
      <w:tr>
        <w:trPr>
          <w:cantSplit w:val="0"/>
          <w:trHeight w:val="55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mantle cell lymphoma</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t(11;14)(q13;q32)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ERR3003587</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PEL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ERR3003514</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B-NHL: PEL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CRO-AP2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ERR3003522</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Hodgkin Lymphoma</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HDLM-2</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ERR3003536</w:t>
            </w:r>
          </w:p>
        </w:tc>
      </w:tr>
    </w:tbl>
    <w:p w:rsidR="00000000" w:rsidDel="00000000" w:rsidP="00000000" w:rsidRDefault="00000000" w:rsidRPr="00000000" w14:paraId="000001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B-cell non-Hodgkin lymphoma (B-NHL); hairy cell leukemia (HCL); primary effusion lymphoma (PEL); prolymphocytic leukemia (PLL); diffuse large B cell lymphoma (DLBCL)</w:t>
      </w:r>
      <w:r w:rsidDel="00000000" w:rsidR="00000000" w:rsidRPr="00000000">
        <w:rPr>
          <w:rtl w:val="0"/>
        </w:rPr>
      </w:r>
    </w:p>
    <w:sectPr>
      <w:footerReference r:id="rId7" w:type="default"/>
      <w:pgSz w:h="16834" w:w="11909" w:orient="portrait"/>
      <w:pgMar w:bottom="1440" w:top="1440"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jc w:val="both"/>
    </w:pPr>
    <w:rPr>
      <w:rFonts w:ascii="Times New Roman" w:cs="Times New Roman" w:eastAsia="Times New Roman" w:hAnsi="Times New Roman"/>
      <w:b w:val="1"/>
      <w:sz w:val="24"/>
      <w:szCs w:val="24"/>
      <w:u w:val="single"/>
    </w:rPr>
  </w:style>
  <w:style w:type="paragraph" w:styleId="Heading2">
    <w:name w:val="heading 2"/>
    <w:basedOn w:val="Normal"/>
    <w:next w:val="Normal"/>
    <w:pPr>
      <w:keepNext w:val="1"/>
      <w:keepLines w:val="1"/>
      <w:spacing w:after="0" w:line="240" w:lineRule="auto"/>
      <w:jc w:val="both"/>
    </w:pPr>
    <w:rPr>
      <w:rFonts w:ascii="Times New Roman" w:cs="Times New Roman" w:eastAsia="Times New Roman" w:hAnsi="Times New Roman"/>
      <w:b w:val="1"/>
      <w:sz w:val="24"/>
      <w:szCs w:val="24"/>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pPr/>
      <w:rPr>
        <w:b w:val="0"/>
        <w:i w:val="0"/>
      </w:rPr>
      <w:tcPr/>
    </w:tblStylePr>
    <w:tblStylePr w:type="band1Vert">
      <w:pPr/>
      <w:rPr>
        <w:b w:val="0"/>
        <w:i w:val="0"/>
      </w:rPr>
      <w:tcPr/>
    </w:tblStylePr>
    <w:tblStylePr w:type="band2Horz">
      <w:pPr/>
      <w:rPr>
        <w:b w:val="0"/>
        <w:i w:val="0"/>
      </w:rPr>
      <w:tcPr/>
    </w:tblStylePr>
    <w:tblStylePr w:type="band2Vert">
      <w:pPr/>
      <w:rPr>
        <w:b w:val="0"/>
        <w:i w:val="0"/>
      </w:rPr>
      <w:tcPr/>
    </w:tblStylePr>
    <w:tblStylePr w:type="firstCol">
      <w:pPr/>
      <w:rPr>
        <w:b w:val="0"/>
        <w:i w:val="0"/>
      </w:rPr>
      <w:tcPr/>
    </w:tblStylePr>
    <w:tblStylePr w:type="firstRow">
      <w:pPr/>
      <w:rPr>
        <w:b w:val="0"/>
        <w:i w:val="0"/>
      </w:rPr>
      <w:tcPr/>
    </w:tblStylePr>
    <w:tblStylePr w:type="lastCol">
      <w:pPr/>
      <w:rPr>
        <w:b w:val="0"/>
        <w:i w:val="0"/>
      </w:rPr>
      <w:tcPr/>
    </w:tblStylePr>
    <w:tblStylePr w:type="lastRow">
      <w:pPr/>
      <w:rPr>
        <w:b w:val="0"/>
        <w:i w:val="0"/>
      </w:rPr>
      <w:tcPr/>
    </w:tblStylePr>
    <w:tblStylePr w:type="neCell">
      <w:pPr/>
      <w:rPr>
        <w:b w:val="0"/>
        <w:i w:val="0"/>
      </w:rPr>
      <w:tcPr/>
    </w:tblStylePr>
    <w:tblStylePr w:type="nwCell">
      <w:pPr/>
      <w:rPr>
        <w:b w:val="0"/>
        <w:i w:val="0"/>
      </w:rPr>
      <w:tcPr/>
    </w:tblStylePr>
    <w:tblStylePr w:type="seCell">
      <w:pPr/>
      <w:rPr>
        <w:b w:val="0"/>
        <w:i w:val="0"/>
      </w:rPr>
      <w:tcPr/>
    </w:tblStylePr>
    <w:tblStylePr w:type="swCell">
      <w:pPr/>
      <w:rPr>
        <w:b w:val="0"/>
        <w:i w:val="0"/>
      </w:rPr>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