
<file path=[Content_Types].xml><?xml version="1.0" encoding="utf-8"?>
<Types xmlns="http://schemas.openxmlformats.org/package/2006/content-types">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2FBF758" w14:textId="1604B7F0" w:rsidR="008B204B" w:rsidRDefault="008B204B" w:rsidP="008B204B">
      <w:pPr>
        <w:spacing w:after="0" w:line="360" w:lineRule="auto"/>
        <w:rPr>
          <w:rFonts w:ascii="Times New Roman" w:hAnsi="Times New Roman"/>
          <w:sz w:val="24"/>
        </w:rPr>
      </w:pPr>
      <w:r>
        <w:rPr>
          <w:rFonts w:ascii="Times New Roman" w:hAnsi="Times New Roman"/>
          <w:b/>
          <w:bCs/>
          <w:sz w:val="24"/>
        </w:rPr>
        <w:t>Fi</w:t>
      </w:r>
      <w:r>
        <w:rPr>
          <w:rFonts w:ascii="Times New Roman" w:hAnsi="Times New Roman" w:hint="eastAsia"/>
          <w:b/>
          <w:bCs/>
          <w:sz w:val="24"/>
        </w:rPr>
        <w:t>g.</w:t>
      </w:r>
      <w:r>
        <w:rPr>
          <w:rFonts w:ascii="Times New Roman" w:hAnsi="Times New Roman"/>
          <w:b/>
          <w:bCs/>
          <w:sz w:val="24"/>
        </w:rPr>
        <w:t xml:space="preserve"> Suppl. 1</w:t>
      </w:r>
      <w:r>
        <w:rPr>
          <w:rFonts w:ascii="Times New Roman" w:hAnsi="Times New Roman"/>
          <w:sz w:val="24"/>
        </w:rPr>
        <w:t xml:space="preserve"> </w:t>
      </w:r>
      <w:r>
        <w:rPr>
          <w:rFonts w:ascii="Times New Roman" w:hAnsi="Times New Roman"/>
          <w:b/>
          <w:bCs/>
          <w:sz w:val="24"/>
        </w:rPr>
        <w:t>hADSC characterization</w:t>
      </w:r>
    </w:p>
    <w:p w14:paraId="179DC262" w14:textId="77777777" w:rsidR="008B204B" w:rsidRDefault="008B204B" w:rsidP="00863EB6">
      <w:pPr>
        <w:spacing w:after="0" w:line="360" w:lineRule="auto"/>
        <w:rPr>
          <w:rFonts w:ascii="Times New Roman" w:hAnsi="Times New Roman"/>
          <w:b/>
          <w:bCs/>
          <w:sz w:val="24"/>
        </w:rPr>
      </w:pPr>
    </w:p>
    <w:p w14:paraId="0441862E" w14:textId="2D54D98E" w:rsidR="008B204B" w:rsidRDefault="008B204B" w:rsidP="00863EB6">
      <w:pPr>
        <w:spacing w:after="0" w:line="360" w:lineRule="auto"/>
        <w:rPr>
          <w:rFonts w:ascii="Times New Roman" w:hAnsi="Times New Roman"/>
          <w:b/>
          <w:bCs/>
          <w:sz w:val="24"/>
        </w:rPr>
      </w:pPr>
      <w:r>
        <w:rPr>
          <w:rFonts w:ascii="Times New Roman" w:hAnsi="Times New Roman"/>
          <w:noProof/>
          <w:sz w:val="24"/>
        </w:rPr>
        <w:drawing>
          <wp:inline distT="0" distB="0" distL="0" distR="0" wp14:anchorId="478D07E7" wp14:editId="18A21144">
            <wp:extent cx="4190361" cy="7025640"/>
            <wp:effectExtent l="0" t="0" r="1270" b="381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a:blip r:embed="rId6" cstate="print">
                      <a:extLst>
                        <a:ext uri="{28A0092B-C50C-407E-A947-70E740481C1C}">
                          <a14:useLocalDpi xmlns:a14="http://schemas.microsoft.com/office/drawing/2010/main" val="0"/>
                        </a:ext>
                      </a:extLst>
                    </a:blip>
                    <a:stretch>
                      <a:fillRect/>
                    </a:stretch>
                  </pic:blipFill>
                  <pic:spPr>
                    <a:xfrm>
                      <a:off x="0" y="0"/>
                      <a:ext cx="4195896" cy="7034920"/>
                    </a:xfrm>
                    <a:prstGeom prst="rect">
                      <a:avLst/>
                    </a:prstGeom>
                  </pic:spPr>
                </pic:pic>
              </a:graphicData>
            </a:graphic>
          </wp:inline>
        </w:drawing>
      </w:r>
    </w:p>
    <w:p w14:paraId="403575CD" w14:textId="77777777" w:rsidR="005E0A42" w:rsidRDefault="005E0A42" w:rsidP="005E0A42">
      <w:pPr>
        <w:rPr>
          <w:rFonts w:ascii="Times New Roman" w:hAnsi="Times New Roman"/>
        </w:rPr>
      </w:pPr>
      <w:r>
        <w:rPr>
          <w:rFonts w:ascii="Times New Roman" w:hAnsi="Times New Roman"/>
          <w:b/>
          <w:bCs/>
        </w:rPr>
        <w:t>Fi</w:t>
      </w:r>
      <w:r>
        <w:rPr>
          <w:rFonts w:ascii="Times New Roman" w:hAnsi="Times New Roman" w:hint="eastAsia"/>
          <w:b/>
          <w:bCs/>
        </w:rPr>
        <w:t>g.</w:t>
      </w:r>
      <w:r>
        <w:rPr>
          <w:rFonts w:ascii="Times New Roman" w:hAnsi="Times New Roman"/>
          <w:b/>
          <w:bCs/>
        </w:rPr>
        <w:t xml:space="preserve"> Suppl. 1</w:t>
      </w:r>
      <w:r>
        <w:rPr>
          <w:rFonts w:ascii="Times New Roman" w:hAnsi="Times New Roman"/>
        </w:rPr>
        <w:t xml:space="preserve"> Characterization of hADSCs by (A) FACS evaluation of CD34, CD44, CD45, CD73, CD105, CD133, and (B) trilineage differentiation into adipocytes, osteoblasts and chondrocytes, which were stained with Oil Red O, Alizarin, and Alcian blue. C shows the differentiation percentage. n=5, Scale bar=50 μm.</w:t>
      </w:r>
    </w:p>
    <w:p w14:paraId="2B2AD4C9" w14:textId="22F747E3" w:rsidR="005E0A42" w:rsidRDefault="005E0A42" w:rsidP="00863EB6">
      <w:pPr>
        <w:spacing w:after="0" w:line="360" w:lineRule="auto"/>
        <w:rPr>
          <w:rFonts w:ascii="Times New Roman" w:hAnsi="Times New Roman"/>
          <w:b/>
          <w:bCs/>
          <w:sz w:val="24"/>
        </w:rPr>
      </w:pPr>
    </w:p>
    <w:p w14:paraId="038D8FFB" w14:textId="68D952B8" w:rsidR="005E0A42" w:rsidRDefault="005E0A42" w:rsidP="00863EB6">
      <w:pPr>
        <w:spacing w:after="0" w:line="360" w:lineRule="auto"/>
        <w:rPr>
          <w:rFonts w:ascii="Times New Roman" w:hAnsi="Times New Roman"/>
          <w:b/>
          <w:bCs/>
          <w:sz w:val="24"/>
        </w:rPr>
      </w:pPr>
    </w:p>
    <w:p w14:paraId="74474212" w14:textId="77777777" w:rsidR="005E0A42" w:rsidRPr="005E0A42" w:rsidRDefault="005E0A42" w:rsidP="00863EB6">
      <w:pPr>
        <w:spacing w:after="0" w:line="360" w:lineRule="auto"/>
        <w:rPr>
          <w:rFonts w:ascii="Times New Roman" w:hAnsi="Times New Roman"/>
          <w:b/>
          <w:bCs/>
          <w:sz w:val="24"/>
        </w:rPr>
      </w:pPr>
    </w:p>
    <w:p w14:paraId="7DDC2BAE" w14:textId="01F0272B" w:rsidR="00863EB6" w:rsidRDefault="00863EB6" w:rsidP="00863EB6">
      <w:pPr>
        <w:spacing w:after="0" w:line="360" w:lineRule="auto"/>
        <w:rPr>
          <w:rFonts w:ascii="Times New Roman" w:hAnsi="Times New Roman"/>
          <w:sz w:val="24"/>
        </w:rPr>
      </w:pPr>
      <w:r>
        <w:rPr>
          <w:rFonts w:ascii="Times New Roman" w:hAnsi="Times New Roman"/>
          <w:b/>
          <w:bCs/>
          <w:sz w:val="24"/>
        </w:rPr>
        <w:t>Fig</w:t>
      </w:r>
      <w:r>
        <w:rPr>
          <w:rFonts w:ascii="Times New Roman" w:hAnsi="Times New Roman" w:hint="eastAsia"/>
          <w:b/>
          <w:bCs/>
          <w:sz w:val="24"/>
        </w:rPr>
        <w:t>.</w:t>
      </w:r>
      <w:r>
        <w:rPr>
          <w:rFonts w:ascii="Times New Roman" w:hAnsi="Times New Roman"/>
          <w:b/>
          <w:bCs/>
          <w:sz w:val="24"/>
        </w:rPr>
        <w:t xml:space="preserve"> Suppl. </w:t>
      </w:r>
      <w:r w:rsidR="008B204B">
        <w:rPr>
          <w:rFonts w:ascii="Times New Roman" w:hAnsi="Times New Roman"/>
          <w:b/>
          <w:bCs/>
          <w:sz w:val="24"/>
        </w:rPr>
        <w:t>2</w:t>
      </w:r>
      <w:r>
        <w:rPr>
          <w:rFonts w:ascii="Times New Roman" w:hAnsi="Times New Roman" w:hint="eastAsia"/>
          <w:b/>
          <w:bCs/>
          <w:sz w:val="24"/>
        </w:rPr>
        <w:t xml:space="preserve"> </w:t>
      </w:r>
      <w:r>
        <w:rPr>
          <w:rFonts w:ascii="Times New Roman" w:hAnsi="Times New Roman"/>
          <w:b/>
          <w:bCs/>
          <w:sz w:val="24"/>
        </w:rPr>
        <w:t>Evaluating hADSC-NCs in terms of health, migration and human origin in the hippocampus.</w:t>
      </w:r>
      <w:r>
        <w:rPr>
          <w:rFonts w:ascii="Times New Roman" w:hAnsi="Times New Roman"/>
          <w:sz w:val="24"/>
        </w:rPr>
        <w:t xml:space="preserve"> </w:t>
      </w:r>
    </w:p>
    <w:p w14:paraId="0284AE85" w14:textId="6CBE9596" w:rsidR="00863EB6" w:rsidRDefault="00863EB6" w:rsidP="00863EB6">
      <w:pPr>
        <w:spacing w:after="0" w:line="360" w:lineRule="auto"/>
        <w:jc w:val="center"/>
        <w:rPr>
          <w:rFonts w:ascii="Times New Roman" w:hAnsi="Times New Roman"/>
          <w:sz w:val="24"/>
        </w:rPr>
      </w:pPr>
      <w:r>
        <w:rPr>
          <w:rFonts w:ascii="Times New Roman" w:hAnsi="Times New Roman" w:hint="eastAsia"/>
          <w:noProof/>
          <w:sz w:val="24"/>
        </w:rPr>
        <w:drawing>
          <wp:inline distT="0" distB="0" distL="114300" distR="114300" wp14:anchorId="63C56066" wp14:editId="26100F7C">
            <wp:extent cx="5483225" cy="6196330"/>
            <wp:effectExtent l="0" t="0" r="3175" b="13970"/>
            <wp:docPr id="9" name="图片 25" descr="Figure Suppl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25" descr="Figure Suppl 1"/>
                    <pic:cNvPicPr>
                      <a:picLocks noChangeAspect="1"/>
                    </pic:cNvPicPr>
                  </pic:nvPicPr>
                  <pic:blipFill>
                    <a:blip r:embed="rId7"/>
                    <a:stretch>
                      <a:fillRect/>
                    </a:stretch>
                  </pic:blipFill>
                  <pic:spPr>
                    <a:xfrm>
                      <a:off x="0" y="0"/>
                      <a:ext cx="5483225" cy="6196330"/>
                    </a:xfrm>
                    <a:prstGeom prst="rect">
                      <a:avLst/>
                    </a:prstGeom>
                    <a:noFill/>
                    <a:ln>
                      <a:noFill/>
                    </a:ln>
                  </pic:spPr>
                </pic:pic>
              </a:graphicData>
            </a:graphic>
          </wp:inline>
        </w:drawing>
      </w:r>
    </w:p>
    <w:p w14:paraId="4CB78E53" w14:textId="77777777" w:rsidR="005E0A42" w:rsidRDefault="005E0A42" w:rsidP="005E0A42">
      <w:pPr>
        <w:widowControl/>
        <w:spacing w:before="100" w:beforeAutospacing="1" w:after="100" w:afterAutospacing="1"/>
        <w:rPr>
          <w:rFonts w:ascii="Times New Roman" w:hAnsi="Times New Roman"/>
        </w:rPr>
      </w:pPr>
      <w:r>
        <w:rPr>
          <w:rFonts w:ascii="Times New Roman" w:hAnsi="Times New Roman"/>
          <w:b/>
          <w:bCs/>
        </w:rPr>
        <w:t>Fig</w:t>
      </w:r>
      <w:r>
        <w:rPr>
          <w:rFonts w:ascii="Times New Roman" w:hAnsi="Times New Roman" w:hint="eastAsia"/>
          <w:b/>
          <w:bCs/>
        </w:rPr>
        <w:t>.</w:t>
      </w:r>
      <w:r>
        <w:rPr>
          <w:rFonts w:ascii="Times New Roman" w:hAnsi="Times New Roman"/>
          <w:b/>
          <w:bCs/>
        </w:rPr>
        <w:t xml:space="preserve"> Suppl.2 </w:t>
      </w:r>
      <w:r>
        <w:rPr>
          <w:rFonts w:ascii="Times New Roman" w:hAnsi="Times New Roman"/>
        </w:rPr>
        <w:t>Evaluating hADSC-NCs in terms of health, migration and human origin in the hippocampus. A shows the overview of the immunohistochemical staining of the hippocampus on the contralateral side with human nuclear antigen antibody (HuNA) and Caspase</w:t>
      </w:r>
      <w:r>
        <w:rPr>
          <w:rFonts w:ascii="Times New Roman" w:hAnsi="Times New Roman" w:hint="eastAsia"/>
        </w:rPr>
        <w:t xml:space="preserve"> </w:t>
      </w:r>
      <w:r>
        <w:rPr>
          <w:rFonts w:ascii="Times New Roman" w:hAnsi="Times New Roman"/>
        </w:rPr>
        <w:t xml:space="preserve">3, B shows the </w:t>
      </w:r>
      <w:r>
        <w:rPr>
          <w:rFonts w:ascii="Times New Roman" w:hAnsi="Times New Roman"/>
        </w:rPr>
        <w:lastRenderedPageBreak/>
        <w:t>ipsilateral side. C shows hADSC-NCs integrated into the ipsilateral hippocampus CA1 area and their expression of HuNA and Caspase</w:t>
      </w:r>
      <w:r>
        <w:rPr>
          <w:rFonts w:ascii="Times New Roman" w:hAnsi="Times New Roman" w:hint="eastAsia"/>
        </w:rPr>
        <w:t xml:space="preserve"> </w:t>
      </w:r>
      <w:r>
        <w:rPr>
          <w:rFonts w:ascii="Times New Roman" w:hAnsi="Times New Roman"/>
        </w:rPr>
        <w:t xml:space="preserve">3. D shows hADSC-NC integrated into the ipsilateral hippocampus CA2 area, and their expression of HuNA and </w:t>
      </w:r>
      <w:r>
        <w:rPr>
          <w:rFonts w:ascii="Times New Roman" w:hAnsi="Times New Roman" w:hint="eastAsia"/>
        </w:rPr>
        <w:t>C</w:t>
      </w:r>
      <w:r>
        <w:rPr>
          <w:rFonts w:ascii="Times New Roman" w:hAnsi="Times New Roman"/>
        </w:rPr>
        <w:t>aspase</w:t>
      </w:r>
      <w:r>
        <w:rPr>
          <w:rFonts w:ascii="Times New Roman" w:hAnsi="Times New Roman" w:hint="eastAsia"/>
        </w:rPr>
        <w:t xml:space="preserve"> </w:t>
      </w:r>
      <w:r>
        <w:rPr>
          <w:rFonts w:ascii="Times New Roman" w:hAnsi="Times New Roman"/>
        </w:rPr>
        <w:t xml:space="preserve">3. E shows hADSC-NC integrated into the ipsilateral hippocampus CA3 area and their expression of HuNA and </w:t>
      </w:r>
      <w:r>
        <w:rPr>
          <w:rFonts w:ascii="Times New Roman" w:hAnsi="Times New Roman" w:hint="eastAsia"/>
        </w:rPr>
        <w:t>C</w:t>
      </w:r>
      <w:r>
        <w:rPr>
          <w:rFonts w:ascii="Times New Roman" w:hAnsi="Times New Roman"/>
        </w:rPr>
        <w:t>aspase</w:t>
      </w:r>
      <w:r>
        <w:rPr>
          <w:rFonts w:ascii="Times New Roman" w:hAnsi="Times New Roman" w:hint="eastAsia"/>
        </w:rPr>
        <w:t xml:space="preserve"> </w:t>
      </w:r>
      <w:r>
        <w:rPr>
          <w:rFonts w:ascii="Times New Roman" w:hAnsi="Times New Roman"/>
        </w:rPr>
        <w:t>3. a, b, c shows the zoomed-in view of cells in C, D, and E. F-I shows the statistical analysis of the GFP</w:t>
      </w:r>
      <w:r>
        <w:rPr>
          <w:rFonts w:ascii="Times New Roman" w:hAnsi="Times New Roman"/>
          <w:vertAlign w:val="superscript"/>
        </w:rPr>
        <w:t>+</w:t>
      </w:r>
      <w:r>
        <w:rPr>
          <w:rFonts w:ascii="Times New Roman" w:hAnsi="Times New Roman"/>
        </w:rPr>
        <w:t xml:space="preserve"> (hADSC-NC), HuNA</w:t>
      </w:r>
      <w:r>
        <w:rPr>
          <w:rFonts w:ascii="Times New Roman" w:hAnsi="Times New Roman"/>
          <w:vertAlign w:val="superscript"/>
        </w:rPr>
        <w:t>+</w:t>
      </w:r>
      <w:r>
        <w:rPr>
          <w:rFonts w:ascii="Times New Roman" w:hAnsi="Times New Roman"/>
        </w:rPr>
        <w:t xml:space="preserve"> and Caspase</w:t>
      </w:r>
      <w:r>
        <w:rPr>
          <w:rFonts w:ascii="Times New Roman" w:hAnsi="Times New Roman" w:hint="eastAsia"/>
        </w:rPr>
        <w:t xml:space="preserve"> </w:t>
      </w:r>
      <w:r>
        <w:rPr>
          <w:rFonts w:ascii="Times New Roman" w:hAnsi="Times New Roman"/>
        </w:rPr>
        <w:t>3</w:t>
      </w:r>
      <w:r>
        <w:rPr>
          <w:rFonts w:ascii="Times New Roman" w:hAnsi="Times New Roman"/>
          <w:vertAlign w:val="superscript"/>
        </w:rPr>
        <w:t>+</w:t>
      </w:r>
      <w:r>
        <w:rPr>
          <w:rFonts w:ascii="Times New Roman" w:hAnsi="Times New Roman"/>
        </w:rPr>
        <w:t xml:space="preserve"> percentages in each area of the hippocampus. n=5, Scale bar=250 μm in A-B, scale bar=50 μm in C-E. * indicates P&lt;0.05, ** indicates P&lt;0.001. *** indicates P&lt;0.0005.</w:t>
      </w:r>
    </w:p>
    <w:p w14:paraId="667D8ECE" w14:textId="77777777" w:rsidR="005E0A42" w:rsidRDefault="005E0A42" w:rsidP="005E0A42">
      <w:pPr>
        <w:spacing w:after="0" w:line="360" w:lineRule="auto"/>
        <w:rPr>
          <w:rFonts w:ascii="Times New Roman" w:hAnsi="Times New Roman"/>
          <w:sz w:val="24"/>
        </w:rPr>
      </w:pPr>
    </w:p>
    <w:p w14:paraId="3727E4FB" w14:textId="77777777" w:rsidR="00863EB6" w:rsidRDefault="00863EB6" w:rsidP="00863EB6">
      <w:pPr>
        <w:spacing w:after="0" w:line="360" w:lineRule="auto"/>
        <w:rPr>
          <w:rFonts w:ascii="Times New Roman" w:hAnsi="Times New Roman"/>
          <w:b/>
          <w:bCs/>
          <w:sz w:val="24"/>
        </w:rPr>
      </w:pPr>
    </w:p>
    <w:p w14:paraId="108841AA" w14:textId="77777777" w:rsidR="00863EB6" w:rsidRDefault="00863EB6" w:rsidP="00863EB6">
      <w:pPr>
        <w:spacing w:after="0" w:line="360" w:lineRule="auto"/>
        <w:rPr>
          <w:rFonts w:ascii="Times New Roman" w:hAnsi="Times New Roman"/>
          <w:b/>
          <w:bCs/>
          <w:sz w:val="24"/>
        </w:rPr>
      </w:pPr>
    </w:p>
    <w:p w14:paraId="564BBE05" w14:textId="77777777" w:rsidR="00863EB6" w:rsidRDefault="00863EB6" w:rsidP="00863EB6">
      <w:pPr>
        <w:spacing w:after="0" w:line="360" w:lineRule="auto"/>
        <w:rPr>
          <w:rFonts w:ascii="Times New Roman" w:hAnsi="Times New Roman"/>
          <w:b/>
          <w:bCs/>
          <w:sz w:val="24"/>
        </w:rPr>
      </w:pPr>
    </w:p>
    <w:p w14:paraId="32C5A68D" w14:textId="77777777" w:rsidR="00863EB6" w:rsidRDefault="00863EB6" w:rsidP="00863EB6">
      <w:pPr>
        <w:spacing w:after="0" w:line="360" w:lineRule="auto"/>
        <w:rPr>
          <w:rFonts w:ascii="Times New Roman" w:hAnsi="Times New Roman"/>
          <w:b/>
          <w:bCs/>
          <w:sz w:val="24"/>
        </w:rPr>
      </w:pPr>
    </w:p>
    <w:p w14:paraId="639335CE" w14:textId="77777777" w:rsidR="00863EB6" w:rsidRDefault="00863EB6" w:rsidP="00863EB6">
      <w:pPr>
        <w:spacing w:after="0" w:line="360" w:lineRule="auto"/>
        <w:rPr>
          <w:rFonts w:ascii="Times New Roman" w:hAnsi="Times New Roman"/>
          <w:b/>
          <w:bCs/>
          <w:sz w:val="24"/>
        </w:rPr>
      </w:pPr>
    </w:p>
    <w:p w14:paraId="2183FDB9" w14:textId="77777777" w:rsidR="00863EB6" w:rsidRDefault="00863EB6" w:rsidP="00863EB6">
      <w:pPr>
        <w:spacing w:after="0" w:line="360" w:lineRule="auto"/>
        <w:rPr>
          <w:rFonts w:ascii="Times New Roman" w:hAnsi="Times New Roman"/>
          <w:b/>
          <w:bCs/>
          <w:sz w:val="24"/>
        </w:rPr>
      </w:pPr>
    </w:p>
    <w:p w14:paraId="5FA96C89" w14:textId="1695B7DE" w:rsidR="00863EB6" w:rsidRDefault="00863EB6" w:rsidP="00863EB6">
      <w:pPr>
        <w:spacing w:after="0" w:line="360" w:lineRule="auto"/>
        <w:rPr>
          <w:rFonts w:ascii="Times New Roman" w:hAnsi="Times New Roman"/>
          <w:sz w:val="24"/>
        </w:rPr>
      </w:pPr>
      <w:r>
        <w:rPr>
          <w:rFonts w:ascii="Times New Roman" w:hAnsi="Times New Roman"/>
          <w:b/>
          <w:bCs/>
          <w:sz w:val="24"/>
        </w:rPr>
        <w:t>Fig</w:t>
      </w:r>
      <w:r>
        <w:rPr>
          <w:rFonts w:ascii="Times New Roman" w:hAnsi="Times New Roman" w:hint="eastAsia"/>
          <w:b/>
          <w:bCs/>
          <w:sz w:val="24"/>
        </w:rPr>
        <w:t>.</w:t>
      </w:r>
      <w:r>
        <w:rPr>
          <w:rFonts w:ascii="Times New Roman" w:hAnsi="Times New Roman"/>
          <w:b/>
          <w:bCs/>
          <w:sz w:val="24"/>
        </w:rPr>
        <w:t xml:space="preserve"> Suppl. </w:t>
      </w:r>
      <w:r w:rsidR="008B204B">
        <w:rPr>
          <w:rFonts w:ascii="Times New Roman" w:hAnsi="Times New Roman"/>
          <w:b/>
          <w:bCs/>
          <w:sz w:val="24"/>
        </w:rPr>
        <w:t>3</w:t>
      </w:r>
      <w:r>
        <w:rPr>
          <w:rFonts w:ascii="Times New Roman" w:hAnsi="Times New Roman"/>
          <w:b/>
          <w:bCs/>
          <w:sz w:val="24"/>
        </w:rPr>
        <w:t xml:space="preserve"> Determination of the proliferative properties of transplanted hADSC-NCs </w:t>
      </w:r>
      <w:r>
        <w:rPr>
          <w:rFonts w:ascii="Times New Roman" w:hAnsi="Times New Roman"/>
          <w:b/>
          <w:bCs/>
          <w:i/>
          <w:iCs/>
          <w:sz w:val="24"/>
        </w:rPr>
        <w:t>in</w:t>
      </w:r>
      <w:r>
        <w:rPr>
          <w:rFonts w:ascii="Times New Roman" w:hAnsi="Times New Roman"/>
          <w:b/>
          <w:bCs/>
          <w:sz w:val="24"/>
        </w:rPr>
        <w:t xml:space="preserve"> </w:t>
      </w:r>
      <w:r>
        <w:rPr>
          <w:rFonts w:ascii="Times New Roman" w:hAnsi="Times New Roman"/>
          <w:b/>
          <w:bCs/>
          <w:i/>
          <w:iCs/>
          <w:sz w:val="24"/>
        </w:rPr>
        <w:t>vivo</w:t>
      </w:r>
      <w:r>
        <w:rPr>
          <w:rFonts w:ascii="Times New Roman" w:hAnsi="Times New Roman"/>
          <w:b/>
          <w:bCs/>
          <w:sz w:val="24"/>
        </w:rPr>
        <w:t xml:space="preserve">. </w:t>
      </w:r>
    </w:p>
    <w:p w14:paraId="1996F339" w14:textId="04C51C5B" w:rsidR="004E35DA" w:rsidRDefault="00863EB6" w:rsidP="0018629E">
      <w:pPr>
        <w:spacing w:after="0" w:line="360" w:lineRule="auto"/>
        <w:rPr>
          <w:rFonts w:ascii="Times New Roman" w:hAnsi="Times New Roman"/>
          <w:sz w:val="24"/>
        </w:rPr>
      </w:pPr>
      <w:r>
        <w:rPr>
          <w:rFonts w:ascii="Times New Roman" w:hAnsi="Times New Roman" w:hint="eastAsia"/>
          <w:noProof/>
          <w:sz w:val="24"/>
        </w:rPr>
        <w:drawing>
          <wp:inline distT="0" distB="0" distL="114300" distR="114300" wp14:anchorId="512EC723" wp14:editId="0A9A614F">
            <wp:extent cx="5257800" cy="2801620"/>
            <wp:effectExtent l="0" t="0" r="0" b="17780"/>
            <wp:docPr id="10" name="图片 26" descr="Figure Suppl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26" descr="Figure Suppl 2"/>
                    <pic:cNvPicPr>
                      <a:picLocks noChangeAspect="1"/>
                    </pic:cNvPicPr>
                  </pic:nvPicPr>
                  <pic:blipFill>
                    <a:blip r:embed="rId8"/>
                    <a:stretch>
                      <a:fillRect/>
                    </a:stretch>
                  </pic:blipFill>
                  <pic:spPr>
                    <a:xfrm>
                      <a:off x="0" y="0"/>
                      <a:ext cx="5257800" cy="2801620"/>
                    </a:xfrm>
                    <a:prstGeom prst="rect">
                      <a:avLst/>
                    </a:prstGeom>
                    <a:noFill/>
                    <a:ln>
                      <a:noFill/>
                    </a:ln>
                  </pic:spPr>
                </pic:pic>
              </a:graphicData>
            </a:graphic>
          </wp:inline>
        </w:drawing>
      </w:r>
    </w:p>
    <w:p w14:paraId="18DD810A" w14:textId="04AC1608" w:rsidR="005E0A42" w:rsidRDefault="005E0A42" w:rsidP="0018629E">
      <w:pPr>
        <w:spacing w:after="0" w:line="360" w:lineRule="auto"/>
        <w:rPr>
          <w:rFonts w:ascii="Times New Roman" w:hAnsi="Times New Roman"/>
          <w:sz w:val="24"/>
        </w:rPr>
      </w:pPr>
    </w:p>
    <w:p w14:paraId="02B8D97E" w14:textId="77777777" w:rsidR="005E0A42" w:rsidRDefault="005E0A42" w:rsidP="005E0A42">
      <w:pPr>
        <w:widowControl/>
        <w:spacing w:before="100" w:beforeAutospacing="1" w:after="100" w:afterAutospacing="1"/>
        <w:rPr>
          <w:rFonts w:ascii="Times New Roman" w:hAnsi="Times New Roman"/>
        </w:rPr>
      </w:pPr>
      <w:r>
        <w:rPr>
          <w:rFonts w:ascii="Times New Roman" w:hAnsi="Times New Roman"/>
          <w:b/>
          <w:bCs/>
        </w:rPr>
        <w:t>Fig</w:t>
      </w:r>
      <w:r>
        <w:rPr>
          <w:rFonts w:ascii="Times New Roman" w:hAnsi="Times New Roman" w:hint="eastAsia"/>
          <w:b/>
          <w:bCs/>
        </w:rPr>
        <w:t>.</w:t>
      </w:r>
      <w:r>
        <w:rPr>
          <w:rFonts w:ascii="Times New Roman" w:hAnsi="Times New Roman"/>
          <w:b/>
          <w:bCs/>
        </w:rPr>
        <w:t xml:space="preserve"> Suppl.3 </w:t>
      </w:r>
      <w:r>
        <w:rPr>
          <w:rFonts w:ascii="Times New Roman" w:hAnsi="Times New Roman"/>
        </w:rPr>
        <w:t xml:space="preserve">Determination of the proliferative properties of transplanted hADSC-NCs </w:t>
      </w:r>
      <w:r>
        <w:rPr>
          <w:rFonts w:ascii="Times New Roman" w:hAnsi="Times New Roman"/>
          <w:i/>
          <w:iCs/>
        </w:rPr>
        <w:t>in</w:t>
      </w:r>
      <w:r>
        <w:rPr>
          <w:rFonts w:ascii="Times New Roman" w:hAnsi="Times New Roman"/>
        </w:rPr>
        <w:t xml:space="preserve"> </w:t>
      </w:r>
      <w:r>
        <w:rPr>
          <w:rFonts w:ascii="Times New Roman" w:hAnsi="Times New Roman"/>
          <w:i/>
          <w:iCs/>
        </w:rPr>
        <w:t>vivo</w:t>
      </w:r>
      <w:r>
        <w:rPr>
          <w:rFonts w:ascii="Times New Roman" w:hAnsi="Times New Roman"/>
        </w:rPr>
        <w:t xml:space="preserve">. GFP-positive hADSC-NCs were Ki67-positive and MAP2-positive in the CA1 (A), CA2 (B) and CA3 (C) regions. Statistical analysis of the cell positive percentages is shown in D, D-a for the CA1 </w:t>
      </w:r>
      <w:r>
        <w:rPr>
          <w:rFonts w:ascii="Times New Roman" w:hAnsi="Times New Roman"/>
        </w:rPr>
        <w:lastRenderedPageBreak/>
        <w:t>area, D-b for the CA2 area and D-c for the CA3 area. n=5, Scale bar=25 μm. * indicates P&lt;0.05, ** indicates P&lt;0.001. *** indicates P&lt;0.0005.</w:t>
      </w:r>
    </w:p>
    <w:p w14:paraId="58D5E9A0" w14:textId="77777777" w:rsidR="005E0A42" w:rsidRPr="0018629E" w:rsidRDefault="005E0A42" w:rsidP="0018629E">
      <w:pPr>
        <w:spacing w:after="0" w:line="360" w:lineRule="auto"/>
        <w:rPr>
          <w:rFonts w:ascii="Times New Roman" w:hAnsi="Times New Roman"/>
          <w:sz w:val="24"/>
        </w:rPr>
      </w:pPr>
    </w:p>
    <w:p w14:paraId="5D554E55" w14:textId="77777777" w:rsidR="003B1B84" w:rsidRDefault="003B1B84" w:rsidP="004E35DA">
      <w:pPr>
        <w:spacing w:after="0" w:line="360" w:lineRule="auto"/>
        <w:rPr>
          <w:rFonts w:ascii="Times New Roman" w:hAnsi="Times New Roman"/>
        </w:rPr>
      </w:pPr>
      <w:r>
        <w:rPr>
          <w:rFonts w:ascii="Times New Roman" w:hAnsi="Times New Roman"/>
          <w:b/>
          <w:bCs/>
        </w:rPr>
        <w:t>Fig</w:t>
      </w:r>
      <w:r>
        <w:rPr>
          <w:rFonts w:ascii="Times New Roman" w:hAnsi="Times New Roman" w:hint="eastAsia"/>
          <w:b/>
          <w:bCs/>
        </w:rPr>
        <w:t>.</w:t>
      </w:r>
      <w:r>
        <w:rPr>
          <w:rFonts w:ascii="Times New Roman" w:hAnsi="Times New Roman"/>
          <w:b/>
          <w:bCs/>
        </w:rPr>
        <w:t xml:space="preserve"> Suppl.</w:t>
      </w:r>
      <w:r>
        <w:rPr>
          <w:rFonts w:ascii="Times New Roman" w:hAnsi="Times New Roman"/>
          <w:b/>
          <w:bCs/>
        </w:rPr>
        <w:t xml:space="preserve">4 </w:t>
      </w:r>
      <w:r>
        <w:rPr>
          <w:rFonts w:ascii="Times New Roman" w:hAnsi="Times New Roman"/>
        </w:rPr>
        <w:t>hADSC-NCs modulate the MCAO mouse immune system locally rather than systemically in serum</w:t>
      </w:r>
      <w:r>
        <w:rPr>
          <w:rFonts w:ascii="Times New Roman" w:hAnsi="Times New Roman"/>
        </w:rPr>
        <w:t>.</w:t>
      </w:r>
    </w:p>
    <w:p w14:paraId="540860F2" w14:textId="77854765" w:rsidR="004E35DA" w:rsidRPr="003B1B84" w:rsidRDefault="003B1B84" w:rsidP="004E35DA">
      <w:pPr>
        <w:spacing w:after="0" w:line="360" w:lineRule="auto"/>
        <w:rPr>
          <w:rFonts w:ascii="Times New Roman" w:hAnsi="Times New Roman"/>
        </w:rPr>
      </w:pPr>
      <w:r>
        <w:rPr>
          <w:rFonts w:ascii="Times New Roman" w:hAnsi="Times New Roman"/>
          <w:noProof/>
        </w:rPr>
        <w:drawing>
          <wp:inline distT="0" distB="0" distL="0" distR="0" wp14:anchorId="59204267" wp14:editId="1EC225B3">
            <wp:extent cx="5274310" cy="4120515"/>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4310" cy="4120515"/>
                    </a:xfrm>
                    <a:prstGeom prst="rect">
                      <a:avLst/>
                    </a:prstGeom>
                  </pic:spPr>
                </pic:pic>
              </a:graphicData>
            </a:graphic>
          </wp:inline>
        </w:drawing>
      </w:r>
      <w:r>
        <w:rPr>
          <w:rFonts w:ascii="Times New Roman" w:hAnsi="Times New Roman"/>
        </w:rPr>
        <w:t xml:space="preserve"> </w:t>
      </w:r>
      <w:r>
        <w:rPr>
          <w:rFonts w:ascii="Times New Roman" w:hAnsi="Times New Roman"/>
          <w:b/>
          <w:bCs/>
        </w:rPr>
        <w:t>Fig</w:t>
      </w:r>
      <w:r>
        <w:rPr>
          <w:rFonts w:ascii="Times New Roman" w:hAnsi="Times New Roman" w:hint="eastAsia"/>
          <w:b/>
          <w:bCs/>
        </w:rPr>
        <w:t>.</w:t>
      </w:r>
      <w:r>
        <w:rPr>
          <w:rFonts w:ascii="Times New Roman" w:hAnsi="Times New Roman"/>
          <w:b/>
          <w:bCs/>
        </w:rPr>
        <w:t xml:space="preserve"> Suppl.4 </w:t>
      </w:r>
      <w:r>
        <w:rPr>
          <w:rFonts w:ascii="Times New Roman" w:hAnsi="Times New Roman"/>
        </w:rPr>
        <w:t>hADSC-NCs modulate the MCAO mouse immune system locally rather than systemically in serum.A shows the whole immune factor profile in local brain tissue. B shows the significant variations of factors in brain tissue. C shows the immune factor profile in serum. D shows the significant variations of factors in serum.</w:t>
      </w:r>
    </w:p>
    <w:sectPr w:rsidR="004E35DA" w:rsidRPr="003B1B84">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6859DD8" w14:textId="77777777" w:rsidR="004217A7" w:rsidRDefault="004217A7" w:rsidP="00863EB6">
      <w:pPr>
        <w:spacing w:after="0" w:line="240" w:lineRule="auto"/>
      </w:pPr>
      <w:r>
        <w:separator/>
      </w:r>
    </w:p>
  </w:endnote>
  <w:endnote w:type="continuationSeparator" w:id="0">
    <w:p w14:paraId="796A9110" w14:textId="77777777" w:rsidR="004217A7" w:rsidRDefault="004217A7" w:rsidP="00863EB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F971251" w14:textId="77777777" w:rsidR="004217A7" w:rsidRDefault="004217A7" w:rsidP="00863EB6">
      <w:pPr>
        <w:spacing w:after="0" w:line="240" w:lineRule="auto"/>
      </w:pPr>
      <w:r>
        <w:separator/>
      </w:r>
    </w:p>
  </w:footnote>
  <w:footnote w:type="continuationSeparator" w:id="0">
    <w:p w14:paraId="59DA0D51" w14:textId="77777777" w:rsidR="004217A7" w:rsidRDefault="004217A7" w:rsidP="00863EB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5F55"/>
    <w:rsid w:val="000033A8"/>
    <w:rsid w:val="0000750E"/>
    <w:rsid w:val="000136FE"/>
    <w:rsid w:val="000302F3"/>
    <w:rsid w:val="00052E79"/>
    <w:rsid w:val="00057CB2"/>
    <w:rsid w:val="000977B0"/>
    <w:rsid w:val="000A5EA9"/>
    <w:rsid w:val="000C68A3"/>
    <w:rsid w:val="000E2CEE"/>
    <w:rsid w:val="00140F99"/>
    <w:rsid w:val="001567CA"/>
    <w:rsid w:val="0018629E"/>
    <w:rsid w:val="00194542"/>
    <w:rsid w:val="00196CCE"/>
    <w:rsid w:val="001D6E5A"/>
    <w:rsid w:val="001E1C82"/>
    <w:rsid w:val="001E3A7A"/>
    <w:rsid w:val="001E4606"/>
    <w:rsid w:val="00205083"/>
    <w:rsid w:val="00215DD6"/>
    <w:rsid w:val="002309B8"/>
    <w:rsid w:val="00261A74"/>
    <w:rsid w:val="00267067"/>
    <w:rsid w:val="002710F7"/>
    <w:rsid w:val="00292764"/>
    <w:rsid w:val="002B161D"/>
    <w:rsid w:val="00342157"/>
    <w:rsid w:val="00343463"/>
    <w:rsid w:val="00364A8B"/>
    <w:rsid w:val="0037388A"/>
    <w:rsid w:val="0038519E"/>
    <w:rsid w:val="0039513A"/>
    <w:rsid w:val="003B1B84"/>
    <w:rsid w:val="00400122"/>
    <w:rsid w:val="00417B2A"/>
    <w:rsid w:val="004217A7"/>
    <w:rsid w:val="00437B54"/>
    <w:rsid w:val="00446E85"/>
    <w:rsid w:val="0047788F"/>
    <w:rsid w:val="004C3EF3"/>
    <w:rsid w:val="004C5DF3"/>
    <w:rsid w:val="004E35DA"/>
    <w:rsid w:val="004E6694"/>
    <w:rsid w:val="004E6C62"/>
    <w:rsid w:val="005022AA"/>
    <w:rsid w:val="00507A7D"/>
    <w:rsid w:val="00513D52"/>
    <w:rsid w:val="00532672"/>
    <w:rsid w:val="00537166"/>
    <w:rsid w:val="00556C13"/>
    <w:rsid w:val="005678D7"/>
    <w:rsid w:val="005813C6"/>
    <w:rsid w:val="005A6934"/>
    <w:rsid w:val="005C5BF1"/>
    <w:rsid w:val="005E0A42"/>
    <w:rsid w:val="005E76B9"/>
    <w:rsid w:val="005F683F"/>
    <w:rsid w:val="0060211C"/>
    <w:rsid w:val="00603E8F"/>
    <w:rsid w:val="00607083"/>
    <w:rsid w:val="00617597"/>
    <w:rsid w:val="0062400B"/>
    <w:rsid w:val="00644B0D"/>
    <w:rsid w:val="006604A5"/>
    <w:rsid w:val="0067697D"/>
    <w:rsid w:val="00683DD5"/>
    <w:rsid w:val="006B2829"/>
    <w:rsid w:val="006C198A"/>
    <w:rsid w:val="006F3F69"/>
    <w:rsid w:val="00710DD1"/>
    <w:rsid w:val="00714679"/>
    <w:rsid w:val="00716044"/>
    <w:rsid w:val="00726880"/>
    <w:rsid w:val="0073086A"/>
    <w:rsid w:val="00743F95"/>
    <w:rsid w:val="00745BA3"/>
    <w:rsid w:val="00787488"/>
    <w:rsid w:val="007B2012"/>
    <w:rsid w:val="008028AF"/>
    <w:rsid w:val="0081292A"/>
    <w:rsid w:val="00821463"/>
    <w:rsid w:val="0084454E"/>
    <w:rsid w:val="00863EB6"/>
    <w:rsid w:val="00867F69"/>
    <w:rsid w:val="00870202"/>
    <w:rsid w:val="00876977"/>
    <w:rsid w:val="008A6B0C"/>
    <w:rsid w:val="008B204B"/>
    <w:rsid w:val="009445B3"/>
    <w:rsid w:val="00957A91"/>
    <w:rsid w:val="009915F7"/>
    <w:rsid w:val="00994F16"/>
    <w:rsid w:val="00997F9C"/>
    <w:rsid w:val="009C08D5"/>
    <w:rsid w:val="009C46AF"/>
    <w:rsid w:val="009F0DBA"/>
    <w:rsid w:val="00A244B0"/>
    <w:rsid w:val="00A335BA"/>
    <w:rsid w:val="00A346AF"/>
    <w:rsid w:val="00A43A4C"/>
    <w:rsid w:val="00A915EC"/>
    <w:rsid w:val="00AA466A"/>
    <w:rsid w:val="00AD402E"/>
    <w:rsid w:val="00B03C82"/>
    <w:rsid w:val="00B06E7E"/>
    <w:rsid w:val="00B22BD7"/>
    <w:rsid w:val="00B23BA1"/>
    <w:rsid w:val="00B35137"/>
    <w:rsid w:val="00B35468"/>
    <w:rsid w:val="00B40B72"/>
    <w:rsid w:val="00B5242F"/>
    <w:rsid w:val="00B64CAD"/>
    <w:rsid w:val="00B87238"/>
    <w:rsid w:val="00B9238F"/>
    <w:rsid w:val="00C03F15"/>
    <w:rsid w:val="00C0718E"/>
    <w:rsid w:val="00C12CC8"/>
    <w:rsid w:val="00C15ED0"/>
    <w:rsid w:val="00C71477"/>
    <w:rsid w:val="00CA7891"/>
    <w:rsid w:val="00CD52FB"/>
    <w:rsid w:val="00CE4F4D"/>
    <w:rsid w:val="00CE7082"/>
    <w:rsid w:val="00D21DD9"/>
    <w:rsid w:val="00D35F55"/>
    <w:rsid w:val="00D3639E"/>
    <w:rsid w:val="00D46B32"/>
    <w:rsid w:val="00D9787C"/>
    <w:rsid w:val="00DA5AA2"/>
    <w:rsid w:val="00DE6DC7"/>
    <w:rsid w:val="00E0676A"/>
    <w:rsid w:val="00E12B18"/>
    <w:rsid w:val="00E4612A"/>
    <w:rsid w:val="00E65D7C"/>
    <w:rsid w:val="00EB054F"/>
    <w:rsid w:val="00EE5D49"/>
    <w:rsid w:val="00F103F4"/>
    <w:rsid w:val="00F2611C"/>
    <w:rsid w:val="00F357E7"/>
    <w:rsid w:val="00F471FF"/>
    <w:rsid w:val="00F561FF"/>
    <w:rsid w:val="00F56951"/>
    <w:rsid w:val="00F855F5"/>
    <w:rsid w:val="00F93002"/>
    <w:rsid w:val="00FB4D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557094A"/>
  <w15:chartTrackingRefBased/>
  <w15:docId w15:val="{D21167BF-EEDD-4B5B-8BD1-BCC17B3EF7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63EB6"/>
    <w:pPr>
      <w:widowControl w:val="0"/>
      <w:spacing w:after="200" w:line="276" w:lineRule="auto"/>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63EB6"/>
    <w:pPr>
      <w:pBdr>
        <w:bottom w:val="single" w:sz="6" w:space="1" w:color="auto"/>
      </w:pBdr>
      <w:tabs>
        <w:tab w:val="center" w:pos="4153"/>
        <w:tab w:val="right" w:pos="8306"/>
      </w:tabs>
      <w:snapToGrid w:val="0"/>
      <w:spacing w:after="0" w:line="240" w:lineRule="auto"/>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863EB6"/>
    <w:rPr>
      <w:sz w:val="18"/>
      <w:szCs w:val="18"/>
    </w:rPr>
  </w:style>
  <w:style w:type="paragraph" w:styleId="a5">
    <w:name w:val="footer"/>
    <w:basedOn w:val="a"/>
    <w:link w:val="a6"/>
    <w:uiPriority w:val="99"/>
    <w:unhideWhenUsed/>
    <w:rsid w:val="00863EB6"/>
    <w:pPr>
      <w:tabs>
        <w:tab w:val="center" w:pos="4153"/>
        <w:tab w:val="right" w:pos="8306"/>
      </w:tabs>
      <w:snapToGrid w:val="0"/>
      <w:spacing w:after="0" w:line="240" w:lineRule="auto"/>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863EB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3" Type="http://schemas.openxmlformats.org/officeDocument/2006/relationships/webSettings" Target="webSettings.xml"/><Relationship Id="rId7" Type="http://schemas.openxmlformats.org/officeDocument/2006/relationships/image" Target="media/image2.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f"/><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4.ti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4</Pages>
  <Words>352</Words>
  <Characters>2012</Characters>
  <Application>Microsoft Office Word</Application>
  <DocSecurity>0</DocSecurity>
  <Lines>16</Lines>
  <Paragraphs>4</Paragraphs>
  <ScaleCrop>false</ScaleCrop>
  <Company/>
  <LinksUpToDate>false</LinksUpToDate>
  <CharactersWithSpaces>2360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 舰</dc:creator>
  <cp:keywords/>
  <dc:description/>
  <cp:lastModifiedBy>王 舰</cp:lastModifiedBy>
  <cp:revision>4</cp:revision>
  <dcterms:created xsi:type="dcterms:W3CDTF">2021-04-25T11:51:00Z</dcterms:created>
  <dcterms:modified xsi:type="dcterms:W3CDTF">2021-06-16T14:16:00Z</dcterms:modified>
</cp:coreProperties>
</file>