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E14" w:rsidRDefault="003D7E14">
      <w:r>
        <w:rPr>
          <w:rFonts w:ascii="Times New Roman" w:hAnsi="Times New Roman" w:cs="Times New Roman"/>
          <w:sz w:val="24"/>
          <w:szCs w:val="24"/>
        </w:rPr>
        <w:t>ClinicalT</w:t>
      </w:r>
      <w:r w:rsidRPr="00F433B8">
        <w:rPr>
          <w:rFonts w:ascii="Times New Roman" w:hAnsi="Times New Roman" w:cs="Times New Roman"/>
          <w:sz w:val="24"/>
          <w:szCs w:val="24"/>
        </w:rPr>
        <w:t xml:space="preserve">rials.gov as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33B8">
        <w:t xml:space="preserve"> </w:t>
      </w:r>
      <w:r>
        <w:rPr>
          <w:rFonts w:ascii="Times New Roman" w:hAnsi="Times New Roman" w:cs="Times New Roman"/>
          <w:sz w:val="24"/>
          <w:szCs w:val="24"/>
        </w:rPr>
        <w:t>NCT04625452</w:t>
      </w:r>
    </w:p>
    <w:p w:rsidR="003D7E14" w:rsidRDefault="003D7E14" w:rsidP="003D7E14"/>
    <w:p w:rsidR="003D7E14" w:rsidRPr="003D7E14" w:rsidRDefault="003D7E14" w:rsidP="003D7E14">
      <w:pPr>
        <w:spacing w:after="40" w:line="300" w:lineRule="exact"/>
        <w:rPr>
          <w:rFonts w:ascii="Arial" w:eastAsia="Times New Roman" w:hAnsi="Arial" w:cs="Arial"/>
          <w:lang w:val="en-GB"/>
        </w:rPr>
      </w:pPr>
      <w:r w:rsidRPr="003D7E14">
        <w:rPr>
          <w:rFonts w:ascii="Arial" w:eastAsia="Times New Roman" w:hAnsi="Arial" w:cs="Arial"/>
          <w:lang w:val="en-GB"/>
        </w:rPr>
        <w:t>SPIRIT 2013 Checklist: Recom</w:t>
      </w:r>
      <w:bookmarkStart w:id="0" w:name="_GoBack"/>
      <w:bookmarkEnd w:id="0"/>
      <w:r w:rsidRPr="003D7E14">
        <w:rPr>
          <w:rFonts w:ascii="Arial" w:eastAsia="Times New Roman" w:hAnsi="Arial" w:cs="Arial"/>
          <w:lang w:val="en-GB"/>
        </w:rPr>
        <w:t>mended items to address in a clinical trial protocol and related documents*</w:t>
      </w:r>
    </w:p>
    <w:tbl>
      <w:tblPr>
        <w:tblW w:w="5000" w:type="pct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599"/>
        <w:gridCol w:w="555"/>
        <w:gridCol w:w="7862"/>
        <w:gridCol w:w="2812"/>
        <w:gridCol w:w="132"/>
      </w:tblGrid>
      <w:tr w:rsidR="00984DD4" w:rsidRPr="003D7E14" w:rsidTr="00984DD4">
        <w:trPr>
          <w:cantSplit/>
          <w:trHeight w:val="259"/>
        </w:trPr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before="12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  <w:r w:rsidRPr="003D7E14">
              <w:rPr>
                <w:rFonts w:ascii="Arial" w:eastAsia="Times New Roman" w:hAnsi="Arial" w:cs="Arial"/>
                <w:b/>
                <w:lang w:val="en-GB"/>
              </w:rPr>
              <w:t>Section/item</w:t>
            </w:r>
          </w:p>
        </w:tc>
        <w:tc>
          <w:tcPr>
            <w:tcW w:w="2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84DD4" w:rsidRPr="003D7E14" w:rsidRDefault="00984DD4" w:rsidP="003D7E14">
            <w:pPr>
              <w:spacing w:before="120" w:after="0" w:line="240" w:lineRule="auto"/>
              <w:rPr>
                <w:rFonts w:ascii="Arial" w:eastAsia="Times New Roman" w:hAnsi="Arial" w:cs="Arial"/>
                <w:b/>
                <w:color w:val="000000"/>
                <w:lang w:val="en-GB"/>
              </w:rPr>
            </w:pPr>
            <w:r w:rsidRPr="003D7E14">
              <w:rPr>
                <w:rFonts w:ascii="Arial" w:eastAsia="Times New Roman" w:hAnsi="Arial" w:cs="Arial"/>
                <w:b/>
                <w:lang w:val="en-GB"/>
              </w:rPr>
              <w:t xml:space="preserve">Item </w:t>
            </w:r>
            <w:r w:rsidRPr="003D7E14">
              <w:rPr>
                <w:rFonts w:ascii="Arial" w:eastAsia="Times New Roman" w:hAnsi="Arial" w:cs="Arial"/>
                <w:b/>
                <w:color w:val="000000"/>
                <w:lang w:val="en-GB"/>
              </w:rPr>
              <w:t>No</w:t>
            </w:r>
          </w:p>
        </w:tc>
        <w:tc>
          <w:tcPr>
            <w:tcW w:w="30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84DD4" w:rsidRPr="003D7E14" w:rsidRDefault="00984DD4" w:rsidP="003D7E14">
            <w:pPr>
              <w:spacing w:before="120" w:after="0" w:line="240" w:lineRule="auto"/>
              <w:rPr>
                <w:rFonts w:ascii="Arial" w:eastAsia="Times New Roman" w:hAnsi="Arial" w:cs="Arial"/>
                <w:b/>
                <w:color w:val="000000"/>
                <w:lang w:val="en-GB"/>
              </w:rPr>
            </w:pPr>
            <w:r w:rsidRPr="003D7E14">
              <w:rPr>
                <w:rFonts w:ascii="Arial" w:eastAsia="Times New Roman" w:hAnsi="Arial" w:cs="Arial"/>
                <w:b/>
                <w:color w:val="000000"/>
                <w:lang w:val="en-GB"/>
              </w:rPr>
              <w:t>Description</w:t>
            </w:r>
          </w:p>
        </w:tc>
        <w:tc>
          <w:tcPr>
            <w:tcW w:w="1085" w:type="pct"/>
            <w:tcBorders>
              <w:top w:val="single" w:sz="4" w:space="0" w:color="auto"/>
              <w:bottom w:val="single" w:sz="4" w:space="0" w:color="auto"/>
            </w:tcBorders>
          </w:tcPr>
          <w:p w:rsidR="00984DD4" w:rsidRPr="003D7E14" w:rsidRDefault="00984DD4" w:rsidP="003D7E14">
            <w:pPr>
              <w:spacing w:before="120" w:after="0" w:line="240" w:lineRule="auto"/>
              <w:rPr>
                <w:rFonts w:ascii="Arial" w:eastAsia="Times New Roman" w:hAnsi="Arial" w:cs="Arial"/>
                <w:b/>
                <w:color w:val="000000"/>
                <w:lang w:val="en-GB"/>
              </w:rPr>
            </w:pPr>
            <w:r w:rsidRPr="003D7E14">
              <w:rPr>
                <w:rFonts w:ascii="Arial" w:eastAsia="Times New Roman" w:hAnsi="Arial" w:cs="Arial"/>
                <w:b/>
                <w:lang w:val="en-GB"/>
              </w:rPr>
              <w:t>Addressed on page number</w:t>
            </w:r>
          </w:p>
        </w:tc>
        <w:tc>
          <w:tcPr>
            <w:tcW w:w="51" w:type="pct"/>
            <w:tcBorders>
              <w:top w:val="single" w:sz="4" w:space="0" w:color="auto"/>
              <w:bottom w:val="single" w:sz="4" w:space="0" w:color="auto"/>
            </w:tcBorders>
          </w:tcPr>
          <w:p w:rsidR="00984DD4" w:rsidRPr="003D7E14" w:rsidRDefault="00984DD4" w:rsidP="003D7E14">
            <w:pPr>
              <w:spacing w:before="12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3864" w:type="pct"/>
            <w:gridSpan w:val="3"/>
            <w:tcBorders>
              <w:top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before="180"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b/>
                <w:lang w:val="en-GB"/>
              </w:rPr>
              <w:t>Administrative information</w:t>
            </w:r>
          </w:p>
        </w:tc>
        <w:tc>
          <w:tcPr>
            <w:tcW w:w="1085" w:type="pct"/>
            <w:tcBorders>
              <w:top w:val="single" w:sz="4" w:space="0" w:color="auto"/>
            </w:tcBorders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b/>
                <w:lang w:val="en-GB"/>
              </w:rPr>
            </w:pPr>
          </w:p>
        </w:tc>
        <w:tc>
          <w:tcPr>
            <w:tcW w:w="51" w:type="pct"/>
            <w:tcBorders>
              <w:top w:val="single" w:sz="4" w:space="0" w:color="auto"/>
            </w:tcBorders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b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Title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1</w:t>
            </w:r>
          </w:p>
        </w:tc>
        <w:tc>
          <w:tcPr>
            <w:tcW w:w="3033" w:type="pct"/>
            <w:shd w:val="clear" w:color="auto" w:fill="auto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Descriptive title identifying the study design, population, interventions, and, if applicable, trial acronym</w:t>
            </w: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 xml:space="preserve">  Page title Page 1</w:t>
            </w:r>
          </w:p>
        </w:tc>
        <w:tc>
          <w:tcPr>
            <w:tcW w:w="51" w:type="pct"/>
          </w:tcPr>
          <w:p w:rsidR="00984DD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Trial registration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2a</w:t>
            </w:r>
            <w:proofErr w:type="spellEnd"/>
          </w:p>
        </w:tc>
        <w:tc>
          <w:tcPr>
            <w:tcW w:w="3033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Trial identifier and registry name. If not yet registered, name of intended registry</w:t>
            </w: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 xml:space="preserve"> Abstract  Page 3</w:t>
            </w:r>
          </w:p>
        </w:tc>
        <w:tc>
          <w:tcPr>
            <w:tcW w:w="51" w:type="pct"/>
          </w:tcPr>
          <w:p w:rsidR="00984DD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vMerge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2b</w:t>
            </w:r>
            <w:proofErr w:type="spellEnd"/>
          </w:p>
        </w:tc>
        <w:tc>
          <w:tcPr>
            <w:tcW w:w="3033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All items from the World Health Organization Trial Registration Data Set</w:t>
            </w: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 xml:space="preserve"> N/A 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Protocol version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3</w:t>
            </w:r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Date and version identifier</w:t>
            </w: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Funding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4</w:t>
            </w:r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Sources and types of financial, material, and other support</w:t>
            </w:r>
          </w:p>
        </w:tc>
        <w:tc>
          <w:tcPr>
            <w:tcW w:w="1085" w:type="pct"/>
          </w:tcPr>
          <w:p w:rsidR="00984DD4" w:rsidRPr="003D7E14" w:rsidRDefault="00B67CFA" w:rsidP="00B67CFA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B67CFA">
              <w:rPr>
                <w:rFonts w:ascii="Arial" w:eastAsia="Times New Roman" w:hAnsi="Arial" w:cs="Arial"/>
                <w:lang w:val="en-GB"/>
              </w:rPr>
              <w:t xml:space="preserve">US Government’s National </w:t>
            </w:r>
            <w:r>
              <w:rPr>
                <w:rFonts w:ascii="Arial" w:eastAsia="Times New Roman" w:hAnsi="Arial" w:cs="Arial"/>
                <w:lang w:val="en-GB"/>
              </w:rPr>
              <w:t xml:space="preserve">Heart, Lung and Blood </w:t>
            </w:r>
            <w:proofErr w:type="spellStart"/>
            <w:r>
              <w:rPr>
                <w:rFonts w:ascii="Arial" w:eastAsia="Times New Roman" w:hAnsi="Arial" w:cs="Arial"/>
                <w:lang w:val="en-GB"/>
              </w:rPr>
              <w:t>Institute;financial</w:t>
            </w:r>
            <w:proofErr w:type="spellEnd"/>
            <w:r>
              <w:rPr>
                <w:rFonts w:ascii="Arial" w:eastAsia="Times New Roman" w:hAnsi="Arial" w:cs="Arial"/>
                <w:lang w:val="en-GB"/>
              </w:rPr>
              <w:t xml:space="preserve">; </w:t>
            </w:r>
            <w:r w:rsidR="00E17FE1">
              <w:rPr>
                <w:rFonts w:ascii="Arial" w:eastAsia="Times New Roman" w:hAnsi="Arial" w:cs="Arial"/>
                <w:lang w:val="en-GB"/>
              </w:rPr>
              <w:t>M</w:t>
            </w:r>
            <w:r>
              <w:rPr>
                <w:rFonts w:ascii="Arial" w:eastAsia="Times New Roman" w:hAnsi="Arial" w:cs="Arial"/>
                <w:lang w:val="en-GB"/>
              </w:rPr>
              <w:t>ethods Page 21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Del="00BE0F12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Roles and responsibilities</w:t>
            </w:r>
          </w:p>
        </w:tc>
        <w:tc>
          <w:tcPr>
            <w:tcW w:w="214" w:type="pct"/>
          </w:tcPr>
          <w:p w:rsidR="00984DD4" w:rsidRPr="003D7E14" w:rsidDel="00A15E10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5a</w:t>
            </w:r>
            <w:proofErr w:type="spellEnd"/>
          </w:p>
        </w:tc>
        <w:tc>
          <w:tcPr>
            <w:tcW w:w="3033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Names, affiliations, and roles of protocol contributors</w:t>
            </w:r>
          </w:p>
        </w:tc>
        <w:tc>
          <w:tcPr>
            <w:tcW w:w="1085" w:type="pct"/>
          </w:tcPr>
          <w:p w:rsidR="00984DD4" w:rsidRPr="003D7E14" w:rsidRDefault="00E17FE1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Professor A. Muula, College of Medicine University of Malawi, supervisor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93"/>
        </w:trPr>
        <w:tc>
          <w:tcPr>
            <w:tcW w:w="617" w:type="pct"/>
            <w:vMerge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5b</w:t>
            </w:r>
            <w:proofErr w:type="spellEnd"/>
          </w:p>
        </w:tc>
        <w:tc>
          <w:tcPr>
            <w:tcW w:w="3033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Name and contact information for the trial sponsor</w:t>
            </w:r>
          </w:p>
        </w:tc>
        <w:tc>
          <w:tcPr>
            <w:tcW w:w="1085" w:type="pct"/>
          </w:tcPr>
          <w:p w:rsidR="00984DD4" w:rsidRPr="003D7E14" w:rsidRDefault="00E17FE1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5c</w:t>
            </w:r>
            <w:proofErr w:type="spellEnd"/>
          </w:p>
        </w:tc>
        <w:tc>
          <w:tcPr>
            <w:tcW w:w="3033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  <w:p w:rsidR="00984DD4" w:rsidRPr="003D7E14" w:rsidRDefault="00E17FE1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No role, funding, Page 31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5d</w:t>
            </w:r>
            <w:proofErr w:type="spellEnd"/>
          </w:p>
        </w:tc>
        <w:tc>
          <w:tcPr>
            <w:tcW w:w="3033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 xml:space="preserve">Composition, roles, and responsibilities of the coordinating centre, steering committee, endpoint adjudication committee, data management team, and other individuals or groups overseeing the trial, if applicable (see Item 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21a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 xml:space="preserve"> for data monitoring committee)</w:t>
            </w:r>
          </w:p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before="18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  <w:r w:rsidRPr="003D7E14">
              <w:rPr>
                <w:rFonts w:ascii="Arial" w:eastAsia="Times New Roman" w:hAnsi="Arial" w:cs="Arial"/>
                <w:b/>
                <w:lang w:val="en-GB"/>
              </w:rPr>
              <w:t>Introduction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3033" w:type="pct"/>
            <w:shd w:val="clear" w:color="auto" w:fill="auto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Background and rationale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6a</w:t>
            </w:r>
            <w:proofErr w:type="spellEnd"/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1085" w:type="pct"/>
          </w:tcPr>
          <w:p w:rsidR="00984DD4" w:rsidRPr="003D7E14" w:rsidRDefault="008210CB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Background Pages 3-4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6b</w:t>
            </w:r>
            <w:proofErr w:type="spellEnd"/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Explanation for choice of comparators</w:t>
            </w:r>
          </w:p>
        </w:tc>
        <w:tc>
          <w:tcPr>
            <w:tcW w:w="1085" w:type="pct"/>
          </w:tcPr>
          <w:p w:rsidR="00984DD4" w:rsidRPr="003D7E14" w:rsidRDefault="008210CB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Background Pages 3-4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Objectives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7</w:t>
            </w:r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Specific objectives or hypotheses</w:t>
            </w:r>
          </w:p>
        </w:tc>
        <w:tc>
          <w:tcPr>
            <w:tcW w:w="1085" w:type="pct"/>
          </w:tcPr>
          <w:p w:rsidR="00984DD4" w:rsidRPr="003D7E14" w:rsidRDefault="003E776E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 xml:space="preserve">Background Pages </w:t>
            </w:r>
            <w:r w:rsidR="00984DD4" w:rsidRPr="003D7E14">
              <w:rPr>
                <w:rFonts w:ascii="Arial" w:eastAsia="Times New Roman" w:hAnsi="Arial" w:cs="Arial"/>
                <w:lang w:val="en-GB"/>
              </w:rPr>
              <w:t>5-6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653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Trial design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8</w:t>
            </w:r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Description of trial design including type of trial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parallel group, crossover, factorial, single group), allocation ratio, and framework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 xml:space="preserve">, superiority, equivalence, 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noninferiority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exploratory)</w:t>
            </w: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  <w:p w:rsidR="00984DD4" w:rsidRPr="003D7E14" w:rsidRDefault="003E776E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3864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before="18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  <w:r w:rsidRPr="003D7E14">
              <w:rPr>
                <w:rFonts w:ascii="Arial" w:eastAsia="Times New Roman" w:hAnsi="Arial" w:cs="Arial"/>
                <w:b/>
                <w:lang w:val="en-GB"/>
              </w:rPr>
              <w:t>Methods: Participants, interventions, and outcomes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before="12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before="12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Study setting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9</w:t>
            </w:r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E776E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Description of study settings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 xml:space="preserve">, community clinic, academic hospital) and list of countries where data will be collected. </w:t>
            </w:r>
            <w:r w:rsidR="003E776E">
              <w:rPr>
                <w:rFonts w:ascii="Arial" w:eastAsia="Times New Roman" w:hAnsi="Arial" w:cs="Arial"/>
                <w:lang w:val="en-GB"/>
              </w:rPr>
              <w:t xml:space="preserve"> </w:t>
            </w:r>
          </w:p>
        </w:tc>
        <w:tc>
          <w:tcPr>
            <w:tcW w:w="1085" w:type="pct"/>
          </w:tcPr>
          <w:p w:rsidR="00984DD4" w:rsidRPr="003D7E14" w:rsidRDefault="003E776E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Methods Page 8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lastRenderedPageBreak/>
              <w:t>Eligibility criteria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10</w:t>
            </w:r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Inclusion and exclusion criteria for participants. If applicable, eligibility criteria for study centres and individuals who will perform the interventions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surgeons, psychotherapists)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3E776E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Methods Page 8-9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vMerge w:val="restar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Interventions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11a</w:t>
            </w:r>
            <w:proofErr w:type="spellEnd"/>
          </w:p>
        </w:tc>
        <w:tc>
          <w:tcPr>
            <w:tcW w:w="3033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3E776E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E776E">
              <w:rPr>
                <w:rFonts w:ascii="Arial" w:eastAsia="Times New Roman" w:hAnsi="Arial" w:cs="Arial"/>
                <w:lang w:val="en-GB"/>
              </w:rPr>
              <w:t xml:space="preserve">Methods </w:t>
            </w:r>
            <w:r>
              <w:rPr>
                <w:rFonts w:ascii="Arial" w:eastAsia="Times New Roman" w:hAnsi="Arial" w:cs="Arial"/>
                <w:lang w:val="en-GB"/>
              </w:rPr>
              <w:t xml:space="preserve">Page </w:t>
            </w:r>
            <w:r w:rsidR="00984DD4" w:rsidRPr="003D7E14">
              <w:rPr>
                <w:rFonts w:ascii="Arial" w:eastAsia="Times New Roman" w:hAnsi="Arial" w:cs="Arial"/>
                <w:lang w:val="en-GB"/>
              </w:rPr>
              <w:t>8-9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11b</w:t>
            </w:r>
            <w:proofErr w:type="spellEnd"/>
          </w:p>
        </w:tc>
        <w:tc>
          <w:tcPr>
            <w:tcW w:w="3033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Criteria for discontinuing or modifying allocated interventions for a given trial participant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drug dose change in response to harms, participant request, or improving/worsening disease)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11c</w:t>
            </w:r>
            <w:proofErr w:type="spellEnd"/>
          </w:p>
        </w:tc>
        <w:tc>
          <w:tcPr>
            <w:tcW w:w="3033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Strategies to improve adherence to intervention protocols, and any procedures for monitoring adherence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drug tablet return, laboratory tests)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3E776E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E776E">
              <w:rPr>
                <w:rFonts w:ascii="Arial" w:eastAsia="Times New Roman" w:hAnsi="Arial" w:cs="Arial"/>
                <w:lang w:val="en-GB"/>
              </w:rPr>
              <w:t xml:space="preserve">Methods </w:t>
            </w:r>
            <w:r>
              <w:rPr>
                <w:rFonts w:ascii="Arial" w:eastAsia="Times New Roman" w:hAnsi="Arial" w:cs="Arial"/>
                <w:lang w:val="en-GB"/>
              </w:rPr>
              <w:t xml:space="preserve">Page </w:t>
            </w:r>
            <w:r w:rsidRPr="003D7E14">
              <w:rPr>
                <w:rFonts w:ascii="Arial" w:eastAsia="Times New Roman" w:hAnsi="Arial" w:cs="Arial"/>
                <w:lang w:val="en-GB"/>
              </w:rPr>
              <w:t>8-9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11d</w:t>
            </w:r>
            <w:proofErr w:type="spellEnd"/>
          </w:p>
        </w:tc>
        <w:tc>
          <w:tcPr>
            <w:tcW w:w="3033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Relevant concomitant care and interventions that are permitted or prohibited during the trial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Outcomes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12</w:t>
            </w:r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Primary, secondary, and other outcomes, including the specific measurement variable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systolic blood pressure), analysis metric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change from baseline, final value, time to event), method of aggregation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335BB7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Methods Page 15</w:t>
            </w:r>
            <w:r w:rsidRPr="00335BB7">
              <w:rPr>
                <w:rFonts w:ascii="Arial" w:eastAsia="Times New Roman" w:hAnsi="Arial" w:cs="Arial"/>
                <w:lang w:val="en-GB"/>
              </w:rPr>
              <w:t>-</w:t>
            </w:r>
            <w:r>
              <w:rPr>
                <w:rFonts w:ascii="Arial" w:eastAsia="Times New Roman" w:hAnsi="Arial" w:cs="Arial"/>
                <w:lang w:val="en-GB"/>
              </w:rPr>
              <w:t>19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Participant timeline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13</w:t>
            </w:r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10, 16, Figure 3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Sample size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14</w:t>
            </w:r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16-17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Recruitment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15</w:t>
            </w:r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Strategies for achieving adequate participant enrolment to reach target sample size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7-8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3864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before="180"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b/>
                <w:lang w:val="en-GB"/>
              </w:rPr>
              <w:lastRenderedPageBreak/>
              <w:t>Methods: Assignment of interventions (for controlled trials)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b/>
                <w:lang w:val="en-GB"/>
              </w:rPr>
            </w:pP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b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Allocation: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tabs>
                <w:tab w:val="left" w:pos="180"/>
              </w:tabs>
              <w:spacing w:after="0" w:line="300" w:lineRule="exact"/>
              <w:ind w:left="270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Sequence generation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16a</w:t>
            </w:r>
            <w:proofErr w:type="spellEnd"/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Method of generating the allocation sequence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blocking) should be provided in a separate document that is unavailable to those who enrol participants or assign interventions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ind w:left="270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Allocation concealment mechanism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16b</w:t>
            </w:r>
            <w:proofErr w:type="spellEnd"/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Mechanism of implementing the allocation sequence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ind w:left="270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Implementation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16c</w:t>
            </w:r>
            <w:proofErr w:type="spellEnd"/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Who will generate the allocation sequence, who will enrol participants, and who will assign participants to interventions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Blinding (masking)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17a</w:t>
            </w:r>
            <w:proofErr w:type="spellEnd"/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Who will be blinded after assignment to interventions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trial participants, care providers, outcome assessors, data analysts), and how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17b</w:t>
            </w:r>
            <w:proofErr w:type="spellEnd"/>
          </w:p>
        </w:tc>
        <w:tc>
          <w:tcPr>
            <w:tcW w:w="3033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 xml:space="preserve">If blinded, circumstances under which 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unblinding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 xml:space="preserve"> is permissible, and procedure for revealing a participant’s allocated intervention during the trial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3864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before="180"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b/>
                <w:lang w:val="en-GB"/>
              </w:rPr>
              <w:t>Methods: Data collection, management, and analysis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b/>
                <w:lang w:val="en-GB"/>
              </w:rPr>
            </w:pP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b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Data collection methods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18a</w:t>
            </w:r>
            <w:proofErr w:type="spellEnd"/>
          </w:p>
        </w:tc>
        <w:tc>
          <w:tcPr>
            <w:tcW w:w="3033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 xml:space="preserve">Plans for assessment and collection of outcome, baseline, and other trial data, including any </w:t>
            </w:r>
            <w:r w:rsidRPr="003D7E14">
              <w:rPr>
                <w:rFonts w:ascii="Arial" w:eastAsia="Times New Roman" w:hAnsi="Arial" w:cs="Arial"/>
                <w:bCs/>
                <w:lang w:val="en-GB"/>
              </w:rPr>
              <w:t>related processes to promote data quality</w:t>
            </w:r>
            <w:r w:rsidRPr="003D7E14">
              <w:rPr>
                <w:rFonts w:ascii="Arial" w:eastAsia="Times New Roman" w:hAnsi="Arial" w:cs="Arial"/>
                <w:lang w:val="en-GB"/>
              </w:rPr>
              <w:t xml:space="preserve">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duplicate measurements, training of assessors) and a description of study instruments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10-15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18b</w:t>
            </w:r>
            <w:proofErr w:type="spellEnd"/>
          </w:p>
        </w:tc>
        <w:tc>
          <w:tcPr>
            <w:tcW w:w="3033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Data management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19</w:t>
            </w:r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 xml:space="preserve">Plans for data entry, coding, security, and storage, including any </w:t>
            </w:r>
            <w:r w:rsidRPr="003D7E14">
              <w:rPr>
                <w:rFonts w:ascii="Arial" w:eastAsia="Times New Roman" w:hAnsi="Arial" w:cs="Arial"/>
                <w:bCs/>
                <w:lang w:val="en-GB"/>
              </w:rPr>
              <w:t>related processes to promote data quality</w:t>
            </w:r>
            <w:r w:rsidRPr="003D7E14">
              <w:rPr>
                <w:rFonts w:ascii="Arial" w:eastAsia="Times New Roman" w:hAnsi="Arial" w:cs="Arial"/>
                <w:lang w:val="en-GB"/>
              </w:rPr>
              <w:t xml:space="preserve">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double data entry</w:t>
            </w:r>
            <w:r w:rsidRPr="003D7E14">
              <w:rPr>
                <w:rFonts w:ascii="Arial" w:eastAsia="Times New Roman" w:hAnsi="Arial" w:cs="Arial"/>
                <w:bCs/>
                <w:lang w:val="en-GB"/>
              </w:rPr>
              <w:t>; range checks for data values</w:t>
            </w:r>
            <w:r w:rsidRPr="003D7E14">
              <w:rPr>
                <w:rFonts w:ascii="Arial" w:eastAsia="Times New Roman" w:hAnsi="Arial" w:cs="Arial"/>
                <w:lang w:val="en-GB"/>
              </w:rPr>
              <w:t>). Reference to where details of data management procedures can be found, if not in the protocol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431ED7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Method Page 21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Statistical methods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20a</w:t>
            </w:r>
            <w:proofErr w:type="spellEnd"/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Statistical methods for analysing primary and secondary outcomes. Reference to where other details of the statistical analysis plan can be found, if not in the protocol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431ED7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Methods Page 21-22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20b</w:t>
            </w:r>
            <w:proofErr w:type="spellEnd"/>
          </w:p>
        </w:tc>
        <w:tc>
          <w:tcPr>
            <w:tcW w:w="3033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Methods for any additional analyses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subgroup and adjusted analyses)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20c</w:t>
            </w:r>
            <w:proofErr w:type="spellEnd"/>
          </w:p>
        </w:tc>
        <w:tc>
          <w:tcPr>
            <w:tcW w:w="3033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Definition of analysis population relating to protocol non-adherence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as randomised analysis), and any statistical methods to handle missing data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multiple imputation)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3864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before="180"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b/>
                <w:lang w:val="en-GB"/>
              </w:rPr>
              <w:t xml:space="preserve">Methods: </w:t>
            </w:r>
            <w:r w:rsidRPr="003D7E14" w:rsidDel="004A2558">
              <w:rPr>
                <w:rFonts w:ascii="Arial" w:eastAsia="Times New Roman" w:hAnsi="Arial" w:cs="Arial"/>
                <w:b/>
                <w:lang w:val="en-GB"/>
              </w:rPr>
              <w:t>M</w:t>
            </w:r>
            <w:r w:rsidRPr="003D7E14">
              <w:rPr>
                <w:rFonts w:ascii="Arial" w:eastAsia="Times New Roman" w:hAnsi="Arial" w:cs="Arial"/>
                <w:b/>
                <w:lang w:val="en-GB"/>
              </w:rPr>
              <w:t>onitoring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b/>
                <w:lang w:val="en-GB"/>
              </w:rPr>
            </w:pP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b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Data monitoring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21a</w:t>
            </w:r>
            <w:proofErr w:type="spellEnd"/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Composition of data monitoring committee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DMC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 xml:space="preserve">); summary of its role and reporting structure; statement of whether it is independent from the sponsor and competing interests; and reference to where further details about its charter can be found, if not in the protocol. Alternatively, an explanation of why a 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DMC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 xml:space="preserve"> is not needed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431ED7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Not needed. Build on healthy advice to patient with little intervention from out like drug, behavioural intervention present little risk to participants.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491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21b</w:t>
            </w:r>
            <w:proofErr w:type="spellEnd"/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lastRenderedPageBreak/>
              <w:t>Harms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22</w:t>
            </w:r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Auditing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23</w:t>
            </w:r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3864" w:type="pct"/>
            <w:gridSpan w:val="3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before="18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  <w:r w:rsidRPr="003D7E14">
              <w:rPr>
                <w:rFonts w:ascii="Arial" w:eastAsia="Times New Roman" w:hAnsi="Arial" w:cs="Arial"/>
                <w:b/>
                <w:lang w:val="en-GB"/>
              </w:rPr>
              <w:t>Ethics and dissemination</w:t>
            </w: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before="12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before="12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Research ethics approval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24</w:t>
            </w:r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Plans for seeking research ethics committee/institutional review board (REC/IRB) approval</w:t>
            </w:r>
          </w:p>
        </w:tc>
        <w:tc>
          <w:tcPr>
            <w:tcW w:w="1085" w:type="pct"/>
          </w:tcPr>
          <w:p w:rsidR="00984DD4" w:rsidRPr="003D7E14" w:rsidRDefault="00431ED7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Ethical considerations Page 22-23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Protocol amendments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25</w:t>
            </w:r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Plans for communicating important protocol modifications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changes to eligibility criteria, outcomes, analyses) to relevant parties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investigators, REC/IRBs, trial participants, trial registries, journals, regulators)</w:t>
            </w: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Consent or assent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26a</w:t>
            </w:r>
            <w:proofErr w:type="spellEnd"/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Who will obtain informed consent or assent from potential trial participants or authorised surrogates, and how (see Item 32)</w:t>
            </w:r>
          </w:p>
        </w:tc>
        <w:tc>
          <w:tcPr>
            <w:tcW w:w="1085" w:type="pct"/>
          </w:tcPr>
          <w:p w:rsidR="00984DD4" w:rsidRPr="003D7E14" w:rsidRDefault="00431ED7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t xml:space="preserve"> </w:t>
            </w:r>
            <w:r w:rsidRPr="00431ED7">
              <w:rPr>
                <w:rFonts w:ascii="Arial" w:eastAsia="Times New Roman" w:hAnsi="Arial" w:cs="Arial"/>
                <w:lang w:val="en-GB"/>
              </w:rPr>
              <w:t>Ethical considerations Page 22-23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26b</w:t>
            </w:r>
            <w:proofErr w:type="spellEnd"/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Confidentiality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27</w:t>
            </w:r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1085" w:type="pct"/>
          </w:tcPr>
          <w:p w:rsidR="00431ED7" w:rsidRPr="00431ED7" w:rsidRDefault="00984DD4" w:rsidP="00431ED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</w:t>
            </w:r>
            <w:proofErr w:type="gramStart"/>
            <w:r w:rsidRPr="003D7E14">
              <w:rPr>
                <w:rFonts w:ascii="Arial" w:eastAsia="Times New Roman" w:hAnsi="Arial" w:cs="Arial"/>
                <w:lang w:val="en-GB"/>
              </w:rPr>
              <w:t>a</w:t>
            </w:r>
            <w:r w:rsidR="00431ED7">
              <w:rPr>
                <w:rFonts w:ascii="Arial" w:eastAsia="Times New Roman" w:hAnsi="Arial" w:cs="Arial"/>
                <w:lang w:val="en-GB"/>
              </w:rPr>
              <w:t xml:space="preserve">  </w:t>
            </w:r>
            <w:r w:rsidR="00431ED7" w:rsidRPr="00431ED7">
              <w:rPr>
                <w:rFonts w:ascii="Times New Roman" w:eastAsia="Times New Roman" w:hAnsi="Times New Roman" w:cs="Times New Roman"/>
                <w:sz w:val="24"/>
                <w:szCs w:val="24"/>
              </w:rPr>
              <w:t>Ethics</w:t>
            </w:r>
            <w:proofErr w:type="gramEnd"/>
            <w:r w:rsidR="00431ED7" w:rsidRPr="00431E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approval and consent to participate Page 33</w:t>
            </w:r>
          </w:p>
          <w:p w:rsidR="00984DD4" w:rsidRPr="00431ED7" w:rsidRDefault="00984DD4" w:rsidP="003D7E14">
            <w:pPr>
              <w:spacing w:after="0" w:line="300" w:lineRule="exact"/>
              <w:rPr>
                <w:rFonts w:ascii="Arial" w:eastAsia="Times New Roman" w:hAnsi="Arial" w:cs="Arial"/>
              </w:rPr>
            </w:pP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Declaration of interests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28</w:t>
            </w:r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Financial and other competing interests for principal investigators for the overall trial and each study site</w:t>
            </w:r>
          </w:p>
        </w:tc>
        <w:tc>
          <w:tcPr>
            <w:tcW w:w="1085" w:type="pct"/>
          </w:tcPr>
          <w:p w:rsidR="00984DD4" w:rsidRPr="003D7E14" w:rsidRDefault="00431ED7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Statement page 32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Access to data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29</w:t>
            </w:r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blPrEx>
          <w:shd w:val="clear" w:color="auto" w:fill="FFFFFF"/>
        </w:tblPrEx>
        <w:trPr>
          <w:cantSplit/>
          <w:trHeight w:val="259"/>
        </w:trPr>
        <w:tc>
          <w:tcPr>
            <w:tcW w:w="617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lastRenderedPageBreak/>
              <w:t>Ancillary and post-trial care</w:t>
            </w:r>
          </w:p>
        </w:tc>
        <w:tc>
          <w:tcPr>
            <w:tcW w:w="214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30</w:t>
            </w:r>
          </w:p>
        </w:tc>
        <w:tc>
          <w:tcPr>
            <w:tcW w:w="3033" w:type="pct"/>
            <w:shd w:val="clear" w:color="auto" w:fill="FFFFFF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1085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shd w:val="clear" w:color="auto" w:fill="FFFFFF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Dissemination policy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31a</w:t>
            </w:r>
            <w:proofErr w:type="spellEnd"/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eg</w:t>
            </w:r>
            <w:proofErr w:type="spellEnd"/>
            <w:r w:rsidRPr="003D7E14">
              <w:rPr>
                <w:rFonts w:ascii="Arial" w:eastAsia="Times New Roman" w:hAnsi="Arial" w:cs="Arial"/>
                <w:lang w:val="en-GB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31b</w:t>
            </w:r>
            <w:proofErr w:type="spellEnd"/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Authorship eligibility guidelines and any intended use of professional writers</w:t>
            </w: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3D7E14">
              <w:rPr>
                <w:rFonts w:ascii="Arial" w:eastAsia="Times New Roman" w:hAnsi="Arial" w:cs="Arial"/>
                <w:lang w:val="en-GB"/>
              </w:rPr>
              <w:t>31c</w:t>
            </w:r>
            <w:proofErr w:type="spellEnd"/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Plans, if any, for granting public access to the full protocol, participant-level dataset, and statistical code</w:t>
            </w:r>
          </w:p>
        </w:tc>
        <w:tc>
          <w:tcPr>
            <w:tcW w:w="1085" w:type="pct"/>
          </w:tcPr>
          <w:p w:rsidR="00984DD4" w:rsidRPr="003D7E14" w:rsidRDefault="00D07238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eastAsia="Times New Roman" w:hAnsi="Arial" w:cs="Arial"/>
                <w:lang w:val="en-GB"/>
              </w:rPr>
              <w:t>Knowledge translation Page 23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before="18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  <w:r w:rsidRPr="003D7E14">
              <w:rPr>
                <w:rFonts w:ascii="Arial" w:eastAsia="Times New Roman" w:hAnsi="Arial" w:cs="Arial"/>
                <w:b/>
                <w:lang w:val="en-GB"/>
              </w:rPr>
              <w:t>Appendices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3033" w:type="pct"/>
            <w:shd w:val="clear" w:color="auto" w:fill="auto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Informed consent materials</w:t>
            </w:r>
          </w:p>
        </w:tc>
        <w:tc>
          <w:tcPr>
            <w:tcW w:w="214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32</w:t>
            </w:r>
          </w:p>
        </w:tc>
        <w:tc>
          <w:tcPr>
            <w:tcW w:w="3033" w:type="pct"/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Model consent form and other related documentation given to participants and authorised surrogates</w:t>
            </w:r>
          </w:p>
        </w:tc>
        <w:tc>
          <w:tcPr>
            <w:tcW w:w="1085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  <w:r w:rsidR="00D07238">
              <w:rPr>
                <w:rFonts w:ascii="Arial" w:eastAsia="Times New Roman" w:hAnsi="Arial" w:cs="Arial"/>
                <w:lang w:val="en-GB"/>
              </w:rPr>
              <w:t xml:space="preserve"> </w:t>
            </w:r>
            <w:r w:rsidR="00D07238" w:rsidRPr="00D07238">
              <w:rPr>
                <w:rFonts w:ascii="Arial" w:eastAsia="Times New Roman" w:hAnsi="Arial" w:cs="Arial"/>
                <w:color w:val="FF0000"/>
                <w:lang w:val="en-GB"/>
              </w:rPr>
              <w:t>see below the text</w:t>
            </w:r>
          </w:p>
        </w:tc>
        <w:tc>
          <w:tcPr>
            <w:tcW w:w="51" w:type="pct"/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984DD4" w:rsidRPr="003D7E14" w:rsidTr="00984DD4">
        <w:trPr>
          <w:cantSplit/>
          <w:trHeight w:val="259"/>
        </w:trPr>
        <w:tc>
          <w:tcPr>
            <w:tcW w:w="617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Biological specimens</w:t>
            </w:r>
          </w:p>
        </w:tc>
        <w:tc>
          <w:tcPr>
            <w:tcW w:w="214" w:type="pct"/>
            <w:tcBorders>
              <w:bottom w:val="single" w:sz="4" w:space="0" w:color="auto"/>
            </w:tcBorders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33</w:t>
            </w:r>
          </w:p>
        </w:tc>
        <w:tc>
          <w:tcPr>
            <w:tcW w:w="3033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:rsidR="00984DD4" w:rsidRPr="003D7E14" w:rsidRDefault="00984DD4" w:rsidP="003D7E14">
            <w:pPr>
              <w:spacing w:after="6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1085" w:type="pct"/>
            <w:tcBorders>
              <w:bottom w:val="single" w:sz="4" w:space="0" w:color="auto"/>
            </w:tcBorders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3D7E1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51" w:type="pct"/>
            <w:tcBorders>
              <w:bottom w:val="single" w:sz="4" w:space="0" w:color="auto"/>
            </w:tcBorders>
          </w:tcPr>
          <w:p w:rsidR="00984DD4" w:rsidRPr="003D7E14" w:rsidRDefault="00984DD4" w:rsidP="003D7E14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</w:tr>
    </w:tbl>
    <w:p w:rsidR="003D7E14" w:rsidRPr="003D7E14" w:rsidRDefault="003D7E14" w:rsidP="003D7E14">
      <w:pPr>
        <w:spacing w:before="60" w:after="0" w:line="300" w:lineRule="exact"/>
        <w:rPr>
          <w:rFonts w:ascii="Arial" w:eastAsia="Times New Roman" w:hAnsi="Arial" w:cs="Arial"/>
          <w:lang w:val="en-GB"/>
        </w:rPr>
      </w:pPr>
      <w:r w:rsidRPr="003D7E14">
        <w:rPr>
          <w:rFonts w:ascii="Arial" w:eastAsia="Times New Roman" w:hAnsi="Arial" w:cs="Arial"/>
          <w:lang w:val="en-GB"/>
        </w:rPr>
        <w:t>*It is strongly recommended that this checklist be read in conjunction with the SPIRIT 2013 Explanation &amp; Elaboration for important clarification on the items. Amendments to the protocol should be tracked and dated. The SPIRIT checklist is copyrighted by the SPIRIT Group under the Creative Commons “Attribution-</w:t>
      </w:r>
      <w:proofErr w:type="spellStart"/>
      <w:r w:rsidRPr="003D7E14">
        <w:rPr>
          <w:rFonts w:ascii="Arial" w:eastAsia="Times New Roman" w:hAnsi="Arial" w:cs="Arial"/>
          <w:lang w:val="en-GB"/>
        </w:rPr>
        <w:t>NonCommercial</w:t>
      </w:r>
      <w:proofErr w:type="spellEnd"/>
      <w:r w:rsidRPr="003D7E14">
        <w:rPr>
          <w:rFonts w:ascii="Arial" w:eastAsia="Times New Roman" w:hAnsi="Arial" w:cs="Arial"/>
          <w:lang w:val="en-GB"/>
        </w:rPr>
        <w:t>-</w:t>
      </w:r>
      <w:proofErr w:type="spellStart"/>
      <w:r w:rsidRPr="003D7E14">
        <w:rPr>
          <w:rFonts w:ascii="Arial" w:eastAsia="Times New Roman" w:hAnsi="Arial" w:cs="Arial"/>
          <w:lang w:val="en-GB"/>
        </w:rPr>
        <w:t>NoDerivs</w:t>
      </w:r>
      <w:proofErr w:type="spellEnd"/>
      <w:r w:rsidRPr="003D7E14">
        <w:rPr>
          <w:rFonts w:ascii="Arial" w:eastAsia="Times New Roman" w:hAnsi="Arial" w:cs="Arial"/>
          <w:lang w:val="en-GB"/>
        </w:rPr>
        <w:t xml:space="preserve"> 3.0 </w:t>
      </w:r>
      <w:proofErr w:type="spellStart"/>
      <w:r w:rsidRPr="003D7E14">
        <w:rPr>
          <w:rFonts w:ascii="Arial" w:eastAsia="Times New Roman" w:hAnsi="Arial" w:cs="Arial"/>
          <w:lang w:val="en-GB"/>
        </w:rPr>
        <w:t>Unported</w:t>
      </w:r>
      <w:proofErr w:type="spellEnd"/>
      <w:r w:rsidRPr="003D7E14">
        <w:rPr>
          <w:rFonts w:ascii="Arial" w:eastAsia="Times New Roman" w:hAnsi="Arial" w:cs="Arial"/>
          <w:lang w:val="en-GB"/>
        </w:rPr>
        <w:t>” license.</w:t>
      </w:r>
    </w:p>
    <w:p w:rsidR="003D7E14" w:rsidRPr="003D7E14" w:rsidRDefault="003D7E14" w:rsidP="003D7E14">
      <w:pPr>
        <w:shd w:val="clear" w:color="auto" w:fill="FFFFFF"/>
        <w:spacing w:after="0" w:line="300" w:lineRule="exact"/>
        <w:rPr>
          <w:rFonts w:ascii="Arial" w:eastAsia="Times New Roman" w:hAnsi="Arial" w:cs="Arial"/>
          <w:lang w:val="en-GB"/>
        </w:rPr>
      </w:pPr>
    </w:p>
    <w:p w:rsidR="006F6DA2" w:rsidRPr="003D7E14" w:rsidRDefault="006F6DA2" w:rsidP="003D7E14">
      <w:pPr>
        <w:rPr>
          <w:lang w:val="en-GB"/>
        </w:rPr>
      </w:pPr>
    </w:p>
    <w:sectPr w:rsidR="006F6DA2" w:rsidRPr="003D7E14" w:rsidSect="003D7E1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E14"/>
    <w:rsid w:val="00207EFB"/>
    <w:rsid w:val="00335BB7"/>
    <w:rsid w:val="003D7E14"/>
    <w:rsid w:val="003E776E"/>
    <w:rsid w:val="00431ED7"/>
    <w:rsid w:val="006F6DA2"/>
    <w:rsid w:val="00704FA3"/>
    <w:rsid w:val="008210CB"/>
    <w:rsid w:val="008375C9"/>
    <w:rsid w:val="00984DD4"/>
    <w:rsid w:val="00A877B8"/>
    <w:rsid w:val="00B67CFA"/>
    <w:rsid w:val="00D07238"/>
    <w:rsid w:val="00E17FE1"/>
    <w:rsid w:val="00E94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7D0B46-DF33-4A52-91A8-47CCF7C44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1602</Words>
  <Characters>9133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cp:lastPrinted>2021-06-27T20:39:00Z</cp:lastPrinted>
  <dcterms:created xsi:type="dcterms:W3CDTF">2021-06-27T20:38:00Z</dcterms:created>
  <dcterms:modified xsi:type="dcterms:W3CDTF">2021-06-27T21:23:00Z</dcterms:modified>
</cp:coreProperties>
</file>