
<file path=[Content_Types].xml><?xml version="1.0" encoding="utf-8"?>
<Types xmlns="http://schemas.openxmlformats.org/package/2006/content-types">
  <Default Extension="tiff" ContentType="image/tif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3C9C041">
      <w:pPr>
        <w:jc w:val="left"/>
        <w:rPr>
          <w:rFonts w:ascii="Times New Roman" w:hAnsi="Times New Roman" w:eastAsiaTheme="minorEastAsia"/>
          <w:b/>
          <w:sz w:val="28"/>
          <w:szCs w:val="28"/>
        </w:rPr>
      </w:pPr>
      <w:r>
        <w:rPr>
          <w:rFonts w:ascii="Times New Roman" w:hAnsi="Times New Roman" w:eastAsiaTheme="minorEastAsia"/>
          <w:b/>
          <w:sz w:val="28"/>
          <w:szCs w:val="28"/>
        </w:rPr>
        <w:t>Integrated Morphological, Transcriptomic, and Metabolomic</w:t>
      </w:r>
      <w:r>
        <w:rPr>
          <w:rFonts w:hint="eastAsia" w:ascii="Times New Roman" w:hAnsi="Times New Roman" w:eastAsiaTheme="minorEastAsia"/>
          <w:b/>
          <w:sz w:val="28"/>
          <w:szCs w:val="28"/>
        </w:rPr>
        <w:t xml:space="preserve"> </w:t>
      </w:r>
      <w:r>
        <w:rPr>
          <w:rFonts w:ascii="Times New Roman" w:hAnsi="Times New Roman" w:eastAsiaTheme="minorEastAsia"/>
          <w:b/>
          <w:sz w:val="28"/>
          <w:szCs w:val="28"/>
        </w:rPr>
        <w:t xml:space="preserve">Profiling Reveals Differential </w:t>
      </w:r>
      <w:r>
        <w:rPr>
          <w:rFonts w:hint="eastAsia" w:ascii="Times New Roman" w:hAnsi="Times New Roman" w:eastAsiaTheme="minorEastAsia"/>
          <w:b/>
          <w:sz w:val="28"/>
          <w:szCs w:val="28"/>
        </w:rPr>
        <w:t>D</w:t>
      </w:r>
      <w:r>
        <w:rPr>
          <w:rFonts w:ascii="Times New Roman" w:hAnsi="Times New Roman" w:eastAsiaTheme="minorEastAsia"/>
          <w:b/>
          <w:sz w:val="28"/>
          <w:szCs w:val="28"/>
        </w:rPr>
        <w:t>evelopment Mechanisms in Two</w:t>
      </w:r>
      <w:r>
        <w:rPr>
          <w:rFonts w:hint="eastAsia" w:ascii="Times New Roman" w:hAnsi="Times New Roman" w:eastAsiaTheme="minorEastAsia"/>
          <w:b/>
          <w:sz w:val="28"/>
          <w:szCs w:val="28"/>
        </w:rPr>
        <w:t xml:space="preserve"> </w:t>
      </w:r>
      <w:r>
        <w:rPr>
          <w:rFonts w:ascii="Times New Roman" w:hAnsi="Times New Roman" w:eastAsiaTheme="minorEastAsia"/>
          <w:b/>
          <w:sz w:val="28"/>
          <w:szCs w:val="28"/>
        </w:rPr>
        <w:t xml:space="preserve">Weeping Forsythia Genotypes </w:t>
      </w:r>
      <w:r>
        <w:rPr>
          <w:rFonts w:hint="eastAsia" w:ascii="Times New Roman" w:hAnsi="Times New Roman" w:eastAsiaTheme="minorEastAsia"/>
          <w:b/>
          <w:sz w:val="28"/>
          <w:szCs w:val="28"/>
        </w:rPr>
        <w:t>d</w:t>
      </w:r>
      <w:r>
        <w:rPr>
          <w:rFonts w:ascii="Times New Roman" w:hAnsi="Times New Roman" w:eastAsiaTheme="minorEastAsia"/>
          <w:b/>
          <w:sz w:val="28"/>
          <w:szCs w:val="28"/>
        </w:rPr>
        <w:t>uring Tissue Culture</w:t>
      </w:r>
    </w:p>
    <w:p w14:paraId="5DE14086">
      <w:pPr>
        <w:jc w:val="left"/>
        <w:rPr>
          <w:rFonts w:ascii="Times New Roman" w:hAnsi="Times New Roman" w:eastAsiaTheme="minorEastAsia"/>
          <w:b/>
          <w:sz w:val="28"/>
          <w:szCs w:val="28"/>
        </w:rPr>
      </w:pPr>
    </w:p>
    <w:p w14:paraId="25753663">
      <w:pPr>
        <w:jc w:val="left"/>
        <w:rPr>
          <w:rFonts w:ascii="Times New Roman" w:hAnsi="Times New Roman" w:eastAsiaTheme="minorEastAsia"/>
          <w:b/>
          <w:sz w:val="28"/>
          <w:szCs w:val="28"/>
        </w:rPr>
      </w:pPr>
      <w:r>
        <w:rPr>
          <w:rFonts w:hint="eastAsia" w:ascii="Times New Roman" w:hAnsi="Times New Roman" w:eastAsiaTheme="minorEastAsia"/>
          <w:b/>
          <w:sz w:val="28"/>
          <w:szCs w:val="28"/>
        </w:rPr>
        <w:t>Plant Cell, Tissue and Organ Culture</w:t>
      </w:r>
    </w:p>
    <w:p w14:paraId="1CB44869">
      <w:pPr>
        <w:jc w:val="left"/>
        <w:rPr>
          <w:rFonts w:ascii="Times New Roman" w:hAnsi="Times New Roman" w:eastAsiaTheme="minorEastAsia"/>
          <w:b/>
          <w:sz w:val="28"/>
          <w:szCs w:val="28"/>
        </w:rPr>
      </w:pPr>
    </w:p>
    <w:p w14:paraId="4B4AB2D2">
      <w:pPr>
        <w:rPr>
          <w:b/>
          <w:bCs/>
        </w:rPr>
      </w:pPr>
      <w:r>
        <w:rPr>
          <w:b/>
          <w:bCs/>
        </w:rPr>
        <w:t>Yanxia He</w:t>
      </w:r>
      <w:r>
        <w:rPr>
          <w:b/>
          <w:bCs/>
          <w:vertAlign w:val="superscript"/>
        </w:rPr>
        <w:t>1,2†</w:t>
      </w:r>
      <w:r>
        <w:rPr>
          <w:b/>
          <w:bCs/>
        </w:rPr>
        <w:t>, Yanping Zheng</w:t>
      </w:r>
      <w:r>
        <w:rPr>
          <w:b/>
          <w:bCs/>
          <w:vertAlign w:val="superscript"/>
        </w:rPr>
        <w:t>1†</w:t>
      </w:r>
      <w:r>
        <w:rPr>
          <w:b/>
          <w:bCs/>
        </w:rPr>
        <w:t>, Jiaqi Geng</w:t>
      </w:r>
      <w:r>
        <w:rPr>
          <w:b/>
          <w:bCs/>
          <w:vertAlign w:val="superscript"/>
        </w:rPr>
        <w:t>1</w:t>
      </w:r>
      <w:r>
        <w:rPr>
          <w:b/>
          <w:bCs/>
        </w:rPr>
        <w:t>,Xu Lu</w:t>
      </w:r>
      <w:bookmarkStart w:id="0" w:name="OLE_LINK1"/>
      <w:r>
        <w:rPr>
          <w:b/>
          <w:bCs/>
          <w:vertAlign w:val="superscript"/>
        </w:rPr>
        <w:t>1</w:t>
      </w:r>
      <w:bookmarkEnd w:id="0"/>
      <w:r>
        <w:rPr>
          <w:b/>
          <w:bCs/>
        </w:rPr>
        <w:t>, Xiaoxiao Wang</w:t>
      </w:r>
      <w:r>
        <w:rPr>
          <w:b/>
          <w:bCs/>
          <w:vertAlign w:val="superscript"/>
        </w:rPr>
        <w:t>1</w:t>
      </w:r>
      <w:r>
        <w:rPr>
          <w:b/>
          <w:bCs/>
        </w:rPr>
        <w:t>, Xin Sun</w:t>
      </w:r>
      <w:r>
        <w:rPr>
          <w:b/>
          <w:bCs/>
          <w:vertAlign w:val="superscript"/>
        </w:rPr>
        <w:t>3</w:t>
      </w:r>
      <w:r>
        <w:rPr>
          <w:b/>
          <w:bCs/>
        </w:rPr>
        <w:t>,</w:t>
      </w:r>
      <w:r>
        <w:rPr>
          <w:rFonts w:hint="eastAsia"/>
          <w:b/>
          <w:bCs/>
        </w:rPr>
        <w:t xml:space="preserve"> </w:t>
      </w:r>
      <w:r>
        <w:rPr>
          <w:b/>
          <w:bCs/>
        </w:rPr>
        <w:t>Xiaoqian Zhang</w:t>
      </w:r>
      <w:r>
        <w:rPr>
          <w:b/>
          <w:bCs/>
          <w:vertAlign w:val="superscript"/>
        </w:rPr>
        <w:t>1</w:t>
      </w:r>
      <w:r>
        <w:rPr>
          <w:b/>
          <w:bCs/>
        </w:rPr>
        <w:t>,</w:t>
      </w:r>
      <w:r>
        <w:rPr>
          <w:rFonts w:hint="eastAsia"/>
          <w:b/>
          <w:bCs/>
        </w:rPr>
        <w:t xml:space="preserve"> </w:t>
      </w:r>
      <w:r>
        <w:rPr>
          <w:b/>
          <w:bCs/>
        </w:rPr>
        <w:t>Xianping Wang</w:t>
      </w:r>
      <w:r>
        <w:rPr>
          <w:b/>
          <w:bCs/>
          <w:vertAlign w:val="superscript"/>
        </w:rPr>
        <w:t>2＊</w:t>
      </w:r>
      <w:r>
        <w:rPr>
          <w:b/>
          <w:bCs/>
        </w:rPr>
        <w:t>, Wangjun Yuan</w:t>
      </w:r>
      <w:r>
        <w:rPr>
          <w:b/>
          <w:bCs/>
          <w:vertAlign w:val="superscript"/>
        </w:rPr>
        <w:t>1＊</w:t>
      </w:r>
      <w:r>
        <w:rPr>
          <w:rFonts w:hint="eastAsia"/>
          <w:b/>
          <w:bCs/>
          <w:vertAlign w:val="superscript"/>
        </w:rPr>
        <w:t>x</w:t>
      </w:r>
    </w:p>
    <w:p w14:paraId="0BBAF17E"/>
    <w:p w14:paraId="1DCF2207">
      <w:pPr>
        <w:rPr>
          <w:b/>
          <w:bCs/>
        </w:rPr>
      </w:pPr>
      <w:r>
        <w:rPr>
          <w:b/>
          <w:bCs/>
        </w:rPr>
        <w:t>Affiliation</w:t>
      </w:r>
    </w:p>
    <w:p w14:paraId="2E592350">
      <w:r>
        <w:rPr>
          <w:vertAlign w:val="superscript"/>
        </w:rPr>
        <w:t>1</w:t>
      </w:r>
      <w:r>
        <w:t xml:space="preserve"> Henan Province Engineering Research Center of High Value Utilization to Natural Medical Resource in Yellow River Basin, School of Pharmacy, Henan University, Kaifeng 475004, China</w:t>
      </w:r>
    </w:p>
    <w:p w14:paraId="2CAC7374">
      <w:r>
        <w:rPr>
          <w:vertAlign w:val="superscript"/>
        </w:rPr>
        <w:t>2</w:t>
      </w:r>
      <w:r>
        <w:t xml:space="preserve"> School of Life Sciences, Henan University, Kaifeng , 475004, China</w:t>
      </w:r>
    </w:p>
    <w:p w14:paraId="6ED5F63D">
      <w:pPr>
        <w:rPr>
          <w:highlight w:val="yellow"/>
        </w:rPr>
      </w:pPr>
      <w:r>
        <w:rPr>
          <w:rFonts w:hint="eastAsia"/>
          <w:vertAlign w:val="superscript"/>
        </w:rPr>
        <w:t>3</w:t>
      </w:r>
      <w:r>
        <w:rPr>
          <w:rFonts w:hint="eastAsia"/>
        </w:rPr>
        <w:t xml:space="preserve"> </w:t>
      </w:r>
      <w:r>
        <w:t>Damei Forsythia Suspensa Corporation Ltd. of Sanmenxia City, Sanmenxia 472400, China</w:t>
      </w:r>
    </w:p>
    <w:p w14:paraId="21547ED8"/>
    <w:p w14:paraId="4192E189">
      <w:r>
        <w:rPr>
          <w:b/>
          <w:vertAlign w:val="superscript"/>
        </w:rPr>
        <w:t>†</w:t>
      </w:r>
      <w:r>
        <w:t xml:space="preserve"> These authors contributed equally to this work</w:t>
      </w:r>
    </w:p>
    <w:p w14:paraId="3AE32008"/>
    <w:p w14:paraId="3650B5E3">
      <w:pPr>
        <w:rPr>
          <w:b/>
          <w:bCs/>
        </w:rPr>
      </w:pPr>
      <w:r>
        <w:rPr>
          <w:b/>
          <w:bCs/>
          <w:vertAlign w:val="superscript"/>
        </w:rPr>
        <w:t>＊</w:t>
      </w:r>
      <w:r>
        <w:rPr>
          <w:b/>
          <w:bCs/>
        </w:rPr>
        <w:t xml:space="preserve">Correspondence </w:t>
      </w:r>
    </w:p>
    <w:p w14:paraId="515E9D48">
      <w:pPr>
        <w:rPr>
          <w:b/>
          <w:bCs/>
        </w:rPr>
      </w:pPr>
      <w:r>
        <w:rPr>
          <w:b/>
          <w:bCs/>
          <w:i/>
        </w:rPr>
        <w:t>Prof</w:t>
      </w:r>
      <w:r>
        <w:rPr>
          <w:b/>
          <w:bCs/>
        </w:rPr>
        <w:t>. Wangjun Yuan</w:t>
      </w:r>
    </w:p>
    <w:p w14:paraId="35C4A880">
      <w:r>
        <w:t>Henan Province Engineering Research Center of High Value Utilization to Natural Medical Resource in Yellow River Basin</w:t>
      </w:r>
    </w:p>
    <w:p w14:paraId="54810C11">
      <w:r>
        <w:t xml:space="preserve">School of Pharmacy </w:t>
      </w:r>
    </w:p>
    <w:p w14:paraId="75B8D2A5">
      <w:r>
        <w:t xml:space="preserve">Henan University </w:t>
      </w:r>
    </w:p>
    <w:p w14:paraId="4E76086A">
      <w:r>
        <w:t>Kaifeng</w:t>
      </w:r>
    </w:p>
    <w:p w14:paraId="212DA9BE">
      <w:r>
        <w:t>Henan Province</w:t>
      </w:r>
    </w:p>
    <w:p w14:paraId="6FD5B2B1">
      <w:r>
        <w:t>China</w:t>
      </w:r>
    </w:p>
    <w:p w14:paraId="743513E1">
      <w:r>
        <w:fldChar w:fldCharType="begin"/>
      </w:r>
      <w:r>
        <w:instrText xml:space="preserve"> HYPERLINK "mailto:10200068@vip.henu.edu.cn" </w:instrText>
      </w:r>
      <w:r>
        <w:fldChar w:fldCharType="separate"/>
      </w:r>
      <w:r>
        <w:rPr>
          <w:rStyle w:val="7"/>
          <w:color w:val="auto"/>
          <w:u w:val="none"/>
        </w:rPr>
        <w:t>10200068@vip.henu.edu.cn</w:t>
      </w:r>
      <w:r>
        <w:rPr>
          <w:rStyle w:val="7"/>
          <w:color w:val="auto"/>
          <w:u w:val="none"/>
        </w:rPr>
        <w:fldChar w:fldCharType="end"/>
      </w:r>
    </w:p>
    <w:p w14:paraId="33488803">
      <w:pPr>
        <w:jc w:val="center"/>
        <w:rPr>
          <w:rFonts w:ascii="Times New Roman" w:hAnsi="Times New Roman"/>
          <w:b/>
          <w:color w:val="000000"/>
          <w:sz w:val="28"/>
          <w:szCs w:val="28"/>
        </w:rPr>
      </w:pPr>
    </w:p>
    <w:p w14:paraId="0096BCE0">
      <w:pPr>
        <w:jc w:val="center"/>
        <w:rPr>
          <w:rFonts w:ascii="Times New Roman" w:hAnsi="Times New Roman"/>
          <w:b/>
          <w:color w:val="000000"/>
          <w:sz w:val="28"/>
          <w:szCs w:val="28"/>
        </w:rPr>
      </w:pPr>
      <w:r>
        <w:rPr>
          <w:rFonts w:hint="eastAsia" w:ascii="Times New Roman" w:hAnsi="Times New Roman"/>
          <w:b/>
          <w:color w:val="000000"/>
          <w:sz w:val="28"/>
          <w:szCs w:val="28"/>
        </w:rPr>
        <w:t>Supplementary Materials</w:t>
      </w:r>
    </w:p>
    <w:p w14:paraId="31D8926D"/>
    <w:p w14:paraId="5C762A27">
      <w:pPr>
        <w:spacing w:line="360" w:lineRule="auto"/>
        <w:rPr>
          <w:rFonts w:ascii="Times New Roman" w:hAnsi="Times New Roman"/>
          <w:color w:val="000000"/>
          <w:kern w:val="0"/>
          <w:sz w:val="24"/>
          <w:szCs w:val="24"/>
        </w:rPr>
      </w:pPr>
      <w:r>
        <w:rPr>
          <w:rFonts w:ascii="Times New Roman" w:hAnsi="Times New Roman"/>
          <w:b/>
          <w:color w:val="000000"/>
          <w:kern w:val="0"/>
          <w:sz w:val="24"/>
          <w:szCs w:val="24"/>
        </w:rPr>
        <w:t xml:space="preserve">Table S1 </w:t>
      </w:r>
      <w:r>
        <w:rPr>
          <w:rFonts w:ascii="Times New Roman" w:hAnsi="Times New Roman"/>
          <w:color w:val="000000"/>
          <w:kern w:val="0"/>
          <w:sz w:val="24"/>
          <w:szCs w:val="24"/>
        </w:rPr>
        <w:t xml:space="preserve">Synthetic primers for </w:t>
      </w:r>
      <w:r>
        <w:rPr>
          <w:rFonts w:hint="eastAsia" w:ascii="Times New Roman" w:hAnsi="Times New Roman"/>
          <w:color w:val="000000"/>
          <w:kern w:val="0"/>
          <w:sz w:val="24"/>
          <w:szCs w:val="24"/>
        </w:rPr>
        <w:t>q</w:t>
      </w:r>
      <w:r>
        <w:rPr>
          <w:rFonts w:ascii="Times New Roman" w:hAnsi="Times New Roman"/>
          <w:color w:val="000000"/>
          <w:kern w:val="0"/>
          <w:sz w:val="24"/>
          <w:szCs w:val="24"/>
        </w:rPr>
        <w:t>RT-PCR</w:t>
      </w:r>
    </w:p>
    <w:p w14:paraId="3C3BF53E">
      <w:pPr>
        <w:spacing w:line="360" w:lineRule="auto"/>
        <w:jc w:val="left"/>
        <w:rPr>
          <w:rFonts w:ascii="Times New Roman" w:hAnsi="Times New Roman"/>
          <w:color w:val="000000"/>
          <w:kern w:val="0"/>
          <w:sz w:val="24"/>
          <w:szCs w:val="24"/>
        </w:rPr>
      </w:pPr>
      <w:r>
        <w:rPr>
          <w:rFonts w:hint="eastAsia" w:ascii="Times New Roman" w:hAnsi="Times New Roman"/>
          <w:b/>
          <w:bCs/>
          <w:color w:val="000000"/>
          <w:kern w:val="0"/>
          <w:sz w:val="24"/>
          <w:szCs w:val="24"/>
        </w:rPr>
        <w:t>Table S2</w:t>
      </w:r>
      <w:r>
        <w:rPr>
          <w:rFonts w:hint="eastAsia" w:ascii="Times New Roman" w:hAnsi="Times New Roman"/>
          <w:color w:val="000000"/>
          <w:kern w:val="0"/>
          <w:sz w:val="24"/>
          <w:szCs w:val="24"/>
        </w:rPr>
        <w:t xml:space="preserve"> </w:t>
      </w:r>
      <w:r>
        <w:rPr>
          <w:rFonts w:ascii="Times New Roman" w:hAnsi="Times New Roman"/>
          <w:bCs/>
          <w:color w:val="000000"/>
          <w:kern w:val="0"/>
          <w:sz w:val="24"/>
          <w:szCs w:val="24"/>
          <w:lang w:val="it-IT" w:eastAsia="en-US"/>
        </w:rPr>
        <w:t xml:space="preserve">GO enrichment analysis of differentially </w:t>
      </w:r>
      <w:r>
        <w:rPr>
          <w:rFonts w:hint="eastAsia" w:ascii="Times New Roman" w:hAnsi="Times New Roman"/>
          <w:bCs/>
          <w:color w:val="000000"/>
          <w:kern w:val="0"/>
          <w:sz w:val="24"/>
          <w:szCs w:val="24"/>
        </w:rPr>
        <w:t>expressed genes in FLS-1_vs_FLS-2 on the 25</w:t>
      </w:r>
      <w:r>
        <w:rPr>
          <w:rFonts w:hint="eastAsia" w:ascii="Times New Roman" w:hAnsi="Times New Roman"/>
          <w:bCs/>
          <w:color w:val="000000"/>
          <w:kern w:val="0"/>
          <w:sz w:val="24"/>
          <w:szCs w:val="24"/>
          <w:vertAlign w:val="superscript"/>
        </w:rPr>
        <w:t>th</w:t>
      </w:r>
      <w:r>
        <w:rPr>
          <w:rFonts w:hint="eastAsia" w:ascii="Times New Roman" w:hAnsi="Times New Roman"/>
          <w:bCs/>
          <w:color w:val="000000"/>
          <w:kern w:val="0"/>
          <w:sz w:val="24"/>
          <w:szCs w:val="24"/>
        </w:rPr>
        <w:t xml:space="preserve"> an 35</w:t>
      </w:r>
      <w:r>
        <w:rPr>
          <w:rFonts w:hint="eastAsia" w:ascii="Times New Roman" w:hAnsi="Times New Roman"/>
          <w:bCs/>
          <w:color w:val="000000"/>
          <w:kern w:val="0"/>
          <w:sz w:val="24"/>
          <w:szCs w:val="24"/>
          <w:vertAlign w:val="superscript"/>
        </w:rPr>
        <w:t>th</w:t>
      </w:r>
      <w:r>
        <w:rPr>
          <w:rFonts w:hint="eastAsia" w:ascii="Times New Roman" w:hAnsi="Times New Roman"/>
          <w:bCs/>
          <w:color w:val="000000"/>
          <w:kern w:val="0"/>
          <w:sz w:val="24"/>
          <w:szCs w:val="24"/>
        </w:rPr>
        <w:t xml:space="preserve"> day</w:t>
      </w:r>
    </w:p>
    <w:p w14:paraId="633C303A">
      <w:pPr>
        <w:widowControl/>
        <w:spacing w:line="360" w:lineRule="auto"/>
        <w:rPr>
          <w:rFonts w:ascii="Times New Roman" w:hAnsi="Times New Roman"/>
          <w:color w:val="000000"/>
          <w:kern w:val="0"/>
          <w:sz w:val="24"/>
          <w:szCs w:val="24"/>
        </w:rPr>
      </w:pPr>
      <w:r>
        <w:rPr>
          <w:rFonts w:hint="eastAsia" w:ascii="Times New Roman" w:hAnsi="Times New Roman"/>
          <w:b/>
          <w:bCs/>
          <w:color w:val="000000"/>
          <w:kern w:val="0"/>
          <w:sz w:val="24"/>
          <w:szCs w:val="24"/>
        </w:rPr>
        <w:t>Fig. S1</w:t>
      </w:r>
      <w:r>
        <w:rPr>
          <w:rFonts w:hint="eastAsia" w:ascii="Times New Roman" w:hAnsi="Times New Roman"/>
          <w:color w:val="000000"/>
          <w:kern w:val="0"/>
          <w:sz w:val="24"/>
          <w:szCs w:val="24"/>
        </w:rPr>
        <w:t xml:space="preserve"> qRT-PCR validation of differentially expressed genes</w:t>
      </w:r>
    </w:p>
    <w:p w14:paraId="1712FFB5">
      <w:pPr>
        <w:widowControl/>
        <w:spacing w:line="360" w:lineRule="auto"/>
        <w:rPr>
          <w:rFonts w:ascii="Times New Roman" w:hAnsi="Times New Roman"/>
          <w:b/>
          <w:color w:val="000000"/>
          <w:kern w:val="0"/>
          <w:sz w:val="24"/>
          <w:szCs w:val="24"/>
        </w:rPr>
      </w:pPr>
    </w:p>
    <w:p w14:paraId="4EE8860A"/>
    <w:p w14:paraId="496B0BD1"/>
    <w:p w14:paraId="2AB13721"/>
    <w:p w14:paraId="6B9CBD89"/>
    <w:p w14:paraId="772014B9">
      <w:pPr>
        <w:spacing w:line="360" w:lineRule="auto"/>
        <w:jc w:val="center"/>
        <w:rPr>
          <w:sz w:val="24"/>
          <w:szCs w:val="24"/>
        </w:rPr>
      </w:pPr>
      <w:r>
        <w:rPr>
          <w:rFonts w:ascii="Times New Roman" w:hAnsi="Times New Roman" w:eastAsia="黑体"/>
          <w:sz w:val="24"/>
          <w:szCs w:val="24"/>
        </w:rPr>
        <w:t xml:space="preserve">Table S1 </w:t>
      </w:r>
      <w:r>
        <w:rPr>
          <w:rFonts w:ascii="Times New Roman" w:hAnsi="Times New Roman" w:eastAsia="PingFangSC-Regular"/>
          <w:color w:val="2A2B2E"/>
          <w:sz w:val="24"/>
          <w:szCs w:val="24"/>
        </w:rPr>
        <w:t>Synthetic primers for RT-PCR</w:t>
      </w:r>
    </w:p>
    <w:tbl>
      <w:tblPr>
        <w:tblStyle w:val="4"/>
        <w:tblW w:w="9716" w:type="dxa"/>
        <w:jc w:val="center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8"/>
        <w:gridCol w:w="3172"/>
        <w:gridCol w:w="2355"/>
        <w:gridCol w:w="2641"/>
      </w:tblGrid>
      <w:tr w14:paraId="3E539EBD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48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vAlign w:val="center"/>
          </w:tcPr>
          <w:p w14:paraId="24C7E309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Gene ID</w:t>
            </w:r>
          </w:p>
        </w:tc>
        <w:tc>
          <w:tcPr>
            <w:tcW w:w="3172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vAlign w:val="center"/>
          </w:tcPr>
          <w:p w14:paraId="235DA46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Gene description</w:t>
            </w:r>
          </w:p>
        </w:tc>
        <w:tc>
          <w:tcPr>
            <w:tcW w:w="2355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vAlign w:val="center"/>
          </w:tcPr>
          <w:p w14:paraId="5A794FAC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Positive primer sequence</w:t>
            </w:r>
          </w:p>
        </w:tc>
        <w:tc>
          <w:tcPr>
            <w:tcW w:w="2641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vAlign w:val="center"/>
          </w:tcPr>
          <w:p w14:paraId="7AF2592A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Reverse primer sequence</w:t>
            </w:r>
          </w:p>
        </w:tc>
      </w:tr>
      <w:tr w14:paraId="7FA22765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48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28FD8384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EF-1α</w:t>
            </w:r>
          </w:p>
        </w:tc>
        <w:tc>
          <w:tcPr>
            <w:tcW w:w="3172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20AB240A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2355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6092593D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TGGAAATTTGAGACCACCAA</w:t>
            </w:r>
          </w:p>
        </w:tc>
        <w:tc>
          <w:tcPr>
            <w:tcW w:w="2641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69766F8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GCACAATCAGCCTGTGAAGT</w:t>
            </w:r>
          </w:p>
        </w:tc>
      </w:tr>
      <w:tr w14:paraId="6F4BBE7F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14:paraId="0ACE5038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bookmarkStart w:id="1" w:name="OLE_LINK9"/>
            <w:r>
              <w:rPr>
                <w:rFonts w:ascii="Times New Roman" w:hAnsi="Times New Roman"/>
                <w:kern w:val="0"/>
                <w:sz w:val="20"/>
                <w:szCs w:val="20"/>
              </w:rPr>
              <w:t>EVM0030273</w:t>
            </w:r>
            <w:bookmarkEnd w:id="1"/>
          </w:p>
        </w:tc>
        <w:tc>
          <w:tcPr>
            <w:tcW w:w="3172" w:type="dxa"/>
            <w:tcBorders>
              <w:top w:val="nil"/>
              <w:left w:val="nil"/>
              <w:bottom w:val="nil"/>
              <w:right w:val="nil"/>
            </w:tcBorders>
          </w:tcPr>
          <w:p w14:paraId="27E83801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chlorophyll a-b binding protein chloroplastic-like</w:t>
            </w:r>
          </w:p>
        </w:tc>
        <w:tc>
          <w:tcPr>
            <w:tcW w:w="2355" w:type="dxa"/>
            <w:tcBorders>
              <w:top w:val="nil"/>
              <w:left w:val="nil"/>
              <w:bottom w:val="nil"/>
              <w:right w:val="nil"/>
            </w:tcBorders>
          </w:tcPr>
          <w:p w14:paraId="12B95908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AGACCTTTGCCAAGAACCG</w:t>
            </w:r>
          </w:p>
        </w:tc>
        <w:tc>
          <w:tcPr>
            <w:tcW w:w="26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993323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GCTCCAGCCTTGAACCACA</w:t>
            </w:r>
          </w:p>
        </w:tc>
      </w:tr>
      <w:tr w14:paraId="40553407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14:paraId="47D806D9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bookmarkStart w:id="2" w:name="OLE_LINK10"/>
            <w:r>
              <w:rPr>
                <w:rFonts w:ascii="Times New Roman" w:hAnsi="Times New Roman"/>
                <w:kern w:val="0"/>
                <w:sz w:val="20"/>
                <w:szCs w:val="20"/>
              </w:rPr>
              <w:t>EVM0017897</w:t>
            </w:r>
            <w:bookmarkEnd w:id="2"/>
          </w:p>
        </w:tc>
        <w:tc>
          <w:tcPr>
            <w:tcW w:w="3172" w:type="dxa"/>
            <w:tcBorders>
              <w:top w:val="nil"/>
              <w:left w:val="nil"/>
              <w:bottom w:val="nil"/>
              <w:right w:val="nil"/>
            </w:tcBorders>
          </w:tcPr>
          <w:p w14:paraId="458B7E49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bookmarkStart w:id="3" w:name="OLE_LINK15"/>
            <w:r>
              <w:rPr>
                <w:rFonts w:ascii="Times New Roman" w:hAnsi="Times New Roman"/>
                <w:kern w:val="0"/>
                <w:sz w:val="20"/>
                <w:szCs w:val="20"/>
              </w:rPr>
              <w:t>chlorophyll a-b binding protein chloroplastic-like</w:t>
            </w:r>
            <w:bookmarkEnd w:id="3"/>
          </w:p>
        </w:tc>
        <w:tc>
          <w:tcPr>
            <w:tcW w:w="2355" w:type="dxa"/>
            <w:tcBorders>
              <w:top w:val="nil"/>
              <w:left w:val="nil"/>
              <w:bottom w:val="nil"/>
              <w:right w:val="nil"/>
            </w:tcBorders>
          </w:tcPr>
          <w:p w14:paraId="13788CFD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CTGACCCAGAAACCTTTGC</w:t>
            </w:r>
          </w:p>
        </w:tc>
        <w:tc>
          <w:tcPr>
            <w:tcW w:w="26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C590E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TTTGACACCATTGCGAGCC</w:t>
            </w:r>
          </w:p>
        </w:tc>
      </w:tr>
      <w:tr w14:paraId="5F9F0369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14:paraId="1FB9D446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bookmarkStart w:id="4" w:name="OLE_LINK11"/>
            <w:r>
              <w:rPr>
                <w:rFonts w:ascii="Times New Roman" w:hAnsi="Times New Roman"/>
                <w:kern w:val="0"/>
                <w:sz w:val="20"/>
                <w:szCs w:val="20"/>
              </w:rPr>
              <w:t>EVM0022348</w:t>
            </w:r>
            <w:bookmarkEnd w:id="4"/>
          </w:p>
        </w:tc>
        <w:tc>
          <w:tcPr>
            <w:tcW w:w="3172" w:type="dxa"/>
            <w:tcBorders>
              <w:top w:val="nil"/>
              <w:left w:val="nil"/>
              <w:bottom w:val="nil"/>
              <w:right w:val="nil"/>
            </w:tcBorders>
          </w:tcPr>
          <w:p w14:paraId="37115234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spermidine hydroxycinnamoyl transferase-like</w:t>
            </w:r>
          </w:p>
        </w:tc>
        <w:tc>
          <w:tcPr>
            <w:tcW w:w="2355" w:type="dxa"/>
            <w:tcBorders>
              <w:top w:val="nil"/>
              <w:left w:val="nil"/>
              <w:bottom w:val="nil"/>
              <w:right w:val="nil"/>
            </w:tcBorders>
          </w:tcPr>
          <w:p w14:paraId="2E8B6763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TCTTGGCTTGGGCATTTCA</w:t>
            </w:r>
          </w:p>
        </w:tc>
        <w:tc>
          <w:tcPr>
            <w:tcW w:w="26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0A1A48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CGATGGTGGTTCCTCAGTT</w:t>
            </w:r>
          </w:p>
        </w:tc>
      </w:tr>
      <w:tr w14:paraId="35550F0B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14:paraId="7252C961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bookmarkStart w:id="5" w:name="OLE_LINK12"/>
            <w:r>
              <w:rPr>
                <w:rFonts w:ascii="Times New Roman" w:hAnsi="Times New Roman"/>
                <w:kern w:val="0"/>
                <w:sz w:val="20"/>
                <w:szCs w:val="20"/>
              </w:rPr>
              <w:t>EVM0019612</w:t>
            </w:r>
            <w:bookmarkEnd w:id="5"/>
          </w:p>
        </w:tc>
        <w:tc>
          <w:tcPr>
            <w:tcW w:w="3172" w:type="dxa"/>
            <w:tcBorders>
              <w:top w:val="nil"/>
              <w:left w:val="nil"/>
              <w:bottom w:val="nil"/>
              <w:right w:val="nil"/>
            </w:tcBorders>
          </w:tcPr>
          <w:p w14:paraId="6D048034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chlorophyll a-b binding protein chloroplastic-like</w:t>
            </w:r>
          </w:p>
        </w:tc>
        <w:tc>
          <w:tcPr>
            <w:tcW w:w="2355" w:type="dxa"/>
            <w:tcBorders>
              <w:top w:val="nil"/>
              <w:left w:val="nil"/>
              <w:bottom w:val="nil"/>
              <w:right w:val="nil"/>
            </w:tcBorders>
          </w:tcPr>
          <w:p w14:paraId="60B72F5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AGACCTTTGCCAAGAACCG</w:t>
            </w:r>
          </w:p>
        </w:tc>
        <w:tc>
          <w:tcPr>
            <w:tcW w:w="26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A1195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CACCGAACTTGACACCATT</w:t>
            </w:r>
          </w:p>
        </w:tc>
      </w:tr>
      <w:tr w14:paraId="3B9570DA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14:paraId="1B2EF1F0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EVM0008280</w:t>
            </w:r>
          </w:p>
        </w:tc>
        <w:tc>
          <w:tcPr>
            <w:tcW w:w="3172" w:type="dxa"/>
            <w:tcBorders>
              <w:top w:val="nil"/>
              <w:left w:val="nil"/>
              <w:bottom w:val="nil"/>
              <w:right w:val="nil"/>
            </w:tcBorders>
          </w:tcPr>
          <w:p w14:paraId="73044EF7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bookmarkStart w:id="6" w:name="OLE_LINK14"/>
            <w:r>
              <w:rPr>
                <w:rFonts w:ascii="Times New Roman" w:hAnsi="Times New Roman"/>
                <w:kern w:val="0"/>
                <w:sz w:val="20"/>
                <w:szCs w:val="20"/>
              </w:rPr>
              <w:t>phosphoenolpyruvate carboxykinase</w:t>
            </w:r>
            <w:bookmarkEnd w:id="6"/>
          </w:p>
        </w:tc>
        <w:tc>
          <w:tcPr>
            <w:tcW w:w="2355" w:type="dxa"/>
            <w:tcBorders>
              <w:top w:val="nil"/>
              <w:left w:val="nil"/>
              <w:bottom w:val="nil"/>
              <w:right w:val="nil"/>
            </w:tcBorders>
          </w:tcPr>
          <w:p w14:paraId="07563E37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AGCCACAAGCAACATTCTC</w:t>
            </w:r>
          </w:p>
        </w:tc>
        <w:tc>
          <w:tcPr>
            <w:tcW w:w="26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9D676D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CATACCTTCCTCCAGACC</w:t>
            </w:r>
          </w:p>
        </w:tc>
      </w:tr>
      <w:tr w14:paraId="333FF566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  <w:jc w:val="center"/>
        </w:trPr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14:paraId="6F173422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EVM0010426</w:t>
            </w:r>
          </w:p>
        </w:tc>
        <w:tc>
          <w:tcPr>
            <w:tcW w:w="3172" w:type="dxa"/>
            <w:tcBorders>
              <w:top w:val="nil"/>
              <w:left w:val="nil"/>
              <w:bottom w:val="nil"/>
              <w:right w:val="nil"/>
            </w:tcBorders>
          </w:tcPr>
          <w:p w14:paraId="6837ED7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ribulose bisphosphate carboxylase small chloroplastic</w:t>
            </w:r>
          </w:p>
        </w:tc>
        <w:tc>
          <w:tcPr>
            <w:tcW w:w="2355" w:type="dxa"/>
            <w:tcBorders>
              <w:top w:val="nil"/>
              <w:left w:val="nil"/>
              <w:bottom w:val="nil"/>
              <w:right w:val="nil"/>
            </w:tcBorders>
          </w:tcPr>
          <w:p w14:paraId="449EDF67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ATGGCTTCCTCAATGCTCT</w:t>
            </w:r>
          </w:p>
        </w:tc>
        <w:tc>
          <w:tcPr>
            <w:tcW w:w="26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ED4A16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GACATTCTTGCGGCTGACC</w:t>
            </w:r>
          </w:p>
        </w:tc>
      </w:tr>
      <w:tr w14:paraId="2AE55637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14:paraId="37B627D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EVM0003405</w:t>
            </w:r>
          </w:p>
        </w:tc>
        <w:tc>
          <w:tcPr>
            <w:tcW w:w="3172" w:type="dxa"/>
            <w:tcBorders>
              <w:top w:val="nil"/>
              <w:left w:val="nil"/>
              <w:bottom w:val="nil"/>
              <w:right w:val="nil"/>
            </w:tcBorders>
          </w:tcPr>
          <w:p w14:paraId="62243302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endoglucanase 6-like</w:t>
            </w:r>
          </w:p>
        </w:tc>
        <w:tc>
          <w:tcPr>
            <w:tcW w:w="2355" w:type="dxa"/>
            <w:tcBorders>
              <w:top w:val="nil"/>
              <w:left w:val="nil"/>
              <w:bottom w:val="nil"/>
              <w:right w:val="nil"/>
            </w:tcBorders>
          </w:tcPr>
          <w:p w14:paraId="21C5B8E2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CCCTTCGTTTGTGAGTTGC</w:t>
            </w:r>
          </w:p>
        </w:tc>
        <w:tc>
          <w:tcPr>
            <w:tcW w:w="26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5271D2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CTCGGTTTGCTCGTAGTTG</w:t>
            </w:r>
          </w:p>
        </w:tc>
      </w:tr>
      <w:tr w14:paraId="677628B0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14:paraId="3B29360D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bookmarkStart w:id="7" w:name="OLE_LINK13"/>
            <w:r>
              <w:rPr>
                <w:rFonts w:ascii="Times New Roman" w:hAnsi="Times New Roman"/>
                <w:kern w:val="0"/>
                <w:sz w:val="20"/>
                <w:szCs w:val="20"/>
              </w:rPr>
              <w:t>EVM0017947</w:t>
            </w:r>
            <w:bookmarkEnd w:id="7"/>
          </w:p>
        </w:tc>
        <w:tc>
          <w:tcPr>
            <w:tcW w:w="3172" w:type="dxa"/>
            <w:tcBorders>
              <w:top w:val="nil"/>
              <w:left w:val="nil"/>
              <w:bottom w:val="nil"/>
              <w:right w:val="nil"/>
            </w:tcBorders>
          </w:tcPr>
          <w:p w14:paraId="370B61CC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alpha-glucosidase-like</w:t>
            </w:r>
          </w:p>
        </w:tc>
        <w:tc>
          <w:tcPr>
            <w:tcW w:w="2355" w:type="dxa"/>
            <w:tcBorders>
              <w:top w:val="nil"/>
              <w:left w:val="nil"/>
              <w:bottom w:val="nil"/>
              <w:right w:val="nil"/>
            </w:tcBorders>
          </w:tcPr>
          <w:p w14:paraId="4AB3971D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GCCTTAACAACTCAAGCAG</w:t>
            </w:r>
          </w:p>
        </w:tc>
        <w:tc>
          <w:tcPr>
            <w:tcW w:w="26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B922BA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CATCGTCCAAGAACACCTC</w:t>
            </w:r>
          </w:p>
        </w:tc>
      </w:tr>
      <w:tr w14:paraId="07BD42A5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14:paraId="3B03D017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EVM0001129</w:t>
            </w:r>
          </w:p>
        </w:tc>
        <w:tc>
          <w:tcPr>
            <w:tcW w:w="3172" w:type="dxa"/>
            <w:tcBorders>
              <w:top w:val="nil"/>
              <w:left w:val="nil"/>
              <w:bottom w:val="nil"/>
              <w:right w:val="nil"/>
            </w:tcBorders>
          </w:tcPr>
          <w:p w14:paraId="1C52C844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basic endochitinase-like</w:t>
            </w:r>
          </w:p>
        </w:tc>
        <w:tc>
          <w:tcPr>
            <w:tcW w:w="2355" w:type="dxa"/>
            <w:tcBorders>
              <w:top w:val="nil"/>
              <w:left w:val="nil"/>
              <w:bottom w:val="nil"/>
              <w:right w:val="nil"/>
            </w:tcBorders>
          </w:tcPr>
          <w:p w14:paraId="2ED99E3D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CGACTGGCGATACTGATAC</w:t>
            </w:r>
          </w:p>
        </w:tc>
        <w:tc>
          <w:tcPr>
            <w:tcW w:w="26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985336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GGTGGATTGCCTTGTTCTT</w:t>
            </w:r>
          </w:p>
        </w:tc>
      </w:tr>
      <w:tr w14:paraId="0380D0C3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48" w:type="dxa"/>
            <w:tcBorders>
              <w:top w:val="nil"/>
              <w:left w:val="nil"/>
              <w:bottom w:val="single" w:color="auto" w:sz="12" w:space="0"/>
              <w:right w:val="nil"/>
            </w:tcBorders>
          </w:tcPr>
          <w:p w14:paraId="02B26985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EVM0007844</w:t>
            </w:r>
          </w:p>
        </w:tc>
        <w:tc>
          <w:tcPr>
            <w:tcW w:w="3172" w:type="dxa"/>
            <w:tcBorders>
              <w:top w:val="nil"/>
              <w:left w:val="nil"/>
              <w:bottom w:val="single" w:color="auto" w:sz="12" w:space="0"/>
              <w:right w:val="nil"/>
            </w:tcBorders>
          </w:tcPr>
          <w:p w14:paraId="1186C1ED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indole-3-acetic acid-amido synthetase</w:t>
            </w:r>
          </w:p>
        </w:tc>
        <w:tc>
          <w:tcPr>
            <w:tcW w:w="2355" w:type="dxa"/>
            <w:tcBorders>
              <w:top w:val="nil"/>
              <w:left w:val="nil"/>
              <w:bottom w:val="single" w:color="auto" w:sz="12" w:space="0"/>
              <w:right w:val="nil"/>
            </w:tcBorders>
          </w:tcPr>
          <w:p w14:paraId="79CA53D3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ACGTGCTCCAAGTGACAGG</w:t>
            </w:r>
          </w:p>
        </w:tc>
        <w:tc>
          <w:tcPr>
            <w:tcW w:w="2641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 w14:paraId="61FEB55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CTTTGCGACAGTGATGCTC</w:t>
            </w:r>
          </w:p>
        </w:tc>
      </w:tr>
    </w:tbl>
    <w:p w14:paraId="7FD574BF">
      <w:pPr>
        <w:spacing w:line="360" w:lineRule="auto"/>
        <w:rPr>
          <w:rFonts w:ascii="Times New Roman" w:hAnsi="Times New Roman"/>
        </w:rPr>
      </w:pPr>
      <w:r>
        <w:rPr>
          <w:rFonts w:hint="eastAsia" w:ascii="Times New Roman" w:hAnsi="Times New Roman"/>
        </w:rPr>
        <w:t>Note:</w:t>
      </w:r>
      <w:r>
        <w:rPr>
          <w:rFonts w:ascii="Times New Roman" w:hAnsi="Times New Roman"/>
        </w:rPr>
        <w:t>EF-1α</w:t>
      </w:r>
      <w:r>
        <w:rPr>
          <w:rFonts w:hint="eastAsia" w:ascii="Times New Roman" w:hAnsi="Times New Roman"/>
        </w:rPr>
        <w:t>:</w:t>
      </w:r>
      <w:r>
        <w:rPr>
          <w:rFonts w:ascii="Times New Roman" w:hAnsi="Times New Roman" w:eastAsia="STIX-Regular"/>
        </w:rPr>
        <w:t>The elongation factor-1α gene</w:t>
      </w:r>
    </w:p>
    <w:p w14:paraId="3AECAE29"/>
    <w:p w14:paraId="24E22E97"/>
    <w:p w14:paraId="14222C94"/>
    <w:p w14:paraId="7E14D572"/>
    <w:p w14:paraId="004D72A6">
      <w:pPr>
        <w:spacing w:line="360" w:lineRule="auto"/>
        <w:jc w:val="center"/>
        <w:rPr>
          <w:sz w:val="24"/>
          <w:szCs w:val="24"/>
        </w:rPr>
      </w:pPr>
      <w:r>
        <w:rPr>
          <w:rFonts w:ascii="Times New Roman" w:hAnsi="Times New Roman" w:eastAsia="黑体"/>
          <w:sz w:val="24"/>
          <w:szCs w:val="24"/>
        </w:rPr>
        <w:t xml:space="preserve">Table </w:t>
      </w:r>
      <w:r>
        <w:rPr>
          <w:rFonts w:hint="eastAsia" w:ascii="Times New Roman" w:hAnsi="Times New Roman" w:eastAsia="黑体"/>
          <w:sz w:val="24"/>
          <w:szCs w:val="24"/>
        </w:rPr>
        <w:t>S2</w:t>
      </w:r>
      <w:r>
        <w:rPr>
          <w:rFonts w:ascii="Times New Roman" w:hAnsi="Times New Roman" w:eastAsia="黑体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kern w:val="0"/>
          <w:sz w:val="24"/>
          <w:szCs w:val="24"/>
        </w:rPr>
        <w:t>GO enrichment analysis of differentially expressed gene</w:t>
      </w:r>
      <w:r>
        <w:rPr>
          <w:rFonts w:hint="eastAsia" w:ascii="Times New Roman" w:hAnsi="Times New Roman"/>
          <w:color w:val="000000"/>
          <w:kern w:val="0"/>
          <w:sz w:val="24"/>
          <w:szCs w:val="24"/>
        </w:rPr>
        <w:t>s in FLS</w:t>
      </w:r>
      <w:r>
        <w:rPr>
          <w:rFonts w:ascii="Times New Roman" w:hAnsi="Times New Roman"/>
          <w:color w:val="000000"/>
          <w:kern w:val="0"/>
          <w:sz w:val="24"/>
          <w:szCs w:val="24"/>
        </w:rPr>
        <w:t>-1_vs_</w:t>
      </w:r>
      <w:r>
        <w:rPr>
          <w:rFonts w:hint="eastAsia" w:ascii="Times New Roman" w:hAnsi="Times New Roman"/>
          <w:color w:val="000000"/>
          <w:kern w:val="0"/>
          <w:sz w:val="24"/>
          <w:szCs w:val="24"/>
        </w:rPr>
        <w:t>FLS</w:t>
      </w:r>
      <w:r>
        <w:rPr>
          <w:rFonts w:ascii="Times New Roman" w:hAnsi="Times New Roman"/>
          <w:color w:val="000000"/>
          <w:kern w:val="0"/>
          <w:sz w:val="24"/>
          <w:szCs w:val="24"/>
        </w:rPr>
        <w:t xml:space="preserve">-2 </w:t>
      </w:r>
      <w:r>
        <w:rPr>
          <w:rFonts w:hint="eastAsia" w:ascii="Times New Roman" w:hAnsi="Times New Roman"/>
          <w:color w:val="000000"/>
          <w:kern w:val="0"/>
          <w:sz w:val="24"/>
          <w:szCs w:val="24"/>
        </w:rPr>
        <w:t>on the</w:t>
      </w:r>
      <w:r>
        <w:rPr>
          <w:rFonts w:ascii="Times New Roman" w:hAnsi="Times New Roman"/>
          <w:color w:val="000000"/>
          <w:kern w:val="0"/>
          <w:sz w:val="24"/>
          <w:szCs w:val="24"/>
        </w:rPr>
        <w:t xml:space="preserve"> </w:t>
      </w:r>
      <w:r>
        <w:rPr>
          <w:rFonts w:ascii="Times New Roman" w:hAnsi="Times New Roman"/>
          <w:bCs/>
          <w:color w:val="000000"/>
          <w:kern w:val="0"/>
          <w:sz w:val="24"/>
          <w:szCs w:val="24"/>
          <w:lang w:val="it-IT" w:eastAsia="en-US"/>
        </w:rPr>
        <w:t>25</w:t>
      </w:r>
      <w:r>
        <w:rPr>
          <w:rFonts w:hint="eastAsia" w:ascii="Times New Roman" w:hAnsi="Times New Roman"/>
          <w:bCs/>
          <w:color w:val="000000"/>
          <w:kern w:val="0"/>
          <w:sz w:val="24"/>
          <w:szCs w:val="24"/>
          <w:vertAlign w:val="superscript"/>
        </w:rPr>
        <w:t>th</w:t>
      </w:r>
      <w:r>
        <w:rPr>
          <w:rFonts w:ascii="Times New Roman" w:hAnsi="Times New Roman"/>
          <w:bCs/>
          <w:color w:val="000000"/>
          <w:kern w:val="0"/>
          <w:sz w:val="24"/>
          <w:szCs w:val="24"/>
          <w:lang w:val="it-IT" w:eastAsia="en-US"/>
        </w:rPr>
        <w:t xml:space="preserve"> and 35</w:t>
      </w:r>
      <w:r>
        <w:rPr>
          <w:rFonts w:hint="eastAsia" w:ascii="Times New Roman" w:hAnsi="Times New Roman"/>
          <w:bCs/>
          <w:color w:val="000000"/>
          <w:kern w:val="0"/>
          <w:sz w:val="24"/>
          <w:szCs w:val="24"/>
          <w:vertAlign w:val="superscript"/>
        </w:rPr>
        <w:t>th</w:t>
      </w:r>
      <w:r>
        <w:rPr>
          <w:rFonts w:ascii="Times New Roman" w:hAnsi="Times New Roman"/>
          <w:bCs/>
          <w:color w:val="000000"/>
          <w:kern w:val="0"/>
          <w:sz w:val="24"/>
          <w:szCs w:val="24"/>
          <w:lang w:val="it-IT" w:eastAsia="en-US"/>
        </w:rPr>
        <w:t xml:space="preserve"> day</w:t>
      </w:r>
    </w:p>
    <w:tbl>
      <w:tblPr>
        <w:tblStyle w:val="4"/>
        <w:tblW w:w="8387" w:type="dxa"/>
        <w:jc w:val="center"/>
        <w:tblBorders>
          <w:top w:val="single" w:color="000000" w:sz="12" w:space="0"/>
          <w:left w:val="none" w:color="auto" w:sz="0" w:space="0"/>
          <w:bottom w:val="single" w:color="000000" w:sz="12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1"/>
        <w:gridCol w:w="3876"/>
        <w:gridCol w:w="745"/>
        <w:gridCol w:w="1043"/>
        <w:gridCol w:w="1232"/>
      </w:tblGrid>
      <w:tr w14:paraId="3A96E23C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491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vAlign w:val="center"/>
          </w:tcPr>
          <w:p w14:paraId="36340413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bookmarkStart w:id="8" w:name="OLE_LINK41"/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GO ID</w:t>
            </w:r>
            <w:bookmarkEnd w:id="8"/>
          </w:p>
        </w:tc>
        <w:tc>
          <w:tcPr>
            <w:tcW w:w="3876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vAlign w:val="center"/>
          </w:tcPr>
          <w:p w14:paraId="048D2878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Description</w:t>
            </w:r>
          </w:p>
        </w:tc>
        <w:tc>
          <w:tcPr>
            <w:tcW w:w="745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vAlign w:val="center"/>
          </w:tcPr>
          <w:p w14:paraId="3656441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Num</w:t>
            </w:r>
          </w:p>
        </w:tc>
        <w:tc>
          <w:tcPr>
            <w:tcW w:w="1043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vAlign w:val="center"/>
          </w:tcPr>
          <w:p w14:paraId="267FA8B6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Pvalue</w:t>
            </w:r>
          </w:p>
        </w:tc>
        <w:tc>
          <w:tcPr>
            <w:tcW w:w="1232" w:type="dxa"/>
            <w:tcBorders>
              <w:top w:val="single" w:color="000000" w:sz="12" w:space="0"/>
              <w:left w:val="nil"/>
              <w:bottom w:val="single" w:color="auto" w:sz="4" w:space="0"/>
              <w:right w:val="nil"/>
            </w:tcBorders>
            <w:vAlign w:val="center"/>
          </w:tcPr>
          <w:p w14:paraId="0A780CF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Qvalue</w:t>
            </w:r>
          </w:p>
        </w:tc>
      </w:tr>
      <w:tr w14:paraId="315BA264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8387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71E499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25d </w:t>
            </w:r>
            <w:r>
              <w:rPr>
                <w:rFonts w:ascii="Times New Roman" w:hAnsi="Times New Roman"/>
                <w:bCs/>
                <w:color w:val="000000"/>
                <w:kern w:val="0"/>
                <w:sz w:val="20"/>
                <w:szCs w:val="20"/>
              </w:rPr>
              <w:t>up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</w:t>
            </w:r>
            <w:r>
              <w:rPr>
                <w:rFonts w:ascii="Times New Roman" w:hAnsi="Times New Roman"/>
                <w:bCs/>
                <w:color w:val="000000"/>
                <w:kern w:val="0"/>
                <w:sz w:val="20"/>
                <w:szCs w:val="20"/>
              </w:rPr>
              <w:t>regulate</w:t>
            </w:r>
          </w:p>
        </w:tc>
      </w:tr>
      <w:tr w14:paraId="71B2C43B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71A3E2">
            <w:pPr>
              <w:widowControl/>
              <w:jc w:val="left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GO: 0016705</w:t>
            </w:r>
          </w:p>
        </w:tc>
        <w:tc>
          <w:tcPr>
            <w:tcW w:w="38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A8C880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oxidoreductase activity, acting on paired donors, with incorporation or reduction of molecular oxygen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20C791">
            <w:pPr>
              <w:widowControl/>
              <w:jc w:val="left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53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94E32F">
            <w:pPr>
              <w:widowControl/>
              <w:jc w:val="left"/>
              <w:textAlignment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7.39E-12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DC764A">
            <w:pPr>
              <w:widowControl/>
              <w:jc w:val="left"/>
              <w:textAlignment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2.04E-08</w:t>
            </w:r>
          </w:p>
        </w:tc>
      </w:tr>
      <w:tr w14:paraId="21917D22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1EF2FB">
            <w:pPr>
              <w:widowControl/>
              <w:jc w:val="left"/>
              <w:textAlignment w:val="center"/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GO: 0016491</w:t>
            </w:r>
          </w:p>
        </w:tc>
        <w:tc>
          <w:tcPr>
            <w:tcW w:w="38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5C8896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bookmarkStart w:id="9" w:name="OLE_LINK94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oxidoreductase activity</w:t>
            </w:r>
            <w:bookmarkEnd w:id="9"/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F0B0A6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120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B56EBA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3.09E-09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65A5A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4.27E-06</w:t>
            </w:r>
          </w:p>
        </w:tc>
      </w:tr>
      <w:tr w14:paraId="26B41E38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" w:hRule="atLeast"/>
          <w:jc w:val="center"/>
        </w:trPr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7A41A3">
            <w:pPr>
              <w:widowControl/>
              <w:jc w:val="left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GO: 0019748</w:t>
            </w:r>
          </w:p>
        </w:tc>
        <w:tc>
          <w:tcPr>
            <w:tcW w:w="38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350493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secondary metabolic process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FD46A1">
            <w:pPr>
              <w:widowControl/>
              <w:jc w:val="left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8B7669">
            <w:pPr>
              <w:widowControl/>
              <w:jc w:val="left"/>
              <w:textAlignment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2.30E-08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4A97F2">
            <w:pPr>
              <w:widowControl/>
              <w:jc w:val="left"/>
              <w:textAlignment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5.06E-05</w:t>
            </w:r>
          </w:p>
        </w:tc>
      </w:tr>
      <w:tr w14:paraId="62B5B33A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F81532">
            <w:pPr>
              <w:widowControl/>
              <w:jc w:val="left"/>
              <w:textAlignment w:val="center"/>
              <w:rPr>
                <w:rFonts w:ascii="Times New Roman" w:hAnsi="Times New Roman"/>
                <w:kern w:val="0"/>
                <w:sz w:val="20"/>
                <w:szCs w:val="20"/>
                <w:highlight w:val="yellow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GO: 0009698</w:t>
            </w:r>
          </w:p>
        </w:tc>
        <w:tc>
          <w:tcPr>
            <w:tcW w:w="38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520A9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highlight w:val="yellow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phenylpropanoid metabolic process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6DEEA5">
            <w:pPr>
              <w:widowControl/>
              <w:jc w:val="left"/>
              <w:textAlignment w:val="center"/>
              <w:rPr>
                <w:rFonts w:ascii="Times New Roman" w:hAnsi="Times New Roman"/>
                <w:sz w:val="20"/>
                <w:szCs w:val="20"/>
                <w:highlight w:val="yellow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68FFF7">
            <w:pPr>
              <w:widowControl/>
              <w:jc w:val="left"/>
              <w:textAlignment w:val="center"/>
              <w:rPr>
                <w:rFonts w:ascii="Times New Roman" w:hAnsi="Times New Roman"/>
                <w:kern w:val="0"/>
                <w:sz w:val="20"/>
                <w:szCs w:val="20"/>
                <w:highlight w:val="yellow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3.55E-08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308045">
            <w:pPr>
              <w:widowControl/>
              <w:jc w:val="left"/>
              <w:textAlignment w:val="center"/>
              <w:rPr>
                <w:rFonts w:ascii="Times New Roman" w:hAnsi="Times New Roman"/>
                <w:kern w:val="0"/>
                <w:sz w:val="20"/>
                <w:szCs w:val="20"/>
                <w:highlight w:val="yellow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5.19E-05</w:t>
            </w:r>
          </w:p>
        </w:tc>
      </w:tr>
      <w:tr w14:paraId="1F5913C4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A9A1F1">
            <w:pPr>
              <w:widowControl/>
              <w:jc w:val="left"/>
              <w:textAlignment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GO: 0020037</w:t>
            </w:r>
          </w:p>
        </w:tc>
        <w:tc>
          <w:tcPr>
            <w:tcW w:w="38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B68DA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bookmarkStart w:id="10" w:name="OLE_LINK33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heme binding</w:t>
            </w:r>
            <w:bookmarkEnd w:id="10"/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64A66B">
            <w:pPr>
              <w:widowControl/>
              <w:jc w:val="left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41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51288A">
            <w:pPr>
              <w:widowControl/>
              <w:jc w:val="left"/>
              <w:textAlignment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1.38E-07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8D35E3">
            <w:pPr>
              <w:widowControl/>
              <w:jc w:val="left"/>
              <w:textAlignment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9.49E-05</w:t>
            </w:r>
          </w:p>
        </w:tc>
      </w:tr>
      <w:tr w14:paraId="0600DF15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5818ED">
            <w:pPr>
              <w:widowControl/>
              <w:jc w:val="left"/>
              <w:textAlignment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GO: 0004497</w:t>
            </w:r>
          </w:p>
        </w:tc>
        <w:tc>
          <w:tcPr>
            <w:tcW w:w="38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C103F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monooxygenase activity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C188E7">
            <w:pPr>
              <w:widowControl/>
              <w:jc w:val="left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36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ADB08D">
            <w:pPr>
              <w:widowControl/>
              <w:jc w:val="left"/>
              <w:textAlignment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3.23E-07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5AF89F">
            <w:pPr>
              <w:widowControl/>
              <w:jc w:val="left"/>
              <w:textAlignment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1.78E-04</w:t>
            </w:r>
          </w:p>
        </w:tc>
      </w:tr>
      <w:tr w14:paraId="3B04A8CD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7ACAA5">
            <w:pPr>
              <w:widowControl/>
              <w:jc w:val="left"/>
              <w:textAlignment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GO: 0044550</w:t>
            </w:r>
          </w:p>
        </w:tc>
        <w:tc>
          <w:tcPr>
            <w:tcW w:w="38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BD079E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bookmarkStart w:id="11" w:name="OLE_LINK86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secondary metabolite biosynthetic process</w:t>
            </w:r>
            <w:bookmarkEnd w:id="11"/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D9EC8D">
            <w:pPr>
              <w:widowControl/>
              <w:jc w:val="left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54A0E3">
            <w:pPr>
              <w:widowControl/>
              <w:jc w:val="left"/>
              <w:textAlignment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1.62E-07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ACD8C5">
            <w:pPr>
              <w:widowControl/>
              <w:jc w:val="left"/>
              <w:textAlignment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1.78E-04</w:t>
            </w:r>
          </w:p>
        </w:tc>
      </w:tr>
      <w:tr w14:paraId="1AEDB155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CC92E5">
            <w:pPr>
              <w:widowControl/>
              <w:jc w:val="left"/>
              <w:textAlignment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GO: 0009699</w:t>
            </w:r>
          </w:p>
        </w:tc>
        <w:tc>
          <w:tcPr>
            <w:tcW w:w="38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2C2D8A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phenylpropanoid biosynthetic process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DBD283">
            <w:pPr>
              <w:widowControl/>
              <w:jc w:val="left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23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27BB18">
            <w:pPr>
              <w:widowControl/>
              <w:jc w:val="left"/>
              <w:textAlignment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3.56E-07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41307A">
            <w:pPr>
              <w:widowControl/>
              <w:jc w:val="left"/>
              <w:textAlignment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3.13E-04</w:t>
            </w:r>
          </w:p>
        </w:tc>
      </w:tr>
      <w:tr w14:paraId="27798B4D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B8CAD8">
            <w:pPr>
              <w:widowControl/>
              <w:jc w:val="left"/>
              <w:textAlignment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GO: 0046906</w:t>
            </w:r>
          </w:p>
        </w:tc>
        <w:tc>
          <w:tcPr>
            <w:tcW w:w="38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4A8673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tetrapyrrole binding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14DCA5">
            <w:pPr>
              <w:widowControl/>
              <w:jc w:val="left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41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616AF4">
            <w:pPr>
              <w:widowControl/>
              <w:jc w:val="left"/>
              <w:textAlignment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1.93E-06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50D148">
            <w:pPr>
              <w:widowControl/>
              <w:jc w:val="left"/>
              <w:textAlignment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7.92E-04</w:t>
            </w:r>
          </w:p>
        </w:tc>
      </w:tr>
      <w:tr w14:paraId="4FD8E1CC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E1E222">
            <w:pPr>
              <w:widowControl/>
              <w:jc w:val="left"/>
              <w:textAlignment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GO: 0005506</w:t>
            </w:r>
          </w:p>
        </w:tc>
        <w:tc>
          <w:tcPr>
            <w:tcW w:w="38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AD3867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iron ion binding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597940">
            <w:pPr>
              <w:widowControl/>
              <w:jc w:val="left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35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8D37B5">
            <w:pPr>
              <w:widowControl/>
              <w:jc w:val="left"/>
              <w:textAlignment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2.01E-06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9F0D94">
            <w:pPr>
              <w:widowControl/>
              <w:jc w:val="left"/>
              <w:textAlignment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7.92E-04</w:t>
            </w:r>
          </w:p>
        </w:tc>
      </w:tr>
      <w:tr w14:paraId="36B7D1B2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5B32D7">
            <w:pPr>
              <w:widowControl/>
              <w:jc w:val="left"/>
              <w:textAlignment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GO: 0030749</w:t>
            </w:r>
          </w:p>
        </w:tc>
        <w:tc>
          <w:tcPr>
            <w:tcW w:w="38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BA32E1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bookmarkStart w:id="12" w:name="OLE_LINK93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loganate</w:t>
            </w:r>
            <w:bookmarkEnd w:id="12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bookmarkStart w:id="13" w:name="OLE_LINK36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O</w:t>
            </w:r>
            <w:bookmarkEnd w:id="13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</w:t>
            </w:r>
            <w:bookmarkStart w:id="14" w:name="OLE_LINK96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methyltransferase activity</w:t>
            </w:r>
            <w:bookmarkEnd w:id="14"/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3EB43C">
            <w:pPr>
              <w:widowControl/>
              <w:jc w:val="left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953B1C">
            <w:pPr>
              <w:widowControl/>
              <w:jc w:val="left"/>
              <w:textAlignment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1.31E-05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098ECC">
            <w:pPr>
              <w:widowControl/>
              <w:jc w:val="left"/>
              <w:textAlignment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3.63E-03</w:t>
            </w:r>
          </w:p>
        </w:tc>
      </w:tr>
      <w:tr w14:paraId="0C6C4582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F46C3C">
            <w:pPr>
              <w:widowControl/>
              <w:jc w:val="left"/>
              <w:textAlignment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GO: 0102804</w:t>
            </w:r>
          </w:p>
        </w:tc>
        <w:tc>
          <w:tcPr>
            <w:tcW w:w="38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E91A1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bookmarkStart w:id="15" w:name="OLE_LINK95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oripavine 6-O-demethylase activity</w:t>
            </w:r>
            <w:bookmarkEnd w:id="15"/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9A5AC3">
            <w:pPr>
              <w:widowControl/>
              <w:jc w:val="left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98E174">
            <w:pPr>
              <w:widowControl/>
              <w:jc w:val="left"/>
              <w:textAlignment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1.31E-05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0DE73A">
            <w:pPr>
              <w:widowControl/>
              <w:jc w:val="left"/>
              <w:textAlignment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3.63E-03</w:t>
            </w:r>
          </w:p>
        </w:tc>
      </w:tr>
      <w:tr w14:paraId="59E7F838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" w:hRule="atLeast"/>
          <w:jc w:val="center"/>
        </w:trPr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B350DD">
            <w:pPr>
              <w:widowControl/>
              <w:jc w:val="left"/>
              <w:textAlignment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GO: 0102802</w:t>
            </w:r>
          </w:p>
        </w:tc>
        <w:tc>
          <w:tcPr>
            <w:tcW w:w="38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31F072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bookmarkStart w:id="16" w:name="OLE_LINK98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thebaine 6-O-</w:t>
            </w:r>
            <w:bookmarkEnd w:id="16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demethylase activity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E22E2B">
            <w:pPr>
              <w:widowControl/>
              <w:jc w:val="left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11D88D">
            <w:pPr>
              <w:widowControl/>
              <w:jc w:val="left"/>
              <w:textAlignment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1.31E-05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AD6427">
            <w:pPr>
              <w:widowControl/>
              <w:jc w:val="left"/>
              <w:textAlignment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3.63E-03</w:t>
            </w:r>
          </w:p>
        </w:tc>
      </w:tr>
      <w:tr w14:paraId="387D2206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2A6432">
            <w:pPr>
              <w:widowControl/>
              <w:jc w:val="left"/>
              <w:textAlignment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GO: 0043177</w:t>
            </w:r>
          </w:p>
        </w:tc>
        <w:tc>
          <w:tcPr>
            <w:tcW w:w="38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52A28F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organic acid binding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334455">
            <w:pPr>
              <w:widowControl/>
              <w:jc w:val="left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D13870">
            <w:pPr>
              <w:widowControl/>
              <w:jc w:val="left"/>
              <w:textAlignment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2.04E-05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6EE613">
            <w:pPr>
              <w:widowControl/>
              <w:jc w:val="left"/>
              <w:textAlignment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5.06E-03</w:t>
            </w:r>
          </w:p>
        </w:tc>
      </w:tr>
      <w:tr w14:paraId="6022FB79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8EFFB8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GO: 0031406</w:t>
            </w:r>
          </w:p>
        </w:tc>
        <w:tc>
          <w:tcPr>
            <w:tcW w:w="38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F510E3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carboxylic acid binding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957C2D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C9AE87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2.20E-05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394542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5.06E-03</w:t>
            </w:r>
          </w:p>
        </w:tc>
      </w:tr>
      <w:tr w14:paraId="22B9A2AE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8387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162C98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25d </w:t>
            </w:r>
            <w:r>
              <w:rPr>
                <w:rFonts w:ascii="Times New Roman" w:hAnsi="Times New Roman"/>
                <w:bCs/>
                <w:color w:val="000000"/>
                <w:kern w:val="0"/>
                <w:sz w:val="20"/>
                <w:szCs w:val="20"/>
              </w:rPr>
              <w:t>down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</w:t>
            </w:r>
            <w:r>
              <w:rPr>
                <w:rFonts w:ascii="Times New Roman" w:hAnsi="Times New Roman"/>
                <w:bCs/>
                <w:color w:val="000000"/>
                <w:kern w:val="0"/>
                <w:sz w:val="20"/>
                <w:szCs w:val="20"/>
              </w:rPr>
              <w:t>regulate</w:t>
            </w:r>
          </w:p>
        </w:tc>
      </w:tr>
      <w:tr w14:paraId="7B6EDA4B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  <w:jc w:val="center"/>
        </w:trPr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A2B06C">
            <w:pPr>
              <w:widowControl/>
              <w:jc w:val="left"/>
              <w:textAlignment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GO: 0009765</w:t>
            </w:r>
          </w:p>
        </w:tc>
        <w:tc>
          <w:tcPr>
            <w:tcW w:w="38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56F673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bookmarkStart w:id="17" w:name="OLE_LINK88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photosynthesis, light harvesting</w:t>
            </w:r>
            <w:bookmarkEnd w:id="17"/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39841A">
            <w:pPr>
              <w:widowControl/>
              <w:jc w:val="left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8DA99F">
            <w:pPr>
              <w:widowControl/>
              <w:jc w:val="left"/>
              <w:textAlignment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1.37E-10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B0F9E1">
            <w:pPr>
              <w:widowControl/>
              <w:jc w:val="left"/>
              <w:textAlignment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6.00E-07</w:t>
            </w:r>
          </w:p>
        </w:tc>
      </w:tr>
      <w:tr w14:paraId="082CFC92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B959DE">
            <w:pPr>
              <w:widowControl/>
              <w:jc w:val="left"/>
              <w:textAlignment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GO: 0009522</w:t>
            </w:r>
          </w:p>
        </w:tc>
        <w:tc>
          <w:tcPr>
            <w:tcW w:w="38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B985C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photosystem I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4DB487">
            <w:pPr>
              <w:widowControl/>
              <w:jc w:val="left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13707E">
            <w:pPr>
              <w:widowControl/>
              <w:jc w:val="left"/>
              <w:textAlignment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8.75E-08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CF5643">
            <w:pPr>
              <w:widowControl/>
              <w:jc w:val="left"/>
              <w:textAlignment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2.52E-05</w:t>
            </w:r>
          </w:p>
        </w:tc>
      </w:tr>
      <w:tr w14:paraId="3335F134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E2114E">
            <w:pPr>
              <w:widowControl/>
              <w:jc w:val="left"/>
              <w:textAlignment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GO: 0009523</w:t>
            </w:r>
          </w:p>
        </w:tc>
        <w:tc>
          <w:tcPr>
            <w:tcW w:w="38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BEB3E1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photosystem II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0790B6">
            <w:pPr>
              <w:widowControl/>
              <w:jc w:val="left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476505">
            <w:pPr>
              <w:widowControl/>
              <w:jc w:val="left"/>
              <w:textAlignment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1.31E-07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FB2E90">
            <w:pPr>
              <w:widowControl/>
              <w:jc w:val="left"/>
              <w:textAlignment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2.84E-05</w:t>
            </w:r>
          </w:p>
        </w:tc>
      </w:tr>
      <w:tr w14:paraId="16A3B6E6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7315C8">
            <w:pPr>
              <w:widowControl/>
              <w:jc w:val="left"/>
              <w:textAlignment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GO: 0050896</w:t>
            </w:r>
          </w:p>
        </w:tc>
        <w:tc>
          <w:tcPr>
            <w:tcW w:w="38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1774D8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response to stimulus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EA5E7A">
            <w:pPr>
              <w:widowControl/>
              <w:jc w:val="left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138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37709F">
            <w:pPr>
              <w:widowControl/>
              <w:jc w:val="left"/>
              <w:textAlignment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7.30E-08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E858CE">
            <w:pPr>
              <w:widowControl/>
              <w:jc w:val="left"/>
              <w:textAlignment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1.07E-04</w:t>
            </w:r>
          </w:p>
        </w:tc>
      </w:tr>
      <w:tr w14:paraId="6EFCE5B3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AC43CA">
            <w:pPr>
              <w:widowControl/>
              <w:jc w:val="left"/>
              <w:textAlignment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GO: 0009768</w:t>
            </w:r>
          </w:p>
        </w:tc>
        <w:tc>
          <w:tcPr>
            <w:tcW w:w="38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B152A1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bookmarkStart w:id="18" w:name="OLE_LINK45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photosynthesis, light harvesting in photosystem I</w:t>
            </w:r>
            <w:bookmarkEnd w:id="18"/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BBD7CE">
            <w:pPr>
              <w:widowControl/>
              <w:jc w:val="left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52FA90">
            <w:pPr>
              <w:widowControl/>
              <w:jc w:val="left"/>
              <w:textAlignment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1.23E-07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63428E">
            <w:pPr>
              <w:widowControl/>
              <w:jc w:val="left"/>
              <w:textAlignment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1.35E-04</w:t>
            </w:r>
          </w:p>
        </w:tc>
      </w:tr>
      <w:tr w14:paraId="15433EB8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04F2FE">
            <w:pPr>
              <w:widowControl/>
              <w:jc w:val="left"/>
              <w:textAlignment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GO: 0006826</w:t>
            </w:r>
          </w:p>
        </w:tc>
        <w:tc>
          <w:tcPr>
            <w:tcW w:w="38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EAFAEE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bookmarkStart w:id="19" w:name="OLE_LINK92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ir</w:t>
            </w:r>
            <w:bookmarkEnd w:id="19"/>
            <w:r>
              <w:rPr>
                <w:rFonts w:ascii="Times New Roman" w:hAnsi="Times New Roman"/>
                <w:kern w:val="0"/>
                <w:sz w:val="20"/>
                <w:szCs w:val="20"/>
              </w:rPr>
              <w:t>on ion transport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A92B4B">
            <w:pPr>
              <w:widowControl/>
              <w:jc w:val="left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EEA3E1">
            <w:pPr>
              <w:widowControl/>
              <w:jc w:val="left"/>
              <w:textAlignment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1.97E-07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11BB16">
            <w:pPr>
              <w:widowControl/>
              <w:jc w:val="left"/>
              <w:textAlignment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1.73E-04</w:t>
            </w:r>
          </w:p>
        </w:tc>
      </w:tr>
      <w:tr w14:paraId="22123D47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C9D8E8">
            <w:pPr>
              <w:widowControl/>
              <w:jc w:val="left"/>
              <w:textAlignment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GO: 0016168</w:t>
            </w:r>
          </w:p>
        </w:tc>
        <w:tc>
          <w:tcPr>
            <w:tcW w:w="38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9321BD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chlorophyll binding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8200E3">
            <w:pPr>
              <w:widowControl/>
              <w:jc w:val="left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68EB43">
            <w:pPr>
              <w:widowControl/>
              <w:jc w:val="left"/>
              <w:textAlignment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1.89E-07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1671A3">
            <w:pPr>
              <w:widowControl/>
              <w:jc w:val="left"/>
              <w:textAlignment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1.74E-04</w:t>
            </w:r>
          </w:p>
        </w:tc>
      </w:tr>
      <w:tr w14:paraId="0E8A6EA9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C59613">
            <w:pPr>
              <w:widowControl/>
              <w:jc w:val="left"/>
              <w:textAlignment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GO: 0009521</w:t>
            </w:r>
          </w:p>
        </w:tc>
        <w:tc>
          <w:tcPr>
            <w:tcW w:w="38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1B231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Photosystem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1E923B">
            <w:pPr>
              <w:widowControl/>
              <w:jc w:val="left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DCCFF4">
            <w:pPr>
              <w:widowControl/>
              <w:jc w:val="left"/>
              <w:textAlignment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1.15E-06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229A69">
            <w:pPr>
              <w:widowControl/>
              <w:jc w:val="left"/>
              <w:textAlignment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1.98E-04</w:t>
            </w:r>
          </w:p>
        </w:tc>
      </w:tr>
      <w:tr w14:paraId="1DA9ABDB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C40BEE">
            <w:pPr>
              <w:widowControl/>
              <w:jc w:val="left"/>
              <w:textAlignment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GO: 0004322</w:t>
            </w:r>
          </w:p>
        </w:tc>
        <w:tc>
          <w:tcPr>
            <w:tcW w:w="38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0A8EB0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ferroxidase activity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10DF0F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4A3C96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8.98E-07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02FCD1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4.96E-04</w:t>
            </w:r>
          </w:p>
        </w:tc>
      </w:tr>
      <w:tr w14:paraId="2DA5E1D4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32A071">
            <w:pPr>
              <w:widowControl/>
              <w:jc w:val="left"/>
              <w:textAlignment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GO: 0016724</w:t>
            </w:r>
          </w:p>
        </w:tc>
        <w:tc>
          <w:tcPr>
            <w:tcW w:w="38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41C526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oxidoreductase activity, acting on metal ions, oxygen as acceptor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352231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6D6E0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8.98E-07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237756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4.96E-04</w:t>
            </w:r>
          </w:p>
        </w:tc>
      </w:tr>
      <w:tr w14:paraId="4E6F646C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  <w:jc w:val="center"/>
        </w:trPr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D555B6">
            <w:pPr>
              <w:widowControl/>
              <w:jc w:val="left"/>
              <w:textAlignment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GO: 0006950</w:t>
            </w:r>
          </w:p>
        </w:tc>
        <w:tc>
          <w:tcPr>
            <w:tcW w:w="38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45FCD6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response to stress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016FC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102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2A6E41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1.96E-06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D46D3B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9.56E-04</w:t>
            </w:r>
          </w:p>
        </w:tc>
      </w:tr>
      <w:tr w14:paraId="37644D19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6C725B">
            <w:pPr>
              <w:widowControl/>
              <w:jc w:val="left"/>
              <w:textAlignment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GO: 0008199</w:t>
            </w:r>
          </w:p>
        </w:tc>
        <w:tc>
          <w:tcPr>
            <w:tcW w:w="38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6BCED9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ferric iron binding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EB20BE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53DE8E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3.86E-06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8DDD02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1.77E-03</w:t>
            </w:r>
          </w:p>
        </w:tc>
      </w:tr>
      <w:tr w14:paraId="0853765C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EE9AD7">
            <w:pPr>
              <w:widowControl/>
              <w:jc w:val="left"/>
              <w:textAlignment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GO: 0006952</w:t>
            </w:r>
          </w:p>
        </w:tc>
        <w:tc>
          <w:tcPr>
            <w:tcW w:w="38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B6ED0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defense response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AF9429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57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D3BD57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4.77E-06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138147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1.90E-03</w:t>
            </w:r>
          </w:p>
        </w:tc>
      </w:tr>
      <w:tr w14:paraId="10287E20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F05AC0">
            <w:pPr>
              <w:widowControl/>
              <w:jc w:val="left"/>
              <w:textAlignment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GO: 0006879</w:t>
            </w:r>
          </w:p>
        </w:tc>
        <w:tc>
          <w:tcPr>
            <w:tcW w:w="38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D63B7D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cellular iron ion homeostasis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B4E5AE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DC11AF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1.84E-05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9F5FBC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5.38E-03</w:t>
            </w:r>
          </w:p>
        </w:tc>
      </w:tr>
      <w:tr w14:paraId="2095426E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8387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7B4865">
            <w:pPr>
              <w:widowControl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35d </w:t>
            </w:r>
            <w:r>
              <w:rPr>
                <w:rFonts w:ascii="Times New Roman" w:hAnsi="Times New Roman"/>
                <w:bCs/>
                <w:color w:val="000000"/>
                <w:kern w:val="0"/>
                <w:sz w:val="20"/>
                <w:szCs w:val="20"/>
              </w:rPr>
              <w:t>up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</w:t>
            </w:r>
            <w:r>
              <w:rPr>
                <w:rFonts w:ascii="Times New Roman" w:hAnsi="Times New Roman"/>
                <w:bCs/>
                <w:color w:val="000000"/>
                <w:kern w:val="0"/>
                <w:sz w:val="20"/>
                <w:szCs w:val="20"/>
              </w:rPr>
              <w:t>regulate</w:t>
            </w:r>
          </w:p>
        </w:tc>
      </w:tr>
      <w:tr w14:paraId="48DE1CF8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2233A1">
            <w:pPr>
              <w:widowControl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GO: 0016705</w:t>
            </w:r>
          </w:p>
        </w:tc>
        <w:tc>
          <w:tcPr>
            <w:tcW w:w="38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236DC5">
            <w:pPr>
              <w:widowControl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oxidoreductase activity, acting on paired donors, with incorporation or reduction of molecular oxygen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3706F0">
            <w:pPr>
              <w:widowControl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85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12265E">
            <w:pPr>
              <w:widowControl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4.83E-15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569D51">
            <w:pPr>
              <w:widowControl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1.33E-11</w:t>
            </w:r>
          </w:p>
        </w:tc>
      </w:tr>
      <w:tr w14:paraId="3BC59D73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0A2931">
            <w:pPr>
              <w:widowControl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GO: 0006952</w:t>
            </w:r>
          </w:p>
        </w:tc>
        <w:tc>
          <w:tcPr>
            <w:tcW w:w="38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DB0122">
            <w:pPr>
              <w:widowControl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defense response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C7685D">
            <w:pPr>
              <w:widowControl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125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FBB119">
            <w:pPr>
              <w:widowControl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2.02E-14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C5C28F">
            <w:pPr>
              <w:widowControl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2.97E-11</w:t>
            </w:r>
          </w:p>
        </w:tc>
      </w:tr>
      <w:tr w14:paraId="273EC9E1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3612C8">
            <w:pPr>
              <w:widowControl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GO: 0050896</w:t>
            </w:r>
          </w:p>
        </w:tc>
        <w:tc>
          <w:tcPr>
            <w:tcW w:w="38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7B3981">
            <w:pPr>
              <w:widowControl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response to stimulus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59E233">
            <w:pPr>
              <w:widowControl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272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47C4A5">
            <w:pPr>
              <w:widowControl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5.23E-13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4FF38A">
            <w:pPr>
              <w:widowControl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3.83E-10</w:t>
            </w:r>
          </w:p>
        </w:tc>
      </w:tr>
      <w:tr w14:paraId="4E6BFC5B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D380ED">
            <w:pPr>
              <w:widowControl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GO: 0030247</w:t>
            </w:r>
          </w:p>
        </w:tc>
        <w:tc>
          <w:tcPr>
            <w:tcW w:w="38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05C2D1">
            <w:pPr>
              <w:widowControl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polysaccharide binding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0F80AE">
            <w:pPr>
              <w:widowControl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C841E4">
            <w:pPr>
              <w:widowControl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2.12E-12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94BEE3">
            <w:pPr>
              <w:widowControl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2.93E-09</w:t>
            </w:r>
          </w:p>
        </w:tc>
      </w:tr>
      <w:tr w14:paraId="1766A572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BD0C7F">
            <w:pPr>
              <w:widowControl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GO: 0020037</w:t>
            </w:r>
          </w:p>
        </w:tc>
        <w:tc>
          <w:tcPr>
            <w:tcW w:w="38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952B05">
            <w:pPr>
              <w:widowControl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heme binding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A03237">
            <w:pPr>
              <w:widowControl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B321D3">
            <w:pPr>
              <w:widowControl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5.45E-11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257E2E">
            <w:pPr>
              <w:widowControl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3.98E-08</w:t>
            </w:r>
          </w:p>
        </w:tc>
      </w:tr>
      <w:tr w14:paraId="1B2B93B6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E5CE45">
            <w:pPr>
              <w:widowControl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GO: 0004497</w:t>
            </w:r>
          </w:p>
        </w:tc>
        <w:tc>
          <w:tcPr>
            <w:tcW w:w="38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270E53">
            <w:pPr>
              <w:widowControl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monooxygenase activity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5D5726">
            <w:pPr>
              <w:widowControl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63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E53434">
            <w:pPr>
              <w:widowControl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5.77E-11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10A234">
            <w:pPr>
              <w:widowControl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3.98E-08</w:t>
            </w:r>
          </w:p>
        </w:tc>
      </w:tr>
      <w:tr w14:paraId="272FD3F6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CE7964">
            <w:pPr>
              <w:widowControl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GO: 0003700</w:t>
            </w:r>
          </w:p>
        </w:tc>
        <w:tc>
          <w:tcPr>
            <w:tcW w:w="38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13EE16">
            <w:pPr>
              <w:widowControl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DNA-binding transcription factor activity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A1861A">
            <w:pPr>
              <w:widowControl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127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A2718E">
            <w:pPr>
              <w:widowControl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8.12E-11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EB33D2">
            <w:pPr>
              <w:widowControl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4.48E-08</w:t>
            </w:r>
          </w:p>
        </w:tc>
      </w:tr>
      <w:tr w14:paraId="4D7741CF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E34195">
            <w:pPr>
              <w:widowControl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GO: 0006950</w:t>
            </w:r>
          </w:p>
        </w:tc>
        <w:tc>
          <w:tcPr>
            <w:tcW w:w="38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57DA54">
            <w:pPr>
              <w:widowControl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response to stress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5FA342">
            <w:pPr>
              <w:widowControl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199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06CD2D">
            <w:pPr>
              <w:widowControl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4.05E-10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FA2C03">
            <w:pPr>
              <w:widowControl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1.98E-07</w:t>
            </w:r>
          </w:p>
        </w:tc>
      </w:tr>
      <w:tr w14:paraId="0D45D939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24906A">
            <w:pPr>
              <w:widowControl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GO: 0106310</w:t>
            </w:r>
          </w:p>
        </w:tc>
        <w:tc>
          <w:tcPr>
            <w:tcW w:w="38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C53A20">
            <w:pPr>
              <w:widowControl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protein serine kinase activity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53D523">
            <w:pPr>
              <w:widowControl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246EB0">
            <w:pPr>
              <w:widowControl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1.42E-09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B74103">
            <w:pPr>
              <w:widowControl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6.53E-07</w:t>
            </w:r>
          </w:p>
        </w:tc>
      </w:tr>
      <w:tr w14:paraId="2D9147F0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  <w:jc w:val="center"/>
        </w:trPr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AB1DF9">
            <w:pPr>
              <w:widowControl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GO: 0140110</w:t>
            </w:r>
          </w:p>
        </w:tc>
        <w:tc>
          <w:tcPr>
            <w:tcW w:w="38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A9B11F">
            <w:pPr>
              <w:widowControl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transcription regulator activity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FCE008">
            <w:pPr>
              <w:widowControl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131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2B70CA">
            <w:pPr>
              <w:widowControl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2.67E-09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92E613">
            <w:pPr>
              <w:widowControl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1.05E-06</w:t>
            </w:r>
          </w:p>
        </w:tc>
      </w:tr>
      <w:tr w14:paraId="561AC9A1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817E48">
            <w:pPr>
              <w:widowControl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GO: 0005506</w:t>
            </w:r>
          </w:p>
        </w:tc>
        <w:tc>
          <w:tcPr>
            <w:tcW w:w="38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D65D8F">
            <w:pPr>
              <w:widowControl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iron ion binding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D002C7">
            <w:pPr>
              <w:widowControl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075F3E">
            <w:pPr>
              <w:widowControl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3.51E-09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DD83EC">
            <w:pPr>
              <w:widowControl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1.21E-06</w:t>
            </w:r>
          </w:p>
        </w:tc>
      </w:tr>
      <w:tr w14:paraId="174E1A69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B5F79C">
            <w:pPr>
              <w:widowControl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GO: 0046906</w:t>
            </w:r>
          </w:p>
        </w:tc>
        <w:tc>
          <w:tcPr>
            <w:tcW w:w="38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E8F882">
            <w:pPr>
              <w:widowControl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tetrapyrrole binding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926F17">
            <w:pPr>
              <w:widowControl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BC935B">
            <w:pPr>
              <w:widowControl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8.30E-09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6DE745">
            <w:pPr>
              <w:widowControl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2.29E-06</w:t>
            </w:r>
          </w:p>
        </w:tc>
      </w:tr>
      <w:tr w14:paraId="2B0C1EAF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57E78B">
            <w:pPr>
              <w:widowControl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GO: 0030246</w:t>
            </w:r>
          </w:p>
        </w:tc>
        <w:tc>
          <w:tcPr>
            <w:tcW w:w="38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5A7838">
            <w:pPr>
              <w:widowControl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carbohydrate binding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C2C313">
            <w:pPr>
              <w:widowControl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52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C29BB9">
            <w:pPr>
              <w:widowControl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1.01E-08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DCF0BC">
            <w:pPr>
              <w:widowControl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2.53E-06</w:t>
            </w:r>
          </w:p>
        </w:tc>
      </w:tr>
      <w:tr w14:paraId="53D6910F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01F6DF">
            <w:pPr>
              <w:widowControl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GO: 0009698</w:t>
            </w:r>
          </w:p>
        </w:tc>
        <w:tc>
          <w:tcPr>
            <w:tcW w:w="38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686D93">
            <w:pPr>
              <w:widowControl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phenylpropanoid metabolic process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4092D1">
            <w:pPr>
              <w:widowControl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44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4D43C7">
            <w:pPr>
              <w:widowControl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1.64E-08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2DF9D7">
            <w:pPr>
              <w:widowControl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5.99E-06</w:t>
            </w:r>
          </w:p>
        </w:tc>
      </w:tr>
      <w:tr w14:paraId="05162ABC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87D220">
            <w:pPr>
              <w:widowControl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GO: 0044550</w:t>
            </w:r>
          </w:p>
        </w:tc>
        <w:tc>
          <w:tcPr>
            <w:tcW w:w="38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950220">
            <w:pPr>
              <w:widowControl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secondary metabolite biosynthetic process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7F39B3">
            <w:pPr>
              <w:widowControl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36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D56B15">
            <w:pPr>
              <w:widowControl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1.87E-08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79E369">
            <w:pPr>
              <w:widowControl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6.34E-06</w:t>
            </w:r>
          </w:p>
        </w:tc>
      </w:tr>
      <w:tr w14:paraId="3AF10154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8387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721DE0">
            <w:pPr>
              <w:widowControl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25d </w:t>
            </w:r>
            <w:r>
              <w:rPr>
                <w:rFonts w:ascii="Times New Roman" w:hAnsi="Times New Roman"/>
                <w:bCs/>
                <w:color w:val="000000"/>
                <w:kern w:val="0"/>
                <w:sz w:val="20"/>
                <w:szCs w:val="20"/>
              </w:rPr>
              <w:t>down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</w:t>
            </w:r>
            <w:r>
              <w:rPr>
                <w:rFonts w:ascii="Times New Roman" w:hAnsi="Times New Roman"/>
                <w:bCs/>
                <w:color w:val="000000"/>
                <w:kern w:val="0"/>
                <w:sz w:val="20"/>
                <w:szCs w:val="20"/>
              </w:rPr>
              <w:t>regulate</w:t>
            </w:r>
          </w:p>
        </w:tc>
      </w:tr>
      <w:tr w14:paraId="0B89ECA6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CCBD05">
            <w:pPr>
              <w:widowControl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GO: 0009522</w:t>
            </w:r>
          </w:p>
        </w:tc>
        <w:tc>
          <w:tcPr>
            <w:tcW w:w="38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7C49ED">
            <w:pPr>
              <w:widowControl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photosystem I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2CCC28">
            <w:pPr>
              <w:widowControl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23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A10A2E">
            <w:pPr>
              <w:widowControl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2.63E-19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102C8D">
            <w:pPr>
              <w:widowControl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2.27E-16</w:t>
            </w:r>
          </w:p>
        </w:tc>
      </w:tr>
      <w:tr w14:paraId="2C14D357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486476">
            <w:pPr>
              <w:widowControl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GO: 0009765</w:t>
            </w:r>
          </w:p>
        </w:tc>
        <w:tc>
          <w:tcPr>
            <w:tcW w:w="38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42D9A3">
            <w:pPr>
              <w:widowControl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photosynthesis, light harvesting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A402BA">
            <w:pPr>
              <w:widowControl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098278">
            <w:pPr>
              <w:widowControl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5.99E-20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DF1AD3">
            <w:pPr>
              <w:widowControl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2.63E-16</w:t>
            </w:r>
          </w:p>
        </w:tc>
      </w:tr>
      <w:tr w14:paraId="23CE5ED3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FC7D68">
            <w:pPr>
              <w:widowControl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GO: 0009521</w:t>
            </w:r>
          </w:p>
        </w:tc>
        <w:tc>
          <w:tcPr>
            <w:tcW w:w="38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63DF97">
            <w:pPr>
              <w:widowControl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Photosystem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857168">
            <w:pPr>
              <w:widowControl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5C7C8B">
            <w:pPr>
              <w:widowControl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1.03E-17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22D191">
            <w:pPr>
              <w:widowControl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4.46E-15</w:t>
            </w:r>
          </w:p>
        </w:tc>
      </w:tr>
      <w:tr w14:paraId="5345669F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189281">
            <w:pPr>
              <w:widowControl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GO: 0009523</w:t>
            </w:r>
          </w:p>
        </w:tc>
        <w:tc>
          <w:tcPr>
            <w:tcW w:w="38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B92E24">
            <w:pPr>
              <w:widowControl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photosystem II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2BD54C">
            <w:pPr>
              <w:widowControl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A2A39E">
            <w:pPr>
              <w:widowControl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1.24E-15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6BCA87">
            <w:pPr>
              <w:widowControl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3.56E-13</w:t>
            </w:r>
          </w:p>
        </w:tc>
      </w:tr>
      <w:tr w14:paraId="450662E0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7EC9D7">
            <w:pPr>
              <w:widowControl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GO: 0015979</w:t>
            </w:r>
          </w:p>
        </w:tc>
        <w:tc>
          <w:tcPr>
            <w:tcW w:w="38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11FC0C">
            <w:pPr>
              <w:widowControl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Photosynthesis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FF2205">
            <w:pPr>
              <w:widowControl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31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C8BC22">
            <w:pPr>
              <w:widowControl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7.37E-16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E64589">
            <w:pPr>
              <w:widowControl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1.62E-12</w:t>
            </w:r>
          </w:p>
        </w:tc>
      </w:tr>
      <w:tr w14:paraId="0A99590C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0BF781">
            <w:pPr>
              <w:widowControl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GO: 0016168</w:t>
            </w:r>
          </w:p>
        </w:tc>
        <w:tc>
          <w:tcPr>
            <w:tcW w:w="38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22D851">
            <w:pPr>
              <w:widowControl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chlorophyll binding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D18E11">
            <w:pPr>
              <w:widowControl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43F891">
            <w:pPr>
              <w:widowControl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4.74E-15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A3BD14">
            <w:pPr>
              <w:widowControl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6.54E-12</w:t>
            </w:r>
          </w:p>
        </w:tc>
      </w:tr>
      <w:tr w14:paraId="1222583E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  <w:jc w:val="center"/>
        </w:trPr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F9DE5A">
            <w:pPr>
              <w:widowControl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GO: 0009535</w:t>
            </w:r>
          </w:p>
        </w:tc>
        <w:tc>
          <w:tcPr>
            <w:tcW w:w="38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D3F6FE">
            <w:pPr>
              <w:widowControl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chloroplast thylakoid membrane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B72F02">
            <w:pPr>
              <w:widowControl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43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935D88">
            <w:pPr>
              <w:widowControl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1.72E-13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780346">
            <w:pPr>
              <w:widowControl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2.97E-11</w:t>
            </w:r>
          </w:p>
        </w:tc>
      </w:tr>
      <w:tr w14:paraId="335BE33A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A004C2">
            <w:pPr>
              <w:widowControl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GO: 0055035</w:t>
            </w:r>
          </w:p>
        </w:tc>
        <w:tc>
          <w:tcPr>
            <w:tcW w:w="38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E37631">
            <w:pPr>
              <w:widowControl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plastid thylakoid membrane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3A2F55">
            <w:pPr>
              <w:widowControl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43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36C1B3">
            <w:pPr>
              <w:widowControl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1.72E-13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B1A035">
            <w:pPr>
              <w:widowControl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2.97E-11</w:t>
            </w:r>
          </w:p>
        </w:tc>
      </w:tr>
      <w:tr w14:paraId="26C5AD60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28F6F8">
            <w:pPr>
              <w:widowControl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GO: 0009768</w:t>
            </w:r>
          </w:p>
        </w:tc>
        <w:tc>
          <w:tcPr>
            <w:tcW w:w="38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976C33">
            <w:pPr>
              <w:widowControl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photosynthesis, light harvesting in photosystem I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1EADC8">
            <w:pPr>
              <w:widowControl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FD8F8D">
            <w:pPr>
              <w:widowControl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3.76E-14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78C90D">
            <w:pPr>
              <w:widowControl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5.51E-11</w:t>
            </w:r>
          </w:p>
        </w:tc>
      </w:tr>
      <w:tr w14:paraId="25CDB1AF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98FCF4">
            <w:pPr>
              <w:widowControl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GO: 0042651</w:t>
            </w:r>
          </w:p>
        </w:tc>
        <w:tc>
          <w:tcPr>
            <w:tcW w:w="38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2CD9E4">
            <w:pPr>
              <w:widowControl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thylakoid membrane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AFFFB3">
            <w:pPr>
              <w:widowControl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43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F11547">
            <w:pPr>
              <w:widowControl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4.57E-13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C9EE73">
            <w:pPr>
              <w:widowControl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5.64E-11</w:t>
            </w:r>
          </w:p>
        </w:tc>
      </w:tr>
      <w:tr w14:paraId="0C995925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263C5F">
            <w:pPr>
              <w:widowControl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GO: 0034357</w:t>
            </w:r>
          </w:p>
        </w:tc>
        <w:tc>
          <w:tcPr>
            <w:tcW w:w="38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E6F262">
            <w:pPr>
              <w:widowControl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photosynthetic membrane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ED8CB1">
            <w:pPr>
              <w:widowControl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43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3B3C23">
            <w:pPr>
              <w:widowControl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4.57E-13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7F02BF">
            <w:pPr>
              <w:widowControl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5.64E-11</w:t>
            </w:r>
          </w:p>
        </w:tc>
      </w:tr>
      <w:tr w14:paraId="44F439F9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FD8860">
            <w:pPr>
              <w:widowControl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GO: 0009538</w:t>
            </w:r>
          </w:p>
        </w:tc>
        <w:tc>
          <w:tcPr>
            <w:tcW w:w="38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65C3F6">
            <w:pPr>
              <w:widowControl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photosystem I reaction center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1B7C3A">
            <w:pPr>
              <w:widowControl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7977F7">
            <w:pPr>
              <w:widowControl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3.35E-12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FC0FBB">
            <w:pPr>
              <w:widowControl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3.62E-10</w:t>
            </w:r>
          </w:p>
        </w:tc>
      </w:tr>
      <w:tr w14:paraId="0FF98A89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60D268">
            <w:pPr>
              <w:widowControl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GO: 0042170</w:t>
            </w:r>
          </w:p>
        </w:tc>
        <w:tc>
          <w:tcPr>
            <w:tcW w:w="38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74CE86">
            <w:pPr>
              <w:widowControl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plastid membrane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23D65A">
            <w:pPr>
              <w:widowControl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E31535">
            <w:pPr>
              <w:widowControl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1.38E-11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B17C48">
            <w:pPr>
              <w:widowControl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1.33E-09</w:t>
            </w:r>
          </w:p>
        </w:tc>
      </w:tr>
      <w:tr w14:paraId="5C746B1F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445BF8">
            <w:pPr>
              <w:widowControl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GO: 0098796</w:t>
            </w:r>
          </w:p>
        </w:tc>
        <w:tc>
          <w:tcPr>
            <w:tcW w:w="38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892DC2">
            <w:pPr>
              <w:widowControl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membrane protein complex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AD3E46">
            <w:pPr>
              <w:widowControl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3AD242">
            <w:pPr>
              <w:widowControl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9.79E-08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A0E4BF">
            <w:pPr>
              <w:widowControl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8.46E-06</w:t>
            </w:r>
          </w:p>
        </w:tc>
      </w:tr>
      <w:tr w14:paraId="5E67309D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491" w:type="dxa"/>
            <w:tcBorders>
              <w:top w:val="nil"/>
              <w:left w:val="nil"/>
              <w:bottom w:val="single" w:color="000000" w:sz="12" w:space="0"/>
              <w:right w:val="nil"/>
            </w:tcBorders>
            <w:vAlign w:val="center"/>
          </w:tcPr>
          <w:p w14:paraId="793E6823">
            <w:pPr>
              <w:widowControl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GO: 0044262</w:t>
            </w:r>
          </w:p>
        </w:tc>
        <w:tc>
          <w:tcPr>
            <w:tcW w:w="3876" w:type="dxa"/>
            <w:tcBorders>
              <w:top w:val="nil"/>
              <w:left w:val="nil"/>
              <w:bottom w:val="single" w:color="000000" w:sz="12" w:space="0"/>
              <w:right w:val="nil"/>
            </w:tcBorders>
            <w:vAlign w:val="center"/>
          </w:tcPr>
          <w:p w14:paraId="6A2E0BC9">
            <w:pPr>
              <w:widowControl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cellular carbohydrate metabolic process</w:t>
            </w:r>
          </w:p>
        </w:tc>
        <w:tc>
          <w:tcPr>
            <w:tcW w:w="745" w:type="dxa"/>
            <w:tcBorders>
              <w:top w:val="nil"/>
              <w:left w:val="nil"/>
              <w:bottom w:val="single" w:color="000000" w:sz="12" w:space="0"/>
              <w:right w:val="nil"/>
            </w:tcBorders>
            <w:vAlign w:val="center"/>
          </w:tcPr>
          <w:p w14:paraId="03870EA4">
            <w:pPr>
              <w:widowControl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44</w:t>
            </w:r>
          </w:p>
        </w:tc>
        <w:tc>
          <w:tcPr>
            <w:tcW w:w="1043" w:type="dxa"/>
            <w:tcBorders>
              <w:top w:val="nil"/>
              <w:left w:val="nil"/>
              <w:bottom w:val="single" w:color="000000" w:sz="12" w:space="0"/>
              <w:right w:val="nil"/>
            </w:tcBorders>
            <w:vAlign w:val="center"/>
          </w:tcPr>
          <w:p w14:paraId="6F495D47">
            <w:pPr>
              <w:widowControl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2.21E-08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000000" w:sz="12" w:space="0"/>
              <w:right w:val="nil"/>
            </w:tcBorders>
            <w:vAlign w:val="center"/>
          </w:tcPr>
          <w:p w14:paraId="6C8C535E">
            <w:pPr>
              <w:widowControl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1.62E-05</w:t>
            </w:r>
          </w:p>
        </w:tc>
      </w:tr>
    </w:tbl>
    <w:p w14:paraId="37C0CD6E">
      <w:pPr>
        <w:spacing w:line="360" w:lineRule="auto"/>
      </w:pPr>
      <w:r>
        <w:rPr>
          <w:rFonts w:ascii="Times New Roman" w:hAnsi="Times New Roman"/>
          <w:color w:val="000000"/>
          <w:kern w:val="0"/>
        </w:rPr>
        <w:t xml:space="preserve">Note: GO ID: Gene Ontology </w:t>
      </w:r>
      <w:r>
        <w:rPr>
          <w:rFonts w:hint="eastAsia" w:ascii="Times New Roman" w:hAnsi="Times New Roman"/>
          <w:color w:val="000000"/>
          <w:kern w:val="0"/>
        </w:rPr>
        <w:t>(</w:t>
      </w:r>
      <w:r>
        <w:rPr>
          <w:rFonts w:ascii="Times New Roman" w:hAnsi="Times New Roman"/>
          <w:color w:val="000000"/>
          <w:kern w:val="0"/>
        </w:rPr>
        <w:t>GO</w:t>
      </w:r>
      <w:r>
        <w:rPr>
          <w:rFonts w:hint="eastAsia" w:ascii="Times New Roman" w:hAnsi="Times New Roman"/>
          <w:color w:val="000000"/>
          <w:kern w:val="0"/>
        </w:rPr>
        <w:t>)</w:t>
      </w:r>
      <w:r>
        <w:rPr>
          <w:rFonts w:ascii="Times New Roman" w:hAnsi="Times New Roman"/>
          <w:color w:val="000000"/>
          <w:kern w:val="0"/>
        </w:rPr>
        <w:t xml:space="preserve"> pathway</w:t>
      </w:r>
      <w:r>
        <w:rPr>
          <w:rFonts w:hint="eastAsia" w:ascii="Times New Roman" w:hAnsi="Times New Roman"/>
          <w:color w:val="000000"/>
          <w:kern w:val="0"/>
        </w:rPr>
        <w:t xml:space="preserve"> ID</w:t>
      </w:r>
      <w:r>
        <w:rPr>
          <w:rFonts w:ascii="Times New Roman" w:hAnsi="Times New Roman"/>
          <w:color w:val="000000"/>
          <w:kern w:val="0"/>
        </w:rPr>
        <w:t xml:space="preserve">; Description: </w:t>
      </w:r>
      <w:r>
        <w:rPr>
          <w:rFonts w:hint="eastAsia" w:ascii="Times New Roman" w:hAnsi="Times New Roman"/>
          <w:color w:val="000000"/>
          <w:kern w:val="0"/>
        </w:rPr>
        <w:t xml:space="preserve">The name of the </w:t>
      </w:r>
      <w:r>
        <w:rPr>
          <w:rFonts w:ascii="Times New Roman" w:hAnsi="Times New Roman"/>
          <w:color w:val="000000"/>
          <w:kern w:val="0"/>
        </w:rPr>
        <w:t>path</w:t>
      </w:r>
      <w:r>
        <w:rPr>
          <w:rFonts w:hint="eastAsia" w:ascii="Times New Roman" w:hAnsi="Times New Roman"/>
          <w:color w:val="000000"/>
          <w:kern w:val="0"/>
        </w:rPr>
        <w:t>way</w:t>
      </w:r>
      <w:r>
        <w:rPr>
          <w:rFonts w:ascii="Times New Roman" w:hAnsi="Times New Roman"/>
          <w:color w:val="000000"/>
          <w:kern w:val="0"/>
        </w:rPr>
        <w:t xml:space="preserve">; Num: </w:t>
      </w:r>
      <w:r>
        <w:rPr>
          <w:rFonts w:hint="eastAsia" w:ascii="Times New Roman" w:hAnsi="Times New Roman"/>
          <w:color w:val="000000"/>
          <w:kern w:val="0"/>
        </w:rPr>
        <w:t>The n</w:t>
      </w:r>
      <w:r>
        <w:rPr>
          <w:rFonts w:ascii="Times New Roman" w:hAnsi="Times New Roman"/>
          <w:color w:val="000000"/>
          <w:kern w:val="0"/>
        </w:rPr>
        <w:t>umber of genes</w:t>
      </w:r>
      <w:r>
        <w:rPr>
          <w:rFonts w:hint="eastAsia" w:ascii="Times New Roman" w:hAnsi="Times New Roman"/>
          <w:color w:val="000000"/>
          <w:kern w:val="0"/>
        </w:rPr>
        <w:t xml:space="preserve"> or </w:t>
      </w:r>
      <w:r>
        <w:rPr>
          <w:rFonts w:ascii="Times New Roman" w:hAnsi="Times New Roman"/>
          <w:color w:val="000000"/>
          <w:kern w:val="0"/>
        </w:rPr>
        <w:t xml:space="preserve">transcripts enriched in this pathway; Pvalue: </w:t>
      </w:r>
      <w:r>
        <w:rPr>
          <w:rFonts w:hint="eastAsia" w:ascii="Times New Roman" w:hAnsi="Times New Roman"/>
          <w:color w:val="000000"/>
          <w:kern w:val="0"/>
        </w:rPr>
        <w:t>U</w:t>
      </w:r>
      <w:r>
        <w:rPr>
          <w:rFonts w:ascii="Times New Roman" w:hAnsi="Times New Roman"/>
          <w:color w:val="000000"/>
          <w:kern w:val="0"/>
        </w:rPr>
        <w:t>ncorrected P-value</w:t>
      </w:r>
      <w:r>
        <w:rPr>
          <w:rFonts w:hint="eastAsia" w:ascii="Times New Roman" w:hAnsi="Times New Roman"/>
          <w:color w:val="000000"/>
          <w:kern w:val="0"/>
        </w:rPr>
        <w:t>,</w:t>
      </w:r>
      <w:r>
        <w:rPr>
          <w:rFonts w:ascii="Times New Roman" w:hAnsi="Times New Roman"/>
          <w:color w:val="000000"/>
          <w:kern w:val="0"/>
        </w:rPr>
        <w:t xml:space="preserve"> with smaller values indicating higher statistical significance</w:t>
      </w:r>
      <w:r>
        <w:rPr>
          <w:rFonts w:hint="eastAsia" w:ascii="Times New Roman" w:hAnsi="Times New Roman"/>
          <w:color w:val="000000"/>
          <w:kern w:val="0"/>
        </w:rPr>
        <w:t>;</w:t>
      </w:r>
      <w:r>
        <w:rPr>
          <w:rFonts w:ascii="Times New Roman" w:hAnsi="Times New Roman"/>
          <w:color w:val="000000"/>
          <w:kern w:val="0"/>
        </w:rPr>
        <w:t xml:space="preserve"> Qvalue: Adjusted p-value after correction</w:t>
      </w:r>
      <w:r>
        <w:rPr>
          <w:rFonts w:hint="eastAsia" w:ascii="Times New Roman" w:hAnsi="Times New Roman"/>
          <w:color w:val="000000"/>
          <w:kern w:val="0"/>
        </w:rPr>
        <w:t>.</w:t>
      </w:r>
    </w:p>
    <w:p w14:paraId="7A95B8FE">
      <w:pPr>
        <w:rPr>
          <w:rFonts w:hint="eastAsia" w:eastAsia="宋体"/>
          <w:lang w:eastAsia="zh-CN"/>
        </w:rPr>
      </w:pPr>
      <w:bookmarkStart w:id="20" w:name="_GoBack"/>
      <w:r>
        <w:rPr>
          <w:rFonts w:hint="eastAsia" w:eastAsia="宋体"/>
          <w:lang w:eastAsia="zh-CN"/>
        </w:rPr>
        <w:drawing>
          <wp:inline distT="0" distB="0" distL="114300" distR="114300">
            <wp:extent cx="5273675" cy="6916420"/>
            <wp:effectExtent l="0" t="0" r="9525" b="5080"/>
            <wp:docPr id="1" name="图片 1" descr="Fig. S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Fig. S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6916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bookmarkEnd w:id="20"/>
    <w:p w14:paraId="5CE6E5C7">
      <w:pPr>
        <w:jc w:val="center"/>
      </w:pPr>
      <w:r>
        <w:rPr>
          <w:rFonts w:hint="eastAsia" w:ascii="Times New Roman" w:hAnsi="Times New Roman"/>
          <w:color w:val="000000"/>
          <w:kern w:val="0"/>
          <w:sz w:val="24"/>
          <w:szCs w:val="24"/>
        </w:rPr>
        <w:t>Fig. S1 qRT-PCR validation of differentially expressed genes</w:t>
      </w:r>
    </w:p>
    <w:p w14:paraId="4EE3D9A4"/>
    <w:sectPr>
      <w:pgSz w:w="11906" w:h="16838"/>
      <w:pgMar w:top="1440" w:right="1800" w:bottom="1440" w:left="1800" w:header="851" w:footer="992" w:gutter="0"/>
      <w:lnNumType w:countBy="1" w:restart="continuous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PingFangSC-Regular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STIX-Regular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7D33"/>
    <w:rsid w:val="001E7D33"/>
    <w:rsid w:val="00527F94"/>
    <w:rsid w:val="00782072"/>
    <w:rsid w:val="00932272"/>
    <w:rsid w:val="00A26F7C"/>
    <w:rsid w:val="00A52C26"/>
    <w:rsid w:val="00C10051"/>
    <w:rsid w:val="00C469E9"/>
    <w:rsid w:val="00FD503F"/>
    <w:rsid w:val="02EB6CFC"/>
    <w:rsid w:val="0DE84FDF"/>
    <w:rsid w:val="18871481"/>
    <w:rsid w:val="1D614C1E"/>
    <w:rsid w:val="1DF75C3F"/>
    <w:rsid w:val="1F5F5B83"/>
    <w:rsid w:val="1F770B19"/>
    <w:rsid w:val="20196E1B"/>
    <w:rsid w:val="303E1F96"/>
    <w:rsid w:val="368F480F"/>
    <w:rsid w:val="3E7729D8"/>
    <w:rsid w:val="412C782A"/>
    <w:rsid w:val="47AA535D"/>
    <w:rsid w:val="51045D18"/>
    <w:rsid w:val="535A3F54"/>
    <w:rsid w:val="538B6789"/>
    <w:rsid w:val="54274ACB"/>
    <w:rsid w:val="557C768A"/>
    <w:rsid w:val="60B116A2"/>
    <w:rsid w:val="76AE5050"/>
    <w:rsid w:val="7B330B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qFormat="1"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semiHidden/>
    <w:unhideWhenUsed/>
    <w:uiPriority w:val="99"/>
    <w:pPr>
      <w:jc w:val="left"/>
    </w:pPr>
  </w:style>
  <w:style w:type="table" w:styleId="4">
    <w:name w:val="Table Grid"/>
    <w:basedOn w:val="3"/>
    <w:qFormat/>
    <w:uiPriority w:val="99"/>
    <w:rPr>
      <w:rFonts w:ascii="Times New Roman" w:hAnsi="Times New Roman" w:eastAsia="Times New Roman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line number"/>
    <w:basedOn w:val="5"/>
    <w:semiHidden/>
    <w:unhideWhenUsed/>
    <w:qFormat/>
    <w:uiPriority w:val="99"/>
  </w:style>
  <w:style w:type="character" w:customStyle="1" w:styleId="7">
    <w:name w:val="15"/>
    <w:basedOn w:val="5"/>
    <w:autoRedefine/>
    <w:qFormat/>
    <w:uiPriority w:val="0"/>
    <w:rPr>
      <w:rFonts w:hint="default" w:ascii="Times New Roman" w:hAnsi="Times New Roman" w:cs="Times New Roman"/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818</Words>
  <Characters>5685</Characters>
  <Lines>484</Lines>
  <Paragraphs>415</Paragraphs>
  <TotalTime>39</TotalTime>
  <ScaleCrop>false</ScaleCrop>
  <LinksUpToDate>false</LinksUpToDate>
  <CharactersWithSpaces>6123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2025-01-03T12:21:00Z</dcterms:created>
  <dc:creator>笑笑 王</dc:creator>
  <cp:lastModifiedBy>Evil</cp:lastModifiedBy>
  <dcterms:modified xsi:type="dcterms:W3CDTF">2025-06-06T01:58:02Z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eyJoZGlkIjoiNTE2MGEyNGY0YTlhNmI5YTBmNzc2NWI1YTMwOGE2OTMiLCJ1c2VySWQiOiI2Nzk4OTQ2NTkifQ==</vt:lpwstr>
  </property>
  <property fmtid="{D5CDD505-2E9C-101B-9397-08002B2CF9AE}" pid="3" name="KSOProductBuildVer">
    <vt:lpwstr>2052-12.1.0.21541</vt:lpwstr>
  </property>
  <property fmtid="{D5CDD505-2E9C-101B-9397-08002B2CF9AE}" pid="4" name="ICV">
    <vt:lpwstr>B8C27ADA7A874E2987E0107DB7CF7553_12</vt:lpwstr>
  </property>
</Properties>
</file>