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b/>
        </w:rPr>
      </w:pPr>
      <w:r>
        <w:rPr>
          <w:rFonts w:ascii="Times New Roman" w:cs="Times New Roman" w:hAnsi="Times New Roman"/>
          <w:b/>
          <w:color w:val="242021"/>
          <w:sz w:val="28"/>
          <w:szCs w:val="28"/>
        </w:rPr>
        <w:t>Supplementary table</w:t>
      </w:r>
      <w:r>
        <w:rPr>
          <w:rFonts w:ascii="Times New Roman" w:cs="Times New Roman" w:hAnsi="Times New Roman" w:hint="eastAsia"/>
          <w:b/>
          <w:color w:val="242021"/>
          <w:sz w:val="28"/>
          <w:szCs w:val="28"/>
        </w:rPr>
        <w:t xml:space="preserve"> 1. The list of </w:t>
      </w:r>
      <w:r>
        <w:rPr>
          <w:rFonts w:ascii="Times New Roman" w:cs="Times New Roman" w:hAnsi="Times New Roman"/>
          <w:b/>
          <w:color w:val="242021"/>
          <w:sz w:val="28"/>
          <w:szCs w:val="28"/>
        </w:rPr>
        <w:t>disease</w:t>
      </w:r>
      <w:r>
        <w:rPr>
          <w:rFonts w:ascii="Times New Roman" w:cs="Times New Roman" w:hAnsi="Times New Roman" w:hint="eastAsia"/>
          <w:b/>
          <w:color w:val="242021"/>
          <w:sz w:val="28"/>
          <w:szCs w:val="28"/>
        </w:rPr>
        <w:t>s</w:t>
      </w:r>
      <w:r>
        <w:rPr>
          <w:rFonts w:ascii="Times New Roman" w:cs="Times New Roman" w:hAnsi="Times New Roman"/>
          <w:b/>
          <w:color w:val="242021"/>
          <w:sz w:val="28"/>
          <w:szCs w:val="28"/>
        </w:rPr>
        <w:t xml:space="preserve"> and gene</w:t>
      </w:r>
      <w:r>
        <w:rPr>
          <w:rFonts w:ascii="Times New Roman" w:cs="Times New Roman" w:hAnsi="Times New Roman" w:hint="eastAsia"/>
          <w:b/>
          <w:color w:val="242021"/>
          <w:sz w:val="28"/>
          <w:szCs w:val="28"/>
        </w:rPr>
        <w:t>s</w:t>
      </w:r>
      <w:r>
        <w:rPr>
          <w:rFonts w:ascii="Times New Roman" w:cs="Times New Roman" w:hAnsi="Times New Roman"/>
          <w:b/>
          <w:color w:val="242021"/>
          <w:sz w:val="28"/>
          <w:szCs w:val="28"/>
        </w:rPr>
        <w:t xml:space="preserve"> in </w:t>
      </w:r>
      <w:r>
        <w:rPr>
          <w:rFonts w:ascii="Times New Roman" w:cs="Times New Roman" w:hAnsi="Times New Roman" w:hint="eastAsia"/>
          <w:b/>
          <w:color w:val="242021"/>
          <w:sz w:val="28"/>
          <w:szCs w:val="28"/>
        </w:rPr>
        <w:t>Neoseq project</w:t>
      </w:r>
    </w:p>
    <w:p/>
    <w:tbl>
      <w:tblPr>
        <w:jc w:val="left"/>
        <w:tblInd w:w="93" w:type="dxa"/>
        <w:tblW w:w="91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8"/>
        <w:gridCol w:w="1774"/>
        <w:gridCol w:w="1289"/>
      </w:tblGrid>
      <w:tr>
        <w:trPr>
          <w:trHeight w:val="720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b/>
                <w:bCs/>
                <w:color w:val="000000"/>
                <w:kern w:val="0"/>
                <w:szCs w:val="21"/>
              </w:rPr>
              <w:t>Disease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b/>
                <w:bCs/>
                <w:color w:val="000000"/>
                <w:kern w:val="0"/>
                <w:szCs w:val="21"/>
              </w:rPr>
              <w:t>Inheritance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Methylmalonic aciduria, MMA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MMAA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MMAB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MMUT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MMADHC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MMACHC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LMBRD1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ABCD4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HCFC1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Propionic acidemia, PA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PCCA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PCCB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Glutaric acidemia I, GA1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GCDH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Holocarboxylase synthetase deficiency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HLCS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Biotinidase deficiency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BTD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3-Hydroxy-3-Methylglutaryl-Coenzyme A Lyase deficiency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HMGCL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HMGCS2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Isovaleric acidemia, IVA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IVD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3-Methylcrotonyl-coenzyme A carboxylase deficiency, MCCD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MCCC1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MCCC2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Malonyl-CoA decarboxylase deficiency, MCD 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MLYCD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3-methylglutaconic aciduria type I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AUH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Ethylmalonic encephalopathy, EE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ETHE1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2-methylbutyryl-CoA dehydrogenase deficiency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ACADSB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Isobutyryl-CoA dehydrogenase deficiency, IBDD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ACAD8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Maple syrup urine disease, MSUD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BCKDHA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BCKDHB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DBT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DLD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br/>
              <w:t>Tyrosinemia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FAH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TAT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HPD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Hyperphenylalaninemia，HPA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 xml:space="preserve">PAH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PCBD1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PTS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QDPR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GCH1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SPR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Hyperhomocysteinemia, HCY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 xml:space="preserve">CBS 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MTHFR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MTRR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Non-ketotic hyperglycinemia, NKH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GLDC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2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Primary hypermethioninemia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MAT1A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AR/AD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Argininemia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ARG1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Argininosuccinic aciduria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ASL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Carbamoyl phosphate syntetase I 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CPS1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N-acetylglutamate synthase deficiency, NAGSD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NAGS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Ornithine transcarbamylase 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OTC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6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Citrullinemia type Ⅰ, CTLN1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ASS1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Citrin 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SLC25A13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Hyperornithinemia-hyperammonemia-homocitrullinuria syndrome, HHHS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SLC25A15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Ornithine transcarbamylase 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OAT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Very long-chain acyl-CoA dehydrogenase deficiency, VLCAD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ACADVL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Long-chain 3-hydroxyl-CoA dehydrogenase deficiency, LCHAD</w:t>
            </w:r>
          </w:p>
        </w:tc>
        <w:tc>
          <w:tcPr>
            <w:tcW w:w="17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HADHA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Mitochondrial trifunctional protein deficiency, MTPD</w:t>
            </w:r>
          </w:p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HADHB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Short chain 3-hydroxyacyl-CoA dehydrogenase deficiency, SCHADD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HADH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Medium chain acyl-CoA dehydrogenase deficiency, MCADD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ACADM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Short-chain acyl-CoA dehydrogenase deficiency, SCADD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ACADS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Glutaric acidemia II, GA2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ETFA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ETFB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ETFDH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79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Beta-ketothiolase deficiency, BKD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ACAT1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Carnitine palmitoyltransferase II deficiency, CPTII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CPT2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Primary carnitine deficiency, PCD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SLC22A5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Carnitine palmitoyltransferase I deficiency, CPT1 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CPT1A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Carnitine-acylcarnitine translocase deficiency, CACT deficiency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SLC25A20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Glycogen storage disease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G6PC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SLC37A4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GAA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AGL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PYGL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Galactosemia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GALT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GALK1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GALE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45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Hereditary fructose intolerance, HFI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ALDOB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19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X-linked adrenoleukodystrophy, X-ALD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ABCD1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Mucopolysaccharidosis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IDUA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IDS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GALNS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NAGLU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9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Globoid cell leukodystrophy, GLD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GALC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Gaucher disease, GD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GBA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Fabry disease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GLA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XLD</w:t>
            </w:r>
          </w:p>
        </w:tc>
      </w:tr>
      <w:tr>
        <w:trPr>
          <w:trHeight w:val="624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Niemann-Pick disease</w:t>
            </w:r>
          </w:p>
        </w:tc>
        <w:tc>
          <w:tcPr>
            <w:tcW w:w="17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NPC1</w:t>
            </w:r>
          </w:p>
        </w:tc>
        <w:tc>
          <w:tcPr>
            <w:tcW w:w="12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24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NPC2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SMPD1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Beta-thalassemia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HBB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Hemophilia B，HB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F9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Glucose-6-phosphate dehydrogenase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G6PD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XLD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Growth hormone deficiency, GHD</w:t>
            </w:r>
          </w:p>
        </w:tc>
        <w:tc>
          <w:tcPr>
            <w:tcW w:w="17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GH1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GHRHR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Vitamin D-dependent rickets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CYP27B1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VDR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X-linked dominant hypophosphatemia, XLH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PHEX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XLD</w:t>
            </w:r>
          </w:p>
        </w:tc>
      </w:tr>
      <w:tr>
        <w:trPr>
          <w:trHeight w:val="282"/>
        </w:trPr>
        <w:tc>
          <w:tcPr>
            <w:tcW w:w="61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 xml:space="preserve">Cartilage-hair hypoplasia, CHH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RMRP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282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Spinal muscular atrophy，SMA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SMN1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Congenital Hypothyroidism, CH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PAX8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THRA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282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THRB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TSHB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TSHR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TG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TPO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DUOXA2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DUOX2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Crigler-najjar syndrome，CNS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UGT1A1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 xml:space="preserve"> Progressive familial intrahepatic cholestasis, PFIC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ATP8B1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ABCB11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90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Nephroblastoma, NB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WT1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45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 xml:space="preserve">Retinoblastoma, RB 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RB1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Non-syndromic hearing loss, NSHL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GJB2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GJB3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SLC26A4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MT-RNR1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MT-TH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Mitochondrial encephalomyopathy, lactic acidosis and stroke-like episodes，MELAS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MT-TL1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MT-ND5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Severe combined immune deficiency, SCID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ADA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IL2RG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IL7R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JAK3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RAG1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RAG2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BCL11B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Autoimmune enteropathy, AIE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FOXP3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X-linked recessive chronic granulomatous disease, X-CGD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CYBB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X-linked agammaglobulinemia, XLA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BTK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Wiskott-Aldrich syndrome, WAS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WAS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XLR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Dihydropyrimidine dehydrogenase deficiency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DPYD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Purine drug toxicity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TPMT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NUDT15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AD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Inborn errors bileacid synthesis, IEBAS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HSD3B7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Hepatolenticular degeneration, HLD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ATP7B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690"/>
        </w:trPr>
        <w:tc>
          <w:tcPr>
            <w:tcW w:w="61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Congenial disorders od glycosylation, CGD</w:t>
            </w:r>
          </w:p>
        </w:tc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PMM2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Sitosterolemia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ABCG5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  <w:tr>
        <w:trPr>
          <w:trHeight w:val="345"/>
        </w:trPr>
        <w:tc>
          <w:tcPr>
            <w:tcW w:w="61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i/>
                <w:iCs/>
                <w:color w:val="000000"/>
                <w:kern w:val="0"/>
                <w:szCs w:val="21"/>
              </w:rPr>
              <w:t>ABCG8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cs="Times New Roman" w:hAnsi="Times New Roman"/>
                <w:color w:val="000000"/>
                <w:kern w:val="0"/>
                <w:szCs w:val="21"/>
              </w:rPr>
              <w:t>AR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ectPr>
          <w:pgSz w:w="11906" w:h="16838"/>
          <w:pgMar w:top="1418" w:right="1418" w:bottom="1418" w:left="1418" w:header="851" w:footer="992" w:gutter="0"/>
          <w:docGrid w:type="lines" w:linePitch="312" w:charSpace="0"/>
        </w:sectPr>
      </w:pPr>
    </w:p>
    <w:p>
      <w:pPr>
        <w:rPr>
          <w:rStyle w:val="15"/>
          <w:rFonts w:hint="eastAsia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Supplementary table</w:t>
      </w:r>
      <w:r>
        <w:rPr>
          <w:rFonts w:ascii="Times New Roman" w:cs="Times New Roman" w:hAnsi="Times New Roman" w:hint="eastAsia"/>
          <w:b/>
          <w:sz w:val="28"/>
          <w:szCs w:val="28"/>
        </w:rPr>
        <w:t xml:space="preserve"> 2. Results of </w:t>
      </w:r>
      <w:r>
        <w:rPr>
          <w:rStyle w:val="15"/>
          <w:rFonts w:hint="eastAsia"/>
          <w:b/>
          <w:sz w:val="28"/>
          <w:szCs w:val="28"/>
        </w:rPr>
        <w:t>Neoseq in the infants with IEM after TMS screening</w:t>
      </w:r>
    </w:p>
    <w:tbl>
      <w:tblPr>
        <w:jc w:val="left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091"/>
        <w:gridCol w:w="2977"/>
        <w:gridCol w:w="1134"/>
        <w:gridCol w:w="1843"/>
        <w:gridCol w:w="850"/>
        <w:gridCol w:w="1134"/>
        <w:gridCol w:w="1134"/>
        <w:gridCol w:w="1701"/>
        <w:gridCol w:w="709"/>
        <w:gridCol w:w="992"/>
      </w:tblGrid>
      <w:tr>
        <w:tc>
          <w:tcPr>
            <w:tcW w:w="718" w:type="dxa"/>
            <w:vMerge w:val="restart"/>
            <w:vAlign w:val="center"/>
          </w:tcPr>
          <w:p>
            <w:pPr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Case</w:t>
            </w:r>
          </w:p>
        </w:tc>
        <w:tc>
          <w:tcPr>
            <w:tcW w:w="7895" w:type="dxa"/>
            <w:gridSpan w:val="5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TMS-NGS(panel)</w:t>
            </w:r>
          </w:p>
        </w:tc>
        <w:tc>
          <w:tcPr>
            <w:tcW w:w="4678" w:type="dxa"/>
            <w:gridSpan w:val="4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Neoseq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Consistency</w:t>
            </w:r>
          </w:p>
        </w:tc>
      </w:tr>
      <w:tr>
        <w:tc>
          <w:tcPr>
            <w:tcW w:w="718" w:type="dxa"/>
            <w:vMerge/>
          </w:tcPr>
          <w:p/>
        </w:tc>
        <w:tc>
          <w:tcPr>
            <w:tcW w:w="1091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kern w:val="0"/>
                <w:szCs w:val="21"/>
              </w:rPr>
              <w:t>Disease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NBS result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color w:val="000000"/>
                <w:szCs w:val="21"/>
              </w:rPr>
              <w:t>Variant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Type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kern w:val="0"/>
                <w:szCs w:val="21"/>
              </w:rPr>
              <w:t>Disease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color w:val="000000"/>
                <w:szCs w:val="21"/>
              </w:rPr>
              <w:t>Variant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cs="Times New Roman" w:hAnsi="Times New Roman"/>
                <w:b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</w:rPr>
              <w:t>Type</w:t>
            </w:r>
          </w:p>
        </w:tc>
        <w:tc>
          <w:tcPr>
            <w:tcW w:w="992" w:type="dxa"/>
            <w:vMerge/>
          </w:tcPr>
          <w:p/>
        </w:tc>
      </w:tr>
      <w:tr>
        <w:trPr>
          <w:trHeight w:val="1014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TP001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MMA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C0=2.26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C3=7.73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C3/C2=1.39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MMUT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c.323G&gt;A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c.729-730insTT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MMA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sz w:val="18"/>
                <w:szCs w:val="18"/>
              </w:rPr>
              <w:t>MMUT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c.323G&gt;A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c.729-730insTT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TP002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MMA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C3=9.32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C3/C2=0.72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MMACHC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c.609G&gt;A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c.658_660del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MMA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sz w:val="18"/>
                <w:szCs w:val="18"/>
              </w:rPr>
              <w:t>MMACHC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c.609G&gt;A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c.658_660del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TP003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VLCADD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C12=0.91,C12:1=0.37,C14=3.32，C14:1=4.37，C14:2=0.61，C16:1=1.25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ACADVL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c.1843C&gt;T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c.1349G&gt;A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VLCADD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sz w:val="18"/>
                <w:szCs w:val="18"/>
              </w:rPr>
              <w:t>ACADVL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c.1843C&gt;T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c.1349G&gt;A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TP004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3MCCD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C4DC+C5OJ=8.64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MCCC1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c.673C&gt;T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c.161T&gt;C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TP005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CTLN1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CIT=86.04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ASS1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c.211-213del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c.694C&gt;T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sz w:val="18"/>
                <w:szCs w:val="18"/>
              </w:rPr>
              <w:t>SLC22A5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TP006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CTLN1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CIT=299.58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ASS1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c.1168G&gt;A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c.1128_1134delinsG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CTLN1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sz w:val="18"/>
                <w:szCs w:val="18"/>
              </w:rPr>
              <w:t>ASS1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c.1168G&gt;A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TP007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CTLN1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CIT=39.86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ASS1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c.688+49T&gt;C；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c.896C&gt;A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TP008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MET=59.68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c.274T&gt;C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c.268A&gt;G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TP009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MET=101.86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c.242G&gt;A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c.529C&gt;T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c.242G&gt;A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c.529C&gt;T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TP010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MET=265.15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c.91+1G&gt;C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c.812A&gt;G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c.812A&gt;G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TP011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MET=101.1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c.791G&gt;A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IHMET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MATA1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c.791G&gt;A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TP012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C0=7.54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c.1400C&gt;G*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c.1400C&gt;G*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TP013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C0=5.77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c.51C&gt;G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c.51C&gt;G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TP014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C0=6.55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SLC22A5: c.1400C&gt;G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c.865C&gt;T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ACADM: c.449_452del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SLC22A5: c.1400C&gt;G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c.865C&gt;T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ACADM: c.449_452del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TP015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C0=6.31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c.51C&gt;G*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c.51C&gt;G*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TP016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C0=5.93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c.51C&gt;G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SLC22A5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c.1400C&gt;G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c.51C&gt;G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TP017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BH4D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PHE=2431.38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PTS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c.155A&gt;G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c.259C&gt;T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BH4D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PTS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c.155A&gt;G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c.259C&gt;T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TP018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CIT=465.16，ARG=116.79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SLC25A13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IVS16ins3Kb *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hom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TP019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CIT=86.27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SLC25A13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c.852_855del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c.1638_1660dup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SLC25A13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c.852_855del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c.1638_1660dup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TP020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CIT=407.98，ARG=118.96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SLC25A13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IVS16ins3Kb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c.1474C&gt;T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TP021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CIT=53.2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SLC25A13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c.852_855delTATG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IVS16ins3kb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SLC25A13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SLC26A4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c.852_855delTATG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c.919-2A&gt;G(INT)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TP022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GA1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C5DC+C6OH=3.26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GCDH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c.109_110delCA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c.416C&gt;G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GA1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GCDH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c.416C&gt;G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TP023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GA1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C5DC+C6OH=3.4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GCDH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c.261_506-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433delinsATA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c.892G&gt;A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GA1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GCDH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c.892G&gt;A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TP024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GA1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C5DC+C6OH=3.9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C0=9.86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GCDH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c.1244-2A&gt;C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c.1235C&gt;A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GA1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GCDH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c.1244-2A&gt;C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c.1235C&gt;A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TP025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C4=2.32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ARG1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ACADS:c.312G&gt;C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c.322G&gt;A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ARG1:c.922C&gt;T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SCADD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c.312G&gt;C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c.322G&gt;A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TP026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C4=1.15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c.164C&gt;T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c.1031A&gt;G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SCADD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c.164C&gt;T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c.1031A&gt;G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TP027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C4=1.63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c.322G&gt;A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c.1031A&gt;G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SCADD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c.322G&gt;A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c.1031A&gt;G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TP028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C6=0.46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C8=1.09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C10=0.36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C10:1=0.25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c.469G&gt;A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c.1136A&gt;G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MCADD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c.469G&gt;A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TP029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C6=0.4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C8=0.88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C10=0.3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C10:1=0.21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PTS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ACADM:c.850-2A&gt;G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 xml:space="preserve"> c.1132G&gt;A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PTS:c.84-291A&gt;G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PTS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c.84-291A&gt;G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TP030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MCADD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C6=0.72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C6DC=0.31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C8=4.39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C10=0.34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C10:1=0.47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ACADM:c.799G&gt;A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 xml:space="preserve"> c.1085G&gt;A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ACADS: c.1054G&gt;A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MCADD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ACADM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ACADS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ACADM:c.799G&gt;A; c.1085G&gt;A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ACADS: c.1054G&gt;A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TP031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PHE=162.64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PHE/TYR=2.1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c.728G&gt;A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c.104T&gt;C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c.728G&gt;A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TP032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PHE=299.93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PHE/TYR=4.26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c.1315+6T&gt;A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c.1197A&gt;T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c.1315+6T&gt;A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c.1197A&gt;T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TP033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PHE=188.89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PHE/TYR=1.76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c.1139C&gt;T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c.728G&gt;A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c.1139C&gt;T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c.728G&gt;A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TP034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PHE=305.45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PHE/TYR=3.26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c.940C&gt;A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c.1076C&gt;T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PKU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PAH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c.940C&gt;A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c.1076C&gt;T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Y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TP035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ASA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CIT=155.16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ASL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c.706C&gt;T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c.-44+41_12+5del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undetected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N</w:t>
            </w:r>
          </w:p>
        </w:tc>
      </w:tr>
      <w:tr>
        <w:trPr>
          <w:trHeight w:val="70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TP036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BKTD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C3DC+C4OH=3.58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C4DC+C5OH=1.31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C5:1=0.31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ACAT1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SLC25A20</w:t>
            </w:r>
          </w:p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HMGCL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ACAT1: c.721dup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c.928G&gt;C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SLC25A20: c.804del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HMGCL: c.799C&gt;T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BKTD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i/>
                <w:iCs/>
                <w:sz w:val="18"/>
                <w:szCs w:val="18"/>
              </w:rPr>
              <w:t>ACAT1</w:t>
            </w:r>
          </w:p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c.928G&gt;C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C</w:t>
            </w:r>
          </w:p>
        </w:tc>
      </w:tr>
    </w:tbl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TMS-NGS(panel): NGS followed T</w:t>
      </w:r>
      <w:r>
        <w:rPr>
          <w:rFonts w:ascii="Times New Roman" w:cs="Times New Roman" w:hAnsi="Times New Roman"/>
          <w:szCs w:val="21"/>
        </w:rPr>
        <w:t xml:space="preserve">andem </w:t>
      </w:r>
      <w:r>
        <w:rPr>
          <w:rFonts w:ascii="Times New Roman" w:cs="Times New Roman" w:hAnsi="Times New Roman" w:hint="eastAsia"/>
          <w:szCs w:val="21"/>
        </w:rPr>
        <w:t>M</w:t>
      </w:r>
      <w:r>
        <w:rPr>
          <w:rFonts w:ascii="Times New Roman" w:cs="Times New Roman" w:hAnsi="Times New Roman"/>
          <w:szCs w:val="21"/>
        </w:rPr>
        <w:t xml:space="preserve">ass </w:t>
      </w:r>
      <w:r>
        <w:rPr>
          <w:rFonts w:ascii="Times New Roman" w:cs="Times New Roman" w:hAnsi="Times New Roman" w:hint="eastAsia"/>
          <w:szCs w:val="21"/>
        </w:rPr>
        <w:t>S</w:t>
      </w:r>
      <w:r>
        <w:rPr>
          <w:rFonts w:ascii="Times New Roman" w:cs="Times New Roman" w:hAnsi="Times New Roman"/>
          <w:szCs w:val="21"/>
        </w:rPr>
        <w:t>pectrometry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P: Pathogenic. LP: Likely pathogenic. US:Uncertain significance</w:t>
      </w:r>
      <w:r>
        <w:rPr>
          <w:rFonts w:ascii="Times New Roman" w:cs="Times New Roman" w:hAnsi="Times New Roman" w:hint="eastAsia"/>
          <w:szCs w:val="21"/>
        </w:rPr>
        <w:t>.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Y: Yes. N: No. C:Carried.</w:t>
      </w:r>
    </w:p>
    <w:p>
      <w:pPr>
        <w:rPr>
          <w:rFonts w:ascii="Times New Roman" w:cs="Times New Roman" w:hAnsi="Times New Roman"/>
          <w:szCs w:val="21"/>
        </w:rPr>
      </w:pP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PCD:</w:t>
      </w:r>
      <w:r>
        <w:rPr>
          <w:rFonts w:ascii="Times New Roman" w:cs="Times New Roman" w:hAnsi="Times New Roman"/>
          <w:szCs w:val="21"/>
        </w:rPr>
        <w:t xml:space="preserve"> Primary carnitine deficiency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PKU:</w:t>
      </w:r>
      <w:r>
        <w:rPr>
          <w:rFonts w:ascii="Times New Roman" w:cs="Times New Roman" w:hAnsi="Times New Roman"/>
          <w:szCs w:val="21"/>
        </w:rPr>
        <w:t xml:space="preserve"> Phenylketonuria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SCADD:</w:t>
      </w:r>
      <w:r>
        <w:rPr>
          <w:rFonts w:ascii="Times New Roman" w:cs="Times New Roman" w:hAnsi="Times New Roman"/>
          <w:szCs w:val="21"/>
        </w:rPr>
        <w:t xml:space="preserve"> Short-chain acyl-CoA dehydrogenase deficiency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MMA:</w:t>
      </w:r>
      <w:r>
        <w:rPr>
          <w:rFonts w:ascii="Times New Roman" w:cs="Times New Roman" w:hAnsi="Times New Roman"/>
          <w:szCs w:val="21"/>
        </w:rPr>
        <w:t xml:space="preserve"> Methylmalonic aciduria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IH</w:t>
      </w:r>
      <w:r>
        <w:rPr>
          <w:rFonts w:ascii="Times New Roman" w:cs="Times New Roman" w:hAnsi="Times New Roman"/>
          <w:szCs w:val="21"/>
        </w:rPr>
        <w:t>MET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Isolated hypermethioninemia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 w:hint="eastAsia"/>
          <w:szCs w:val="21"/>
        </w:rPr>
        <w:t>VLCADD:</w:t>
      </w:r>
      <w:r>
        <w:rPr>
          <w:rFonts w:ascii="Times New Roman" w:cs="Times New Roman" w:hAnsi="Times New Roman"/>
          <w:szCs w:val="21"/>
        </w:rPr>
        <w:t xml:space="preserve"> Very long-chain acyl-CoA dehydrogenase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CD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Citrin Deficiency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CTLN1:</w:t>
      </w:r>
      <w:r>
        <w:rPr>
          <w:rFonts w:ascii="Times New Roman" w:cs="Times New Roman" w:hAnsi="Times New Roman" w:hint="eastAsia"/>
          <w:szCs w:val="21"/>
        </w:rPr>
        <w:t xml:space="preserve"> </w:t>
      </w:r>
      <w:r>
        <w:rPr>
          <w:rFonts w:ascii="Times New Roman" w:cs="Times New Roman" w:hAnsi="Times New Roman"/>
          <w:szCs w:val="21"/>
        </w:rPr>
        <w:t xml:space="preserve">Citrullinemia type </w:t>
      </w:r>
      <w:r>
        <w:rPr>
          <w:rFonts w:ascii="Times New Roman" w:cs="Times New Roman" w:hAnsi="Times New Roman" w:hint="eastAsia"/>
          <w:szCs w:val="21"/>
        </w:rPr>
        <w:fldChar w:fldCharType="begin"/>
      </w:r>
      <w:r>
        <w:rPr>
          <w:rFonts w:ascii="Times New Roman" w:cs="Times New Roman" w:hAnsi="Times New Roman"/>
          <w:szCs w:val="21"/>
        </w:rPr>
        <w:instrText xml:space="preserve"> </w:instrText>
      </w:r>
      <w:r>
        <w:rPr>
          <w:rFonts w:ascii="Times New Roman" w:cs="Times New Roman" w:hAnsi="Times New Roman" w:hint="eastAsia"/>
          <w:szCs w:val="21"/>
        </w:rPr>
        <w:instrText>= 2 \* ROMAN</w:instrText>
      </w:r>
      <w:r>
        <w:rPr>
          <w:rFonts w:ascii="Times New Roman" w:cs="Times New Roman" w:hAnsi="Times New Roman"/>
          <w:szCs w:val="21"/>
        </w:rPr>
        <w:instrText xml:space="preserve"> </w:instrText>
      </w:r>
      <w:r>
        <w:rPr>
          <w:rFonts w:ascii="Times New Roman" w:cs="Times New Roman" w:hAnsi="Times New Roman"/>
          <w:szCs w:val="21"/>
        </w:rPr>
        <w:fldChar w:fldCharType="separate"/>
      </w:r>
      <w:r>
        <w:rPr>
          <w:rFonts w:ascii="Times New Roman" w:cs="Times New Roman" w:hAnsi="Times New Roman"/>
          <w:szCs w:val="21"/>
        </w:rPr>
        <w:t>I</w:t>
      </w:r>
      <w:r>
        <w:rPr>
          <w:rFonts w:ascii="Times New Roman" w:cs="Times New Roman" w:hAnsi="Times New Roman"/>
          <w:szCs w:val="21"/>
        </w:rPr>
        <w:fldChar w:fldCharType="end"/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BH4D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Tetrahydrobiopterin deficiency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MCADD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Medium-chain acyl-CoA dehydrogenase deficiency 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GA1:</w:t>
      </w:r>
      <w:r>
        <w:rPr>
          <w:rFonts w:ascii="Times New Roman" w:cs="Times New Roman" w:hAnsi="Times New Roman" w:hint="eastAsia"/>
          <w:szCs w:val="21"/>
        </w:rPr>
        <w:t xml:space="preserve"> </w:t>
      </w:r>
      <w:r>
        <w:rPr>
          <w:rFonts w:ascii="Times New Roman" w:cs="Times New Roman" w:hAnsi="Times New Roman"/>
          <w:szCs w:val="21"/>
        </w:rPr>
        <w:t>Glutaric acidemia I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3MCCD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3-methylcrotonyl-coenzyme A carboxylase deficiency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ASA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argininosuccinic aciduria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BKTD</w:t>
      </w:r>
      <w:r>
        <w:rPr>
          <w:rFonts w:ascii="Times New Roman" w:cs="Times New Roman" w:hAnsi="Times New Roman" w:hint="eastAsia"/>
          <w:szCs w:val="21"/>
        </w:rPr>
        <w:t>:β</w:t>
      </w:r>
      <w:r>
        <w:rPr>
          <w:rFonts w:ascii="Times New Roman" w:cs="Times New Roman" w:hAnsi="Times New Roman"/>
          <w:szCs w:val="21"/>
        </w:rPr>
        <w:t>-ketothiolase deficiercy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CH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Congenital Hypothyroidism: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MELAS</w:t>
      </w:r>
      <w:r>
        <w:rPr>
          <w:rFonts w:ascii="Times New Roman" w:cs="Times New Roman" w:hAnsi="Times New Roman" w:hint="eastAsia"/>
          <w:szCs w:val="21"/>
        </w:rPr>
        <w:t>: M</w:t>
      </w:r>
      <w:r>
        <w:rPr>
          <w:rFonts w:ascii="Times New Roman" w:cs="Times New Roman" w:hAnsi="Times New Roman"/>
          <w:szCs w:val="21"/>
        </w:rPr>
        <w:t>itochondrial encephalomyopathy with lactic acidosis and stroke-like episodes</w:t>
      </w:r>
    </w:p>
    <w:p>
      <w:pPr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G6PD</w:t>
      </w:r>
      <w:r>
        <w:rPr>
          <w:rFonts w:ascii="Times New Roman" w:cs="Times New Roman" w:hAnsi="Times New Roman" w:hint="eastAsia"/>
          <w:szCs w:val="21"/>
        </w:rPr>
        <w:t>:</w:t>
      </w:r>
      <w:r>
        <w:rPr>
          <w:rFonts w:ascii="Times New Roman" w:cs="Times New Roman" w:hAnsi="Times New Roman"/>
          <w:szCs w:val="21"/>
        </w:rPr>
        <w:t xml:space="preserve"> Glucose-6-phosphate dehydrogenase</w:t>
      </w:r>
    </w:p>
    <w:p/>
    <w:p/>
    <w:sectPr>
      <w:pgSz w:w="16838" w:h="11906" w:orient="landscape"/>
      <w:pgMar w:top="1418" w:right="1418" w:bottom="1418" w:left="1418" w:header="851" w:footer="992" w:gutter="0"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dvPS9779">
    <w:altName w:val="Times New Roman"/>
    <w:panose1 w:val="00000000000000000000"/>
    <w:charset w:val="00"/>
    <w:family w:val="roman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character" w:customStyle="1" w:styleId="15">
    <w:name w:val="fontstyle01"/>
    <w:rPr>
      <w:rFonts w:ascii="AdvPS9779" w:hAnsi="AdvPS9779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</TotalTime>
  <Application>Yozo_Office27021597764231180</Application>
  <Pages>10</Pages>
  <Words>0</Words>
  <Characters>6532</Characters>
  <Lines>0</Lines>
  <Paragraphs>58</Paragraphs>
  <CharactersWithSpaces>8710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sys</cp:lastModifiedBy>
  <cp:revision>5</cp:revision>
  <dcterms:created xsi:type="dcterms:W3CDTF">2021-05-12T06:02:00Z</dcterms:created>
  <dcterms:modified xsi:type="dcterms:W3CDTF">2021-05-14T02:56:30Z</dcterms:modified>
</cp:coreProperties>
</file>