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EDFE6F">
      <w:pPr>
        <w:numPr>
          <w:ilvl w:val="0"/>
          <w:numId w:val="0"/>
        </w:numPr>
        <w:adjustRightInd w:val="0"/>
        <w:snapToGrid w:val="0"/>
        <w:spacing w:line="480" w:lineRule="auto"/>
        <w:outlineLvl w:val="1"/>
        <w:rPr>
          <w:rFonts w:hint="eastAsia" w:ascii="Times New Roman" w:hAnsi="Times New Roman"/>
          <w:color w:val="auto"/>
          <w:sz w:val="24"/>
          <w:highlight w:val="none"/>
          <w:shd w:val="clear" w:color="auto" w:fill="FFFFFF"/>
        </w:rPr>
      </w:pPr>
      <w:r>
        <w:rPr>
          <w:rFonts w:hint="eastAsia" w:ascii="Times New Roman" w:hAnsi="Times New Roman" w:cs="Times New Roman"/>
          <w:b w:val="0"/>
          <w:bCs/>
          <w:color w:val="000000"/>
          <w:sz w:val="24"/>
          <w:szCs w:val="28"/>
          <w:highlight w:val="none"/>
          <w:shd w:val="clear" w:color="auto" w:fill="FFFFFF"/>
          <w:lang w:val="en-US" w:eastAsia="zh-CN"/>
        </w:rPr>
        <w:t>Table 2. Cohort information for TCGA and GEO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0"/>
      </w:tblGrid>
      <w:tr w14:paraId="1D6E0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01BF7F96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2"/>
                <w:szCs w:val="22"/>
                <w:highlight w:val="none"/>
              </w:rPr>
              <w:t>Clinical characteristics</w:t>
            </w:r>
          </w:p>
        </w:tc>
        <w:tc>
          <w:tcPr>
            <w:tcW w:w="284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4F4D6A4B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2"/>
                <w:szCs w:val="22"/>
                <w:highlight w:val="none"/>
              </w:rPr>
              <w:t>TCGA cohorts</w:t>
            </w:r>
          </w:p>
        </w:tc>
        <w:tc>
          <w:tcPr>
            <w:tcW w:w="284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41390457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2"/>
                <w:szCs w:val="22"/>
                <w:highlight w:val="none"/>
              </w:rPr>
              <w:t>GEO cohorts</w:t>
            </w:r>
          </w:p>
        </w:tc>
      </w:tr>
      <w:tr w14:paraId="4A3CE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83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1B3A838B">
            <w:pPr>
              <w:pStyle w:val="2"/>
              <w:widowControl/>
              <w:spacing w:line="480" w:lineRule="auto"/>
              <w:jc w:val="center"/>
              <w:rPr>
                <w:color w:val="auto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Total cases</w:t>
            </w:r>
          </w:p>
          <w:p w14:paraId="5EEB0F67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Survival status</w:t>
            </w: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157C3D1B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315</w:t>
            </w: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589E0C7C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36</w:t>
            </w:r>
          </w:p>
        </w:tc>
      </w:tr>
      <w:tr w14:paraId="01C85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9FB9444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Recurrence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72EFA23C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26 (8%)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88B1A9E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22 (61%)</w:t>
            </w:r>
          </w:p>
        </w:tc>
      </w:tr>
      <w:tr w14:paraId="23BDE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4C3F77CF">
            <w:pPr>
              <w:pStyle w:val="2"/>
              <w:widowControl/>
              <w:spacing w:line="480" w:lineRule="auto"/>
              <w:jc w:val="center"/>
              <w:rPr>
                <w:color w:val="auto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Non-recurrence</w:t>
            </w:r>
          </w:p>
          <w:p w14:paraId="6ABC3473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Age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3DF5712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289 (92%)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7FBAACCE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14 (39%)</w:t>
            </w:r>
          </w:p>
        </w:tc>
      </w:tr>
      <w:tr w14:paraId="73DBC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45B2E1F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&lt;=60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D90EC28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133 (42%)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D1E0D10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15 (42%)</w:t>
            </w:r>
          </w:p>
        </w:tc>
      </w:tr>
      <w:tr w14:paraId="00EC7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CFB8711">
            <w:pPr>
              <w:pStyle w:val="2"/>
              <w:widowControl/>
              <w:spacing w:line="480" w:lineRule="auto"/>
              <w:jc w:val="center"/>
              <w:rPr>
                <w:color w:val="auto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&gt;60</w:t>
            </w:r>
          </w:p>
          <w:p w14:paraId="07D8CAC6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PSA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79A24A0B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182 (58%)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5BD57FD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21 (58%)</w:t>
            </w:r>
          </w:p>
        </w:tc>
      </w:tr>
      <w:tr w14:paraId="1B4AB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42A5BFA3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&lt;=10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EC92F93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305 (97%)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3651CD9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9 (25%)</w:t>
            </w:r>
          </w:p>
        </w:tc>
      </w:tr>
      <w:tr w14:paraId="2A43C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80D8B46">
            <w:pPr>
              <w:pStyle w:val="2"/>
              <w:widowControl/>
              <w:spacing w:line="480" w:lineRule="auto"/>
              <w:jc w:val="center"/>
              <w:rPr>
                <w:color w:val="auto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&gt;10</w:t>
            </w:r>
          </w:p>
          <w:p w14:paraId="5C8C155B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Gleason score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7CCDA1F6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10 (3%)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ED19689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27 (75%)</w:t>
            </w:r>
          </w:p>
        </w:tc>
      </w:tr>
      <w:tr w14:paraId="32F5F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1820C2D7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&lt;=7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1D4BA45E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175 (56%)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7D8B3050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32 (89%)</w:t>
            </w:r>
          </w:p>
        </w:tc>
      </w:tr>
      <w:tr w14:paraId="7F800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41F2827E">
            <w:pPr>
              <w:pStyle w:val="2"/>
              <w:widowControl/>
              <w:spacing w:line="480" w:lineRule="auto"/>
              <w:jc w:val="center"/>
              <w:rPr>
                <w:color w:val="auto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&gt;7</w:t>
            </w:r>
          </w:p>
          <w:p w14:paraId="4A4F71AB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T_stage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4FF38E72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140 (44%)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FF9D4E0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4 (11%)</w:t>
            </w:r>
          </w:p>
        </w:tc>
      </w:tr>
      <w:tr w14:paraId="25F60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1CB149B7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T1/2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BBA9D56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111 (35%)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DDE92F2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19 (53%)</w:t>
            </w:r>
          </w:p>
        </w:tc>
      </w:tr>
      <w:tr w14:paraId="44B84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2BECE54">
            <w:pPr>
              <w:pStyle w:val="2"/>
              <w:widowControl/>
              <w:spacing w:line="480" w:lineRule="auto"/>
              <w:jc w:val="center"/>
              <w:rPr>
                <w:color w:val="auto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T3/4</w:t>
            </w:r>
          </w:p>
          <w:p w14:paraId="0C18FDFD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N_stage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CCB1DF2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204 (65%)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FADFAD2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17 (47%)</w:t>
            </w:r>
          </w:p>
        </w:tc>
      </w:tr>
      <w:tr w14:paraId="2FF34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D0B1A4F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N0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F74712F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260 (83%)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7EC6A99F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/</w:t>
            </w:r>
          </w:p>
        </w:tc>
      </w:tr>
      <w:tr w14:paraId="21D79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3A697FB">
            <w:pPr>
              <w:pStyle w:val="2"/>
              <w:widowControl/>
              <w:spacing w:line="480" w:lineRule="auto"/>
              <w:jc w:val="center"/>
              <w:rPr>
                <w:color w:val="auto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N1</w:t>
            </w:r>
          </w:p>
          <w:p w14:paraId="08B2094D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M_stage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75B9426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55 (17%)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4F85A29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/</w:t>
            </w:r>
          </w:p>
        </w:tc>
      </w:tr>
      <w:tr w14:paraId="2581E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7945F6C0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M0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7EB6438A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313 (99%)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B2D3172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/</w:t>
            </w:r>
          </w:p>
        </w:tc>
      </w:tr>
      <w:tr w14:paraId="04E99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tcBorders>
              <w:top w:val="nil"/>
              <w:left w:val="nil"/>
              <w:bottom w:val="single" w:color="auto" w:sz="18" w:space="0"/>
              <w:right w:val="nil"/>
            </w:tcBorders>
            <w:noWrap w:val="0"/>
            <w:vAlign w:val="top"/>
          </w:tcPr>
          <w:p w14:paraId="14947B1B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M1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18" w:space="0"/>
              <w:right w:val="nil"/>
            </w:tcBorders>
            <w:noWrap w:val="0"/>
            <w:vAlign w:val="top"/>
          </w:tcPr>
          <w:p w14:paraId="4EC8FB23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2 (1%)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18" w:space="0"/>
              <w:right w:val="nil"/>
            </w:tcBorders>
            <w:noWrap w:val="0"/>
            <w:vAlign w:val="top"/>
          </w:tcPr>
          <w:p w14:paraId="3D78CC8F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  <w:t>/</w:t>
            </w:r>
          </w:p>
        </w:tc>
      </w:tr>
    </w:tbl>
    <w:p w14:paraId="7816115E">
      <w:pPr>
        <w:adjustRightInd w:val="0"/>
        <w:snapToGrid w:val="0"/>
        <w:spacing w:line="480" w:lineRule="auto"/>
        <w:ind w:firstLine="420" w:firstLineChars="200"/>
        <w:outlineLvl w:val="1"/>
        <w:rPr>
          <w:color w:val="auto"/>
          <w:highlight w:val="none"/>
        </w:rPr>
      </w:pPr>
    </w:p>
    <w:p w14:paraId="6F21169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98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2025-03-28T03:55:03Z</dcterms:created>
  <dc:creator>Administrator</dc:creator>
  <cp:lastModifiedBy>审核人</cp:lastModifiedBy>
  <dcterms:modified xsi:type="dcterms:W3CDTF">2025-03-28T03:55:35Z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eyJoZGlkIjoiMDFjYjI2NjQ0NDg5ZjQwMzAwYzBlMTAwYjgxZGUwOGUiLCJ1c2VySWQiOiIzMTIzMTczMTgifQ==</vt:lpwstr>
  </property>
  <property fmtid="{D5CDD505-2E9C-101B-9397-08002B2CF9AE}" pid="4" name="ICV">
    <vt:lpwstr>E1A4AF0776F64522B210081FDD1CB4C1_12</vt:lpwstr>
  </property>
</Properties>
</file>