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26D" w:rsidRDefault="0029426D" w:rsidP="0029426D">
      <w:pPr>
        <w:spacing w:after="240"/>
        <w:jc w:val="center"/>
        <w:rPr>
          <w:rFonts w:ascii="Arial" w:hAnsi="Arial" w:cs="Arial"/>
          <w:b/>
          <w:iCs/>
          <w:sz w:val="24"/>
          <w:szCs w:val="24"/>
        </w:rPr>
      </w:pPr>
      <w:r w:rsidRPr="005B3957">
        <w:rPr>
          <w:rFonts w:ascii="Arial" w:hAnsi="Arial" w:cs="Arial"/>
          <w:b/>
          <w:iCs/>
          <w:sz w:val="24"/>
          <w:szCs w:val="24"/>
        </w:rPr>
        <w:t>Appendix A</w:t>
      </w:r>
    </w:p>
    <w:p w:rsidR="0029426D" w:rsidRPr="005B3957" w:rsidRDefault="0029426D" w:rsidP="0029426D">
      <w:pPr>
        <w:spacing w:after="240"/>
        <w:jc w:val="center"/>
        <w:rPr>
          <w:rFonts w:ascii="Arial" w:hAnsi="Arial" w:cs="Arial"/>
          <w:bCs/>
          <w:i/>
          <w:sz w:val="24"/>
          <w:szCs w:val="24"/>
        </w:rPr>
      </w:pPr>
      <w:r w:rsidRPr="005B3957">
        <w:rPr>
          <w:rFonts w:ascii="Arial" w:hAnsi="Arial" w:cs="Arial"/>
          <w:bCs/>
          <w:i/>
          <w:sz w:val="24"/>
          <w:szCs w:val="24"/>
        </w:rPr>
        <w:t>for</w:t>
      </w:r>
    </w:p>
    <w:p w:rsidR="0029426D" w:rsidRPr="005B3957" w:rsidRDefault="0029426D" w:rsidP="0029426D">
      <w:pPr>
        <w:pStyle w:val="Heading1"/>
        <w:spacing w:before="0" w:after="240"/>
        <w:jc w:val="center"/>
        <w:rPr>
          <w:rFonts w:ascii="Arial" w:hAnsi="Arial" w:cs="Arial"/>
          <w:szCs w:val="24"/>
        </w:rPr>
      </w:pPr>
      <w:r w:rsidRPr="005B3957">
        <w:rPr>
          <w:rFonts w:ascii="Arial" w:hAnsi="Arial" w:cs="Arial"/>
          <w:i/>
          <w:iCs/>
          <w:szCs w:val="24"/>
        </w:rPr>
        <w:t xml:space="preserve">BRCA1/2 </w:t>
      </w:r>
      <w:r w:rsidRPr="005B3957">
        <w:rPr>
          <w:rFonts w:ascii="Arial" w:hAnsi="Arial" w:cs="Arial"/>
          <w:szCs w:val="24"/>
        </w:rPr>
        <w:t>Mutation Testing Among Adult Women With HER2-Negative Advanced Breast Cancer: Results From a Multi-Country, Real-World Study</w:t>
      </w:r>
    </w:p>
    <w:p w:rsidR="0029426D" w:rsidRDefault="0029426D" w:rsidP="0029426D">
      <w:pPr>
        <w:jc w:val="center"/>
        <w:rPr>
          <w:rFonts w:ascii="Arial" w:hAnsi="Arial" w:cs="Arial"/>
          <w:b/>
          <w:iCs/>
        </w:rPr>
      </w:pPr>
    </w:p>
    <w:p w:rsidR="0029426D" w:rsidRPr="005B3957" w:rsidRDefault="0029426D" w:rsidP="0029426D">
      <w:pPr>
        <w:tabs>
          <w:tab w:val="center" w:pos="4513"/>
        </w:tabs>
        <w:rPr>
          <w:rFonts w:ascii="Arial" w:hAnsi="Arial" w:cs="Arial"/>
        </w:rPr>
        <w:sectPr w:rsidR="0029426D" w:rsidRPr="005B3957" w:rsidSect="005B3957">
          <w:pgSz w:w="11906" w:h="16838"/>
          <w:pgMar w:top="993" w:right="1440" w:bottom="1701" w:left="1440" w:header="709" w:footer="709" w:gutter="0"/>
          <w:cols w:space="708"/>
          <w:docGrid w:linePitch="360"/>
        </w:sectPr>
      </w:pPr>
      <w:r>
        <w:rPr>
          <w:rFonts w:ascii="Arial" w:hAnsi="Arial" w:cs="Arial"/>
        </w:rPr>
        <w:tab/>
      </w:r>
    </w:p>
    <w:p w:rsidR="0029426D" w:rsidRPr="00451E4F" w:rsidRDefault="0029426D" w:rsidP="0029426D">
      <w:pPr>
        <w:rPr>
          <w:rFonts w:ascii="Arial" w:hAnsi="Arial" w:cs="Arial"/>
          <w:b/>
          <w:iCs/>
          <w:sz w:val="24"/>
          <w:szCs w:val="24"/>
        </w:rPr>
      </w:pPr>
      <w:r w:rsidRPr="00451E4F">
        <w:rPr>
          <w:rFonts w:ascii="Arial" w:hAnsi="Arial" w:cs="Arial"/>
          <w:b/>
          <w:iCs/>
          <w:sz w:val="24"/>
          <w:szCs w:val="24"/>
        </w:rPr>
        <w:lastRenderedPageBreak/>
        <w:t>T</w:t>
      </w:r>
      <w:r>
        <w:rPr>
          <w:rFonts w:ascii="Arial" w:hAnsi="Arial" w:cs="Arial"/>
          <w:b/>
          <w:iCs/>
          <w:sz w:val="24"/>
          <w:szCs w:val="24"/>
        </w:rPr>
        <w:t>able A.</w:t>
      </w:r>
      <w:r w:rsidRPr="00451E4F">
        <w:rPr>
          <w:rFonts w:ascii="Arial" w:hAnsi="Arial" w:cs="Arial"/>
          <w:b/>
          <w:iCs/>
          <w:sz w:val="24"/>
          <w:szCs w:val="24"/>
        </w:rPr>
        <w:t xml:space="preserve">1. 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Baseline </w:t>
      </w:r>
      <w:r>
        <w:rPr>
          <w:rFonts w:ascii="Arial" w:hAnsi="Arial" w:cs="Arial"/>
          <w:bCs/>
          <w:iCs/>
          <w:sz w:val="24"/>
          <w:szCs w:val="24"/>
        </w:rPr>
        <w:t>d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emographics and </w:t>
      </w:r>
      <w:r>
        <w:rPr>
          <w:rFonts w:ascii="Arial" w:hAnsi="Arial" w:cs="Arial"/>
          <w:bCs/>
          <w:iCs/>
          <w:sz w:val="24"/>
          <w:szCs w:val="24"/>
        </w:rPr>
        <w:t>c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linical </w:t>
      </w:r>
      <w:r>
        <w:rPr>
          <w:rFonts w:ascii="Arial" w:hAnsi="Arial" w:cs="Arial"/>
          <w:bCs/>
          <w:iCs/>
          <w:sz w:val="24"/>
          <w:szCs w:val="24"/>
        </w:rPr>
        <w:t>c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haracteristics by </w:t>
      </w:r>
      <w:r>
        <w:rPr>
          <w:rFonts w:ascii="Arial" w:hAnsi="Arial" w:cs="Arial"/>
          <w:bCs/>
          <w:iCs/>
          <w:sz w:val="24"/>
          <w:szCs w:val="24"/>
        </w:rPr>
        <w:t>r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egion </w:t>
      </w:r>
      <w:r>
        <w:rPr>
          <w:rFonts w:ascii="Arial" w:hAnsi="Arial" w:cs="Arial"/>
          <w:bCs/>
          <w:iCs/>
          <w:sz w:val="24"/>
          <w:szCs w:val="24"/>
        </w:rPr>
        <w:t>a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mong </w:t>
      </w:r>
      <w:r>
        <w:rPr>
          <w:rFonts w:ascii="Arial" w:hAnsi="Arial" w:cs="Arial"/>
          <w:bCs/>
          <w:iCs/>
          <w:sz w:val="24"/>
          <w:szCs w:val="24"/>
        </w:rPr>
        <w:t>a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dult </w:t>
      </w:r>
      <w:r>
        <w:rPr>
          <w:rFonts w:ascii="Arial" w:hAnsi="Arial" w:cs="Arial"/>
          <w:bCs/>
          <w:iCs/>
          <w:sz w:val="24"/>
          <w:szCs w:val="24"/>
        </w:rPr>
        <w:t>w</w:t>
      </w:r>
      <w:r w:rsidRPr="00451E4F">
        <w:rPr>
          <w:rFonts w:ascii="Arial" w:hAnsi="Arial" w:cs="Arial"/>
          <w:bCs/>
          <w:iCs/>
          <w:sz w:val="24"/>
          <w:szCs w:val="24"/>
        </w:rPr>
        <w:t xml:space="preserve">omen </w:t>
      </w:r>
      <w:r>
        <w:rPr>
          <w:rFonts w:ascii="Arial" w:hAnsi="Arial" w:cs="Arial"/>
          <w:bCs/>
          <w:iCs/>
          <w:sz w:val="24"/>
          <w:szCs w:val="24"/>
        </w:rPr>
        <w:t>w</w:t>
      </w:r>
      <w:r w:rsidRPr="00451E4F">
        <w:rPr>
          <w:rFonts w:ascii="Arial" w:hAnsi="Arial" w:cs="Arial"/>
          <w:bCs/>
          <w:iCs/>
          <w:sz w:val="24"/>
          <w:szCs w:val="24"/>
        </w:rPr>
        <w:t>ith HER2-negative ABC; US and EU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8"/>
        <w:gridCol w:w="1887"/>
        <w:gridCol w:w="1887"/>
        <w:gridCol w:w="1887"/>
        <w:gridCol w:w="1887"/>
        <w:gridCol w:w="1887"/>
        <w:gridCol w:w="1881"/>
      </w:tblGrid>
      <w:tr w:rsidR="0029426D" w:rsidRPr="005B3957" w:rsidTr="006A4A07">
        <w:tc>
          <w:tcPr>
            <w:tcW w:w="1000" w:type="pct"/>
            <w:tcBorders>
              <w:top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5B3957">
              <w:rPr>
                <w:rFonts w:ascii="Arial" w:hAnsi="Arial" w:cs="Arial"/>
                <w:b/>
                <w:bCs/>
              </w:rPr>
              <w:t>US</w:t>
            </w:r>
          </w:p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  <w:b/>
                <w:bCs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  <w:bCs/>
              </w:rPr>
              <w:t xml:space="preserve"> = 1285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5B3957">
              <w:rPr>
                <w:rFonts w:ascii="Arial" w:hAnsi="Arial" w:cs="Arial"/>
                <w:b/>
                <w:bCs/>
              </w:rPr>
              <w:t>EU5</w:t>
            </w:r>
          </w:p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  <w:b/>
                <w:bCs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  <w:bCs/>
              </w:rPr>
              <w:t xml:space="preserve"> = 4876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9426D" w:rsidRPr="005B3957" w:rsidTr="006A4A07">
        <w:tc>
          <w:tcPr>
            <w:tcW w:w="1000" w:type="pct"/>
            <w:tcBorders>
              <w:bottom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  <w:i/>
                <w:iCs/>
              </w:rPr>
              <w:t>BRCA1/2</w:t>
            </w:r>
            <w:r w:rsidRPr="005B3957">
              <w:rPr>
                <w:rFonts w:ascii="Arial" w:hAnsi="Arial" w:cs="Arial"/>
                <w:b/>
              </w:rPr>
              <w:t xml:space="preserve"> </w:t>
            </w:r>
            <w:r w:rsidRPr="005B3957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t</w:t>
            </w:r>
            <w:r w:rsidRPr="005B3957">
              <w:rPr>
                <w:rFonts w:ascii="Arial" w:hAnsi="Arial" w:cs="Arial"/>
                <w:b/>
              </w:rPr>
              <w:t>ested</w:t>
            </w:r>
            <w:r w:rsidRPr="005B3957">
              <w:rPr>
                <w:rFonts w:ascii="Arial" w:hAnsi="Arial" w:cs="Arial"/>
                <w:b/>
              </w:rPr>
              <w:br/>
              <w:t>(</w:t>
            </w:r>
            <w:r w:rsidRPr="00CE0229">
              <w:rPr>
                <w:rFonts w:ascii="Arial" w:hAnsi="Arial" w:cs="Arial"/>
                <w:b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 = 648)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  <w:i/>
                <w:iCs/>
              </w:rPr>
              <w:t>BRCA1/2</w:t>
            </w:r>
            <w:r w:rsidRPr="005B3957">
              <w:rPr>
                <w:rFonts w:ascii="Arial" w:hAnsi="Arial" w:cs="Arial"/>
                <w:b/>
              </w:rPr>
              <w:t xml:space="preserve"> </w:t>
            </w:r>
            <w:r w:rsidRPr="005B3957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ot </w:t>
            </w:r>
            <w:r>
              <w:rPr>
                <w:rFonts w:ascii="Arial" w:hAnsi="Arial" w:cs="Arial"/>
                <w:b/>
              </w:rPr>
              <w:t>t</w:t>
            </w:r>
            <w:r w:rsidRPr="005B3957">
              <w:rPr>
                <w:rFonts w:ascii="Arial" w:hAnsi="Arial" w:cs="Arial"/>
                <w:b/>
              </w:rPr>
              <w:t>ested</w:t>
            </w:r>
          </w:p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</w:rPr>
              <w:t>(</w:t>
            </w:r>
            <w:r w:rsidRPr="00CE0229">
              <w:rPr>
                <w:rFonts w:ascii="Arial" w:hAnsi="Arial" w:cs="Arial"/>
                <w:b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 = 637)</w:t>
            </w:r>
          </w:p>
        </w:tc>
        <w:tc>
          <w:tcPr>
            <w:tcW w:w="667" w:type="pct"/>
            <w:tcBorders>
              <w:bottom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  <w:i/>
                <w:iCs/>
              </w:rPr>
            </w:pPr>
            <w:r w:rsidRPr="005B3957">
              <w:rPr>
                <w:rFonts w:ascii="Arial" w:hAnsi="Arial" w:cs="Arial"/>
                <w:b/>
                <w:bCs/>
                <w:i/>
              </w:rPr>
              <w:t>P</w:t>
            </w:r>
            <w:r w:rsidRPr="00CE0229">
              <w:rPr>
                <w:rFonts w:ascii="Arial" w:hAnsi="Arial" w:cs="Arial"/>
                <w:b/>
                <w:bCs/>
                <w:iCs/>
              </w:rPr>
              <w:t>-value</w:t>
            </w:r>
            <w:r w:rsidRPr="00CE0229">
              <w:rPr>
                <w:rFonts w:ascii="Arial" w:hAnsi="Arial" w:cs="Arial"/>
                <w:b/>
                <w:bCs/>
                <w:iCs/>
                <w:vertAlign w:val="superscript"/>
              </w:rPr>
              <w:t>a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  <w:i/>
                <w:iCs/>
              </w:rPr>
              <w:t>BRCA1/2</w:t>
            </w:r>
            <w:r w:rsidRPr="005B3957">
              <w:rPr>
                <w:rFonts w:ascii="Arial" w:hAnsi="Arial" w:cs="Arial"/>
                <w:b/>
              </w:rPr>
              <w:t xml:space="preserve"> </w:t>
            </w:r>
            <w:r w:rsidRPr="005B3957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t</w:t>
            </w:r>
            <w:r w:rsidRPr="005B3957">
              <w:rPr>
                <w:rFonts w:ascii="Arial" w:hAnsi="Arial" w:cs="Arial"/>
                <w:b/>
              </w:rPr>
              <w:t>ested</w:t>
            </w:r>
            <w:r w:rsidRPr="005B3957">
              <w:rPr>
                <w:rFonts w:ascii="Arial" w:hAnsi="Arial" w:cs="Arial"/>
                <w:b/>
              </w:rPr>
              <w:br/>
              <w:t>(</w:t>
            </w:r>
            <w:r w:rsidRPr="00CE0229">
              <w:rPr>
                <w:rFonts w:ascii="Arial" w:hAnsi="Arial" w:cs="Arial"/>
                <w:b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 = 1048)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  <w:i/>
                <w:iCs/>
              </w:rPr>
              <w:t>BRCA1/2</w:t>
            </w:r>
            <w:r w:rsidRPr="005B3957">
              <w:rPr>
                <w:rFonts w:ascii="Arial" w:hAnsi="Arial" w:cs="Arial"/>
                <w:b/>
              </w:rPr>
              <w:t xml:space="preserve"> </w:t>
            </w:r>
            <w:r w:rsidRPr="005B3957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ot </w:t>
            </w:r>
            <w:r>
              <w:rPr>
                <w:rFonts w:ascii="Arial" w:hAnsi="Arial" w:cs="Arial"/>
                <w:b/>
              </w:rPr>
              <w:t>t</w:t>
            </w:r>
            <w:r w:rsidRPr="005B3957">
              <w:rPr>
                <w:rFonts w:ascii="Arial" w:hAnsi="Arial" w:cs="Arial"/>
                <w:b/>
              </w:rPr>
              <w:t>ested</w:t>
            </w:r>
          </w:p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B3957">
              <w:rPr>
                <w:rFonts w:ascii="Arial" w:hAnsi="Arial" w:cs="Arial"/>
                <w:b/>
              </w:rPr>
              <w:t>(</w:t>
            </w:r>
            <w:r w:rsidRPr="00CE0229">
              <w:rPr>
                <w:rFonts w:ascii="Arial" w:hAnsi="Arial" w:cs="Arial"/>
                <w:b/>
                <w:i/>
                <w:iCs/>
              </w:rPr>
              <w:t>n</w:t>
            </w:r>
            <w:r w:rsidRPr="005B3957">
              <w:rPr>
                <w:rFonts w:ascii="Arial" w:hAnsi="Arial" w:cs="Arial"/>
                <w:b/>
              </w:rPr>
              <w:t xml:space="preserve"> = 3828)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  <w:b/>
                <w:bCs/>
                <w:i/>
              </w:rPr>
              <w:t>P</w:t>
            </w:r>
            <w:r w:rsidRPr="00CE0229">
              <w:rPr>
                <w:rFonts w:ascii="Arial" w:hAnsi="Arial" w:cs="Arial"/>
                <w:b/>
                <w:bCs/>
                <w:iCs/>
              </w:rPr>
              <w:t>-value</w:t>
            </w:r>
            <w:r w:rsidRPr="00CE0229">
              <w:rPr>
                <w:rFonts w:ascii="Arial" w:hAnsi="Arial" w:cs="Arial"/>
                <w:b/>
                <w:bCs/>
                <w:iCs/>
                <w:vertAlign w:val="superscript"/>
              </w:rPr>
              <w:t>a</w:t>
            </w:r>
          </w:p>
        </w:tc>
      </w:tr>
      <w:tr w:rsidR="0029426D" w:rsidRPr="005B3957" w:rsidTr="006A4A07">
        <w:tc>
          <w:tcPr>
            <w:tcW w:w="1000" w:type="pct"/>
            <w:tcBorders>
              <w:top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Mean a</w:t>
            </w:r>
            <w:r w:rsidRPr="005B3957">
              <w:rPr>
                <w:rFonts w:ascii="Arial" w:hAnsi="Arial" w:cs="Arial"/>
              </w:rPr>
              <w:t>ge, years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59.2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66.1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57.7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65.2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 xml:space="preserve">Ethnicity,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 w:rsidRPr="005B3957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White/Caucasian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348 (54)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380 (60)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.0325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920 (88)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3464 (90)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.0127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African American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131 (20)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119 (19)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.53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Hispanic/Latino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63 (10)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54 (8)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.50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N/A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Other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106 (16)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84 (13)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.12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128 (12)</w:t>
            </w:r>
            <w:r w:rsidRPr="005B3957"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364 (10)</w:t>
            </w:r>
            <w:r w:rsidRPr="005B3957"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.0127</w:t>
            </w:r>
          </w:p>
        </w:tc>
      </w:tr>
      <w:tr w:rsidR="0029426D" w:rsidRPr="005B3957" w:rsidTr="006A4A07">
        <w:tc>
          <w:tcPr>
            <w:tcW w:w="3001" w:type="pct"/>
            <w:gridSpan w:val="4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 xml:space="preserve">R </w:t>
            </w:r>
            <w:r w:rsidRPr="005B3957">
              <w:rPr>
                <w:rFonts w:ascii="Arial" w:hAnsi="Arial" w:cs="Arial"/>
              </w:rPr>
              <w:t>status,</w:t>
            </w:r>
            <w:r>
              <w:rPr>
                <w:rFonts w:ascii="Arial" w:hAnsi="Arial" w:cs="Arial"/>
              </w:rPr>
              <w:t xml:space="preserve">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 w:rsidRPr="005B3957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HR+/HER2-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416 (64)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547 (86)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651 (62)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2,997 (78)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TNBC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211 (33)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84 (13)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366 (35)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754 (20)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Unknown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21 (3)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6 (1)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.0055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31 (3)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77 (2)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.07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 xml:space="preserve">Premenopausal,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 w:rsidRPr="005B3957">
              <w:rPr>
                <w:rFonts w:ascii="Arial" w:hAnsi="Arial" w:cs="Arial"/>
              </w:rPr>
              <w:t> (%)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105 (16)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36 (6)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248 (24)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235 (6)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3001" w:type="pct"/>
            <w:gridSpan w:val="4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 xml:space="preserve">Family history of breast or ovarian cancer,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 w:rsidRPr="005B3957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Yes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136 (21)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57 (9)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217 (21)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296 (8)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No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440 (68)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491 (77)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731 (70)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3,071 (80)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Unknown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72(11)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89 (14)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.13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100 (10)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461 (12)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.025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 xml:space="preserve">Currently employed,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>
              <w:rPr>
                <w:rFonts w:ascii="Arial" w:hAnsi="Arial" w:cs="Arial"/>
              </w:rPr>
              <w:t xml:space="preserve"> </w:t>
            </w:r>
            <w:r w:rsidRPr="005B3957">
              <w:rPr>
                <w:rFonts w:ascii="Arial" w:hAnsi="Arial" w:cs="Arial"/>
              </w:rPr>
              <w:t>(%)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229 (35)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191 (30)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.0432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244 (23)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574 (15)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 xml:space="preserve">Insurance, </w:t>
            </w:r>
            <w:r w:rsidRPr="00CE0229">
              <w:rPr>
                <w:rFonts w:ascii="Arial" w:hAnsi="Arial" w:cs="Arial"/>
                <w:i/>
                <w:iCs/>
              </w:rPr>
              <w:t>n</w:t>
            </w:r>
            <w:r w:rsidRPr="005B3957">
              <w:rPr>
                <w:rFonts w:ascii="Arial" w:hAnsi="Arial" w:cs="Arial"/>
              </w:rPr>
              <w:t xml:space="preserve"> (%)</w:t>
            </w:r>
            <w:r w:rsidRPr="005B3957">
              <w:rPr>
                <w:rFonts w:ascii="Arial" w:hAnsi="Arial" w:cs="Arial"/>
                <w:vertAlign w:val="superscript"/>
              </w:rPr>
              <w:t>c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lastRenderedPageBreak/>
              <w:t>Medicaid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83 (13)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39 (6)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Medicare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195 (30)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340 (53)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Commercial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312 (48)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214 (34)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&lt; </w:t>
            </w: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.0001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</w:tr>
      <w:tr w:rsidR="0029426D" w:rsidRPr="005B3957" w:rsidTr="006A4A07">
        <w:tc>
          <w:tcPr>
            <w:tcW w:w="1000" w:type="pct"/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No insurance coverage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9 (1)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9 (1)</w:t>
            </w:r>
          </w:p>
        </w:tc>
        <w:tc>
          <w:tcPr>
            <w:tcW w:w="667" w:type="pct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1.00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7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5" w:type="pct"/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</w:tr>
      <w:tr w:rsidR="0029426D" w:rsidRPr="005B3957" w:rsidTr="006A4A07">
        <w:tc>
          <w:tcPr>
            <w:tcW w:w="1000" w:type="pct"/>
            <w:tcBorders>
              <w:bottom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ind w:left="162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Other/unknown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49 (8)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B3957">
              <w:rPr>
                <w:rFonts w:ascii="Arial" w:hAnsi="Arial" w:cs="Arial"/>
              </w:rPr>
              <w:t>35 (5)</w:t>
            </w:r>
          </w:p>
        </w:tc>
        <w:tc>
          <w:tcPr>
            <w:tcW w:w="667" w:type="pct"/>
            <w:tcBorders>
              <w:bottom w:val="single" w:sz="4" w:space="0" w:color="auto"/>
            </w:tcBorders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5B3957">
              <w:rPr>
                <w:rFonts w:ascii="Arial" w:hAnsi="Arial" w:cs="Arial"/>
              </w:rPr>
              <w:t>.14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</w:tcPr>
          <w:p w:rsidR="0029426D" w:rsidRPr="005B3957" w:rsidRDefault="0029426D" w:rsidP="006A4A07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–</w:t>
            </w:r>
          </w:p>
        </w:tc>
      </w:tr>
    </w:tbl>
    <w:p w:rsidR="0029426D" w:rsidRPr="00077041" w:rsidRDefault="0029426D" w:rsidP="0029426D">
      <w:pPr>
        <w:spacing w:before="120"/>
        <w:rPr>
          <w:rFonts w:ascii="Arial" w:hAnsi="Arial" w:cs="Arial"/>
          <w:sz w:val="24"/>
          <w:szCs w:val="24"/>
        </w:rPr>
      </w:pPr>
      <w:r w:rsidRPr="00077041">
        <w:rPr>
          <w:rFonts w:ascii="Arial" w:hAnsi="Arial" w:cs="Arial"/>
          <w:sz w:val="24"/>
          <w:szCs w:val="24"/>
          <w:vertAlign w:val="superscript"/>
        </w:rPr>
        <w:t>a</w:t>
      </w:r>
      <w:r w:rsidRPr="00077041">
        <w:rPr>
          <w:rFonts w:ascii="Arial" w:hAnsi="Arial" w:cs="Arial"/>
          <w:i/>
          <w:iCs/>
          <w:sz w:val="24"/>
          <w:szCs w:val="24"/>
        </w:rPr>
        <w:t>t</w:t>
      </w:r>
      <w:r w:rsidRPr="00077041">
        <w:rPr>
          <w:rFonts w:ascii="Arial" w:hAnsi="Arial" w:cs="Arial"/>
          <w:sz w:val="24"/>
          <w:szCs w:val="24"/>
        </w:rPr>
        <w:t xml:space="preserve"> test for continuous variables and Fisher’s exact test for categorical variables.</w:t>
      </w:r>
    </w:p>
    <w:p w:rsidR="0029426D" w:rsidRPr="00077041" w:rsidRDefault="0029426D" w:rsidP="0029426D">
      <w:pPr>
        <w:rPr>
          <w:rFonts w:ascii="Arial" w:hAnsi="Arial" w:cs="Arial"/>
          <w:sz w:val="24"/>
          <w:szCs w:val="24"/>
        </w:rPr>
      </w:pPr>
      <w:r w:rsidRPr="00077041">
        <w:rPr>
          <w:rFonts w:ascii="Arial" w:hAnsi="Arial" w:cs="Arial"/>
          <w:sz w:val="24"/>
          <w:szCs w:val="24"/>
          <w:vertAlign w:val="superscript"/>
        </w:rPr>
        <w:t>b</w:t>
      </w:r>
      <w:r w:rsidRPr="00077041">
        <w:rPr>
          <w:rFonts w:ascii="Arial" w:hAnsi="Arial" w:cs="Arial"/>
          <w:sz w:val="24"/>
          <w:szCs w:val="24"/>
        </w:rPr>
        <w:t>Other includes all other ethnicities excluding white/Caucasian.</w:t>
      </w:r>
    </w:p>
    <w:p w:rsidR="0029426D" w:rsidRPr="00077041" w:rsidRDefault="0029426D" w:rsidP="0029426D">
      <w:pPr>
        <w:rPr>
          <w:rFonts w:ascii="Arial" w:hAnsi="Arial" w:cs="Arial"/>
          <w:sz w:val="24"/>
          <w:szCs w:val="24"/>
        </w:rPr>
      </w:pPr>
      <w:r w:rsidRPr="00077041">
        <w:rPr>
          <w:rFonts w:ascii="Arial" w:hAnsi="Arial" w:cs="Arial"/>
          <w:sz w:val="24"/>
          <w:szCs w:val="24"/>
          <w:vertAlign w:val="superscript"/>
        </w:rPr>
        <w:t>c</w:t>
      </w:r>
      <w:r w:rsidRPr="00077041">
        <w:rPr>
          <w:rFonts w:ascii="Arial" w:hAnsi="Arial" w:cs="Arial"/>
          <w:sz w:val="24"/>
          <w:szCs w:val="24"/>
        </w:rPr>
        <w:t>Not relevant for EU5 countries.</w:t>
      </w:r>
    </w:p>
    <w:p w:rsidR="0029426D" w:rsidRPr="00077041" w:rsidRDefault="0029426D" w:rsidP="0029426D">
      <w:pPr>
        <w:rPr>
          <w:rFonts w:ascii="Arial" w:hAnsi="Arial" w:cs="Arial"/>
          <w:b/>
          <w:bCs/>
          <w:sz w:val="28"/>
          <w:szCs w:val="28"/>
        </w:rPr>
      </w:pPr>
      <w:r w:rsidRPr="00077041">
        <w:rPr>
          <w:rFonts w:ascii="Arial" w:hAnsi="Arial" w:cs="Arial"/>
          <w:sz w:val="24"/>
          <w:szCs w:val="24"/>
        </w:rPr>
        <w:t xml:space="preserve">ABC, advanced breast cancer; </w:t>
      </w:r>
      <w:r w:rsidRPr="00077041">
        <w:rPr>
          <w:rFonts w:ascii="Arial" w:hAnsi="Arial" w:cs="Arial"/>
          <w:i/>
          <w:iCs/>
          <w:sz w:val="24"/>
          <w:szCs w:val="24"/>
        </w:rPr>
        <w:t>BRCA1/2</w:t>
      </w:r>
      <w:r w:rsidRPr="00077041">
        <w:rPr>
          <w:rFonts w:ascii="Arial" w:hAnsi="Arial" w:cs="Arial"/>
          <w:sz w:val="24"/>
          <w:szCs w:val="24"/>
        </w:rPr>
        <w:t xml:space="preserve">, </w:t>
      </w:r>
      <w:r w:rsidRPr="00077041">
        <w:rPr>
          <w:rFonts w:ascii="Arial" w:hAnsi="Arial" w:cs="Arial"/>
          <w:i/>
          <w:iCs/>
          <w:sz w:val="24"/>
          <w:szCs w:val="24"/>
        </w:rPr>
        <w:t>breast cancer susceptibility gene 1</w:t>
      </w:r>
      <w:r w:rsidRPr="00077041">
        <w:rPr>
          <w:rFonts w:ascii="Arial" w:hAnsi="Arial" w:cs="Arial"/>
          <w:sz w:val="24"/>
          <w:szCs w:val="24"/>
        </w:rPr>
        <w:t xml:space="preserve"> or </w:t>
      </w:r>
      <w:r w:rsidRPr="00077041">
        <w:rPr>
          <w:rFonts w:ascii="Arial" w:hAnsi="Arial" w:cs="Arial"/>
          <w:i/>
          <w:iCs/>
          <w:sz w:val="24"/>
          <w:szCs w:val="24"/>
        </w:rPr>
        <w:t>2</w:t>
      </w:r>
      <w:r w:rsidRPr="00077041">
        <w:rPr>
          <w:rFonts w:ascii="Arial" w:hAnsi="Arial" w:cs="Arial"/>
          <w:sz w:val="24"/>
          <w:szCs w:val="24"/>
        </w:rPr>
        <w:t xml:space="preserve">; EU5, France, Germany, Italy, Spain and the UK; </w:t>
      </w:r>
      <w:r w:rsidRPr="00077041">
        <w:rPr>
          <w:rFonts w:ascii="Arial" w:hAnsi="Arial" w:cs="Arial"/>
          <w:sz w:val="24"/>
          <w:szCs w:val="24"/>
        </w:rPr>
        <w:br/>
        <w:t>HER2, human epidermal growth factor receptor 2; HER2-, HER2-negative; HR, hormone receptor; HR+, HR-positive; N/A, not available; TNBC, triple-negative breast cancer.</w:t>
      </w:r>
    </w:p>
    <w:p w:rsidR="00F4526F" w:rsidRDefault="00F4526F">
      <w:bookmarkStart w:id="0" w:name="_GoBack"/>
      <w:bookmarkEnd w:id="0"/>
    </w:p>
    <w:sectPr w:rsidR="00F4526F" w:rsidSect="00D415A8">
      <w:pgSz w:w="16838" w:h="11906" w:orient="landscape"/>
      <w:pgMar w:top="1440" w:right="993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26D"/>
    <w:rsid w:val="0029426D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26241-9D45-4EAB-854B-491B5378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- non-spaced for bullets"/>
    <w:qFormat/>
    <w:rsid w:val="0029426D"/>
    <w:pPr>
      <w:spacing w:after="0" w:line="480" w:lineRule="auto"/>
    </w:pPr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426D"/>
    <w:pPr>
      <w:spacing w:before="240" w:after="120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26D"/>
    <w:rPr>
      <w:rFonts w:cs="Times New Roman"/>
      <w:b/>
      <w:sz w:val="24"/>
    </w:rPr>
  </w:style>
  <w:style w:type="table" w:styleId="TableGrid">
    <w:name w:val="Table Grid"/>
    <w:basedOn w:val="TableNormal"/>
    <w:uiPriority w:val="39"/>
    <w:rsid w:val="0029426D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1728</Characters>
  <Application>Microsoft Office Word</Application>
  <DocSecurity>0</DocSecurity>
  <Lines>14</Lines>
  <Paragraphs>4</Paragraphs>
  <ScaleCrop>false</ScaleCrop>
  <Company>Springer Nature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2021-07-06T06:31:00Z</dcterms:created>
  <dcterms:modified xsi:type="dcterms:W3CDTF">2021-07-06T06:31:00Z</dcterms:modified>
</cp:coreProperties>
</file>