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71CD9" w14:textId="6A07CDA2" w:rsidR="00930377" w:rsidRPr="008B3A0A" w:rsidRDefault="008B3A0A">
      <w:pPr>
        <w:rPr>
          <w:rFonts w:ascii="Times New Roman" w:hAnsi="Times New Roman" w:cs="Times New Roman"/>
          <w:b/>
          <w:bCs/>
        </w:rPr>
      </w:pPr>
      <w:r w:rsidRPr="008B3A0A">
        <w:rPr>
          <w:rFonts w:ascii="Times New Roman" w:hAnsi="Times New Roman" w:cs="Times New Roman"/>
          <w:b/>
          <w:bCs/>
        </w:rPr>
        <w:t>Search Strategy Details</w:t>
      </w:r>
    </w:p>
    <w:p w14:paraId="75A26A7F" w14:textId="77777777" w:rsidR="008B3A0A" w:rsidRPr="008B3A0A" w:rsidRDefault="008B3A0A">
      <w:pPr>
        <w:rPr>
          <w:rFonts w:ascii="Times New Roman" w:hAnsi="Times New Roman" w:cs="Times New Roman"/>
        </w:rPr>
      </w:pPr>
    </w:p>
    <w:p w14:paraId="10668C5B" w14:textId="5B9C8223" w:rsidR="008B3A0A" w:rsidRPr="008B3A0A" w:rsidRDefault="008B3A0A">
      <w:pPr>
        <w:rPr>
          <w:rFonts w:ascii="Times New Roman" w:hAnsi="Times New Roman" w:cs="Times New Roman"/>
          <w:b/>
          <w:bCs/>
        </w:rPr>
      </w:pPr>
      <w:r>
        <w:rPr>
          <w:rFonts w:ascii="Times New Roman" w:hAnsi="Times New Roman" w:cs="Times New Roman"/>
          <w:b/>
          <w:bCs/>
        </w:rPr>
        <w:t xml:space="preserve">Table S1. </w:t>
      </w:r>
      <w:r w:rsidRPr="008B3A0A">
        <w:rPr>
          <w:rFonts w:ascii="Times New Roman" w:hAnsi="Times New Roman" w:cs="Times New Roman"/>
          <w:b/>
          <w:bCs/>
        </w:rPr>
        <w:t>Search terms with “germline variants“.</w:t>
      </w:r>
    </w:p>
    <w:p w14:paraId="7381E6F5" w14:textId="77777777" w:rsidR="008B3A0A" w:rsidRPr="008B3A0A" w:rsidRDefault="008B3A0A">
      <w:pPr>
        <w:rPr>
          <w:rFonts w:ascii="Times New Roman" w:hAnsi="Times New Roman" w:cs="Times New Roman"/>
        </w:rPr>
      </w:pPr>
    </w:p>
    <w:tbl>
      <w:tblPr>
        <w:tblStyle w:val="PlainTable2"/>
        <w:tblW w:w="0" w:type="auto"/>
        <w:tblLook w:val="04A0" w:firstRow="1" w:lastRow="0" w:firstColumn="1" w:lastColumn="0" w:noHBand="0" w:noVBand="1"/>
      </w:tblPr>
      <w:tblGrid>
        <w:gridCol w:w="1560"/>
        <w:gridCol w:w="7790"/>
      </w:tblGrid>
      <w:tr w:rsidR="008B3A0A" w:rsidRPr="008B3A0A" w14:paraId="2F24D423" w14:textId="77777777" w:rsidTr="008B3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DD58E85" w14:textId="5203C106"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Number of search term</w:t>
            </w:r>
          </w:p>
        </w:tc>
        <w:tc>
          <w:tcPr>
            <w:tcW w:w="7790" w:type="dxa"/>
            <w:vAlign w:val="center"/>
          </w:tcPr>
          <w:p w14:paraId="34C971F0" w14:textId="60535B96" w:rsidR="008B3A0A" w:rsidRPr="008B3A0A" w:rsidRDefault="008B3A0A" w:rsidP="008B3A0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B3A0A">
              <w:rPr>
                <w:rFonts w:ascii="Times New Roman" w:hAnsi="Times New Roman" w:cs="Times New Roman"/>
                <w:sz w:val="22"/>
                <w:szCs w:val="22"/>
              </w:rPr>
              <w:t>Terms used</w:t>
            </w:r>
          </w:p>
        </w:tc>
      </w:tr>
      <w:tr w:rsidR="008B3A0A" w:rsidRPr="008B3A0A" w14:paraId="0E9068A7" w14:textId="77777777" w:rsidTr="008B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B472D59" w14:textId="19C811E6"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1</w:t>
            </w:r>
          </w:p>
        </w:tc>
        <w:tc>
          <w:tcPr>
            <w:tcW w:w="7790" w:type="dxa"/>
            <w:vAlign w:val="center"/>
          </w:tcPr>
          <w:p w14:paraId="04A37A1D" w14:textId="2F88BEB5" w:rsidR="008B3A0A" w:rsidRPr="008B3A0A" w:rsidRDefault="008B3A0A" w:rsidP="008B3A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recurrence” AND “germline variants”</w:t>
            </w:r>
          </w:p>
        </w:tc>
      </w:tr>
      <w:tr w:rsidR="008B3A0A" w:rsidRPr="008B3A0A" w14:paraId="5D3EE673" w14:textId="77777777" w:rsidTr="008B3A0A">
        <w:tc>
          <w:tcPr>
            <w:cnfStyle w:val="001000000000" w:firstRow="0" w:lastRow="0" w:firstColumn="1" w:lastColumn="0" w:oddVBand="0" w:evenVBand="0" w:oddHBand="0" w:evenHBand="0" w:firstRowFirstColumn="0" w:firstRowLastColumn="0" w:lastRowFirstColumn="0" w:lastRowLastColumn="0"/>
            <w:tcW w:w="1560" w:type="dxa"/>
            <w:vAlign w:val="center"/>
          </w:tcPr>
          <w:p w14:paraId="550B9865" w14:textId="2B6361EC"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2</w:t>
            </w:r>
          </w:p>
        </w:tc>
        <w:tc>
          <w:tcPr>
            <w:tcW w:w="7790" w:type="dxa"/>
            <w:vAlign w:val="center"/>
          </w:tcPr>
          <w:p w14:paraId="38E250B4" w14:textId="08C50E92" w:rsidR="008B3A0A" w:rsidRPr="008B3A0A" w:rsidRDefault="008B3A0A" w:rsidP="008B3A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metastasis” AND “germline variants”</w:t>
            </w:r>
          </w:p>
        </w:tc>
      </w:tr>
      <w:tr w:rsidR="008B3A0A" w:rsidRPr="008B3A0A" w14:paraId="65603C78" w14:textId="77777777" w:rsidTr="008B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11BBA8B" w14:textId="78ED7396"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3</w:t>
            </w:r>
          </w:p>
        </w:tc>
        <w:tc>
          <w:tcPr>
            <w:tcW w:w="7790" w:type="dxa"/>
            <w:vAlign w:val="center"/>
          </w:tcPr>
          <w:p w14:paraId="2FD04E7F" w14:textId="13B0F083" w:rsidR="008B3A0A" w:rsidRPr="008B3A0A" w:rsidRDefault="008B3A0A" w:rsidP="008B3A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prognosis” AND “germline variants”</w:t>
            </w:r>
          </w:p>
        </w:tc>
      </w:tr>
      <w:tr w:rsidR="008B3A0A" w:rsidRPr="008B3A0A" w14:paraId="1DBA6FA7" w14:textId="77777777" w:rsidTr="008B3A0A">
        <w:tc>
          <w:tcPr>
            <w:cnfStyle w:val="001000000000" w:firstRow="0" w:lastRow="0" w:firstColumn="1" w:lastColumn="0" w:oddVBand="0" w:evenVBand="0" w:oddHBand="0" w:evenHBand="0" w:firstRowFirstColumn="0" w:firstRowLastColumn="0" w:lastRowFirstColumn="0" w:lastRowLastColumn="0"/>
            <w:tcW w:w="1560" w:type="dxa"/>
            <w:vAlign w:val="center"/>
          </w:tcPr>
          <w:p w14:paraId="37FCBBBC" w14:textId="4878497D"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4</w:t>
            </w:r>
          </w:p>
        </w:tc>
        <w:tc>
          <w:tcPr>
            <w:tcW w:w="7790" w:type="dxa"/>
            <w:vAlign w:val="center"/>
          </w:tcPr>
          <w:p w14:paraId="75BAE39A" w14:textId="60A54D2F" w:rsidR="008B3A0A" w:rsidRPr="008B3A0A" w:rsidRDefault="008B3A0A" w:rsidP="008B3A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“relapse free survival” AND “germline variants”</w:t>
            </w:r>
          </w:p>
        </w:tc>
      </w:tr>
      <w:tr w:rsidR="008B3A0A" w:rsidRPr="008B3A0A" w14:paraId="6572A8ED" w14:textId="77777777" w:rsidTr="008B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45A11F1" w14:textId="49A80DF6"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5</w:t>
            </w:r>
          </w:p>
        </w:tc>
        <w:tc>
          <w:tcPr>
            <w:tcW w:w="7790" w:type="dxa"/>
            <w:vAlign w:val="center"/>
          </w:tcPr>
          <w:p w14:paraId="5E6F0DD6" w14:textId="7E127B50" w:rsidR="008B3A0A" w:rsidRPr="008B3A0A" w:rsidRDefault="008B3A0A" w:rsidP="008B3A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“recurrence free survival” AND “germline variants”</w:t>
            </w:r>
          </w:p>
        </w:tc>
      </w:tr>
      <w:tr w:rsidR="008B3A0A" w:rsidRPr="008B3A0A" w14:paraId="44180659" w14:textId="77777777" w:rsidTr="008B3A0A">
        <w:tc>
          <w:tcPr>
            <w:cnfStyle w:val="001000000000" w:firstRow="0" w:lastRow="0" w:firstColumn="1" w:lastColumn="0" w:oddVBand="0" w:evenVBand="0" w:oddHBand="0" w:evenHBand="0" w:firstRowFirstColumn="0" w:firstRowLastColumn="0" w:lastRowFirstColumn="0" w:lastRowLastColumn="0"/>
            <w:tcW w:w="1560" w:type="dxa"/>
            <w:vAlign w:val="center"/>
          </w:tcPr>
          <w:p w14:paraId="7AC7724C" w14:textId="4F2C7021"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6</w:t>
            </w:r>
          </w:p>
        </w:tc>
        <w:tc>
          <w:tcPr>
            <w:tcW w:w="7790" w:type="dxa"/>
            <w:vAlign w:val="center"/>
          </w:tcPr>
          <w:p w14:paraId="5078C485" w14:textId="2E0E5BD2" w:rsidR="008B3A0A" w:rsidRPr="008B3A0A" w:rsidRDefault="008B3A0A" w:rsidP="008B3A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“disease free survival” AND “germline variants”</w:t>
            </w:r>
          </w:p>
        </w:tc>
      </w:tr>
      <w:tr w:rsidR="008B3A0A" w:rsidRPr="008B3A0A" w14:paraId="5D2703F5" w14:textId="77777777" w:rsidTr="008B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8B84A9D" w14:textId="76D6930D"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7</w:t>
            </w:r>
          </w:p>
        </w:tc>
        <w:tc>
          <w:tcPr>
            <w:tcW w:w="7790" w:type="dxa"/>
            <w:vAlign w:val="center"/>
          </w:tcPr>
          <w:p w14:paraId="0113516A" w14:textId="53253F76" w:rsidR="008B3A0A" w:rsidRPr="008B3A0A" w:rsidRDefault="008B3A0A" w:rsidP="008B3A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“distant metastasis free survival” AND “germline variants”</w:t>
            </w:r>
          </w:p>
        </w:tc>
      </w:tr>
      <w:tr w:rsidR="008B3A0A" w:rsidRPr="008B3A0A" w14:paraId="14910960" w14:textId="77777777" w:rsidTr="008B3A0A">
        <w:tc>
          <w:tcPr>
            <w:cnfStyle w:val="001000000000" w:firstRow="0" w:lastRow="0" w:firstColumn="1" w:lastColumn="0" w:oddVBand="0" w:evenVBand="0" w:oddHBand="0" w:evenHBand="0" w:firstRowFirstColumn="0" w:firstRowLastColumn="0" w:lastRowFirstColumn="0" w:lastRowLastColumn="0"/>
            <w:tcW w:w="1560" w:type="dxa"/>
            <w:vAlign w:val="center"/>
          </w:tcPr>
          <w:p w14:paraId="3CCFAD8A" w14:textId="20D45D99"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8</w:t>
            </w:r>
          </w:p>
        </w:tc>
        <w:tc>
          <w:tcPr>
            <w:tcW w:w="7790" w:type="dxa"/>
            <w:vAlign w:val="center"/>
          </w:tcPr>
          <w:p w14:paraId="06415CC8" w14:textId="34015763" w:rsidR="008B3A0A" w:rsidRPr="008B3A0A" w:rsidRDefault="008B3A0A" w:rsidP="008B3A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“progression free survival” AND “germline variants”</w:t>
            </w:r>
          </w:p>
        </w:tc>
      </w:tr>
      <w:tr w:rsidR="008B3A0A" w:rsidRPr="008B3A0A" w14:paraId="0A298C53" w14:textId="77777777" w:rsidTr="008B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B215B81" w14:textId="0E178470"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9</w:t>
            </w:r>
          </w:p>
        </w:tc>
        <w:tc>
          <w:tcPr>
            <w:tcW w:w="7790" w:type="dxa"/>
            <w:vAlign w:val="center"/>
          </w:tcPr>
          <w:p w14:paraId="69C01D1B" w14:textId="6A2EAB81" w:rsidR="008B3A0A" w:rsidRPr="008B3A0A" w:rsidRDefault="008B3A0A" w:rsidP="008B3A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“event free survival” AND “germline variants”</w:t>
            </w:r>
          </w:p>
        </w:tc>
      </w:tr>
      <w:tr w:rsidR="008B3A0A" w:rsidRPr="008B3A0A" w14:paraId="7C4C2536" w14:textId="77777777" w:rsidTr="008B3A0A">
        <w:tc>
          <w:tcPr>
            <w:cnfStyle w:val="001000000000" w:firstRow="0" w:lastRow="0" w:firstColumn="1" w:lastColumn="0" w:oddVBand="0" w:evenVBand="0" w:oddHBand="0" w:evenHBand="0" w:firstRowFirstColumn="0" w:firstRowLastColumn="0" w:lastRowFirstColumn="0" w:lastRowLastColumn="0"/>
            <w:tcW w:w="1560" w:type="dxa"/>
            <w:vAlign w:val="center"/>
          </w:tcPr>
          <w:p w14:paraId="76F8F4C3" w14:textId="3C867F2A" w:rsidR="008B3A0A" w:rsidRPr="008B3A0A" w:rsidRDefault="008B3A0A" w:rsidP="008B3A0A">
            <w:pPr>
              <w:jc w:val="center"/>
              <w:rPr>
                <w:rFonts w:ascii="Times New Roman" w:hAnsi="Times New Roman" w:cs="Times New Roman"/>
                <w:sz w:val="22"/>
                <w:szCs w:val="22"/>
              </w:rPr>
            </w:pPr>
            <w:r w:rsidRPr="008B3A0A">
              <w:rPr>
                <w:rFonts w:ascii="Times New Roman" w:hAnsi="Times New Roman" w:cs="Times New Roman"/>
                <w:sz w:val="22"/>
                <w:szCs w:val="22"/>
              </w:rPr>
              <w:t>10</w:t>
            </w:r>
          </w:p>
        </w:tc>
        <w:tc>
          <w:tcPr>
            <w:tcW w:w="7790" w:type="dxa"/>
            <w:vAlign w:val="center"/>
          </w:tcPr>
          <w:p w14:paraId="47D2C7EA" w14:textId="2C08FC99" w:rsidR="008B3A0A" w:rsidRPr="008B3A0A" w:rsidRDefault="008B3A0A" w:rsidP="008B3A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B3A0A">
              <w:rPr>
                <w:rFonts w:ascii="Times New Roman" w:hAnsi="Times New Roman" w:cs="Times New Roman"/>
                <w:sz w:val="22"/>
                <w:szCs w:val="22"/>
                <w:lang w:val="en-US"/>
              </w:rPr>
              <w:t>“Breast cancer” AND “overall survival” AND “germline variants”</w:t>
            </w:r>
          </w:p>
        </w:tc>
      </w:tr>
    </w:tbl>
    <w:p w14:paraId="0E143FB3" w14:textId="77777777" w:rsidR="008B3A0A" w:rsidRDefault="008B3A0A">
      <w:pPr>
        <w:rPr>
          <w:rFonts w:ascii="Times New Roman" w:hAnsi="Times New Roman" w:cs="Times New Roman"/>
        </w:rPr>
      </w:pPr>
    </w:p>
    <w:p w14:paraId="1E86879A" w14:textId="77777777" w:rsidR="008B3A0A" w:rsidRPr="008B3A0A" w:rsidRDefault="008B3A0A">
      <w:pPr>
        <w:rPr>
          <w:rFonts w:ascii="Times New Roman" w:hAnsi="Times New Roman" w:cs="Times New Roman"/>
        </w:rPr>
      </w:pPr>
    </w:p>
    <w:p w14:paraId="4B3B1E3E" w14:textId="705FB5ED" w:rsidR="008B3A0A" w:rsidRPr="008B3A0A" w:rsidRDefault="008B3A0A" w:rsidP="008B3A0A">
      <w:pPr>
        <w:rPr>
          <w:rFonts w:ascii="Times New Roman" w:hAnsi="Times New Roman" w:cs="Times New Roman"/>
          <w:b/>
          <w:bCs/>
        </w:rPr>
      </w:pPr>
      <w:r w:rsidRPr="008B3A0A">
        <w:rPr>
          <w:rFonts w:ascii="Times New Roman" w:hAnsi="Times New Roman" w:cs="Times New Roman"/>
          <w:b/>
          <w:bCs/>
        </w:rPr>
        <w:t>Table S2. Search terms with “germline polymorphisms“.</w:t>
      </w:r>
    </w:p>
    <w:p w14:paraId="3604027F" w14:textId="77777777" w:rsidR="008B3A0A" w:rsidRPr="008B3A0A" w:rsidRDefault="008B3A0A" w:rsidP="008B3A0A">
      <w:pPr>
        <w:rPr>
          <w:rFonts w:ascii="Times New Roman" w:hAnsi="Times New Roman" w:cs="Times New Roman"/>
        </w:rPr>
      </w:pPr>
    </w:p>
    <w:tbl>
      <w:tblPr>
        <w:tblStyle w:val="PlainTable2"/>
        <w:tblW w:w="0" w:type="auto"/>
        <w:tblLook w:val="04A0" w:firstRow="1" w:lastRow="0" w:firstColumn="1" w:lastColumn="0" w:noHBand="0" w:noVBand="1"/>
      </w:tblPr>
      <w:tblGrid>
        <w:gridCol w:w="1560"/>
        <w:gridCol w:w="8363"/>
      </w:tblGrid>
      <w:tr w:rsidR="008B3A0A" w:rsidRPr="008B3A0A" w14:paraId="18B43221" w14:textId="77777777" w:rsidTr="003C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2E09109"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Number of search term</w:t>
            </w:r>
          </w:p>
        </w:tc>
        <w:tc>
          <w:tcPr>
            <w:tcW w:w="8363" w:type="dxa"/>
            <w:vAlign w:val="center"/>
          </w:tcPr>
          <w:p w14:paraId="0C28EA61" w14:textId="77777777" w:rsidR="008B3A0A" w:rsidRPr="008B3A0A" w:rsidRDefault="008B3A0A" w:rsidP="00BD66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B3A0A">
              <w:rPr>
                <w:rFonts w:ascii="Times New Roman" w:hAnsi="Times New Roman" w:cs="Times New Roman"/>
                <w:sz w:val="22"/>
                <w:szCs w:val="22"/>
              </w:rPr>
              <w:t>Terms used</w:t>
            </w:r>
          </w:p>
        </w:tc>
      </w:tr>
      <w:tr w:rsidR="008B3A0A" w:rsidRPr="008B3A0A" w14:paraId="3D71CB1C" w14:textId="77777777" w:rsidTr="003C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3F3D9E1"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1</w:t>
            </w:r>
          </w:p>
        </w:tc>
        <w:tc>
          <w:tcPr>
            <w:tcW w:w="8363" w:type="dxa"/>
            <w:vAlign w:val="center"/>
          </w:tcPr>
          <w:p w14:paraId="4CFA67ED" w14:textId="387D327A" w:rsidR="008B3A0A" w:rsidRPr="008B3A0A" w:rsidRDefault="008B3A0A" w:rsidP="00BD6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recurrence” AND “germline polymorphisms”</w:t>
            </w:r>
          </w:p>
        </w:tc>
      </w:tr>
      <w:tr w:rsidR="008B3A0A" w:rsidRPr="008B3A0A" w14:paraId="2BD6BE2B" w14:textId="77777777" w:rsidTr="003C7210">
        <w:tc>
          <w:tcPr>
            <w:cnfStyle w:val="001000000000" w:firstRow="0" w:lastRow="0" w:firstColumn="1" w:lastColumn="0" w:oddVBand="0" w:evenVBand="0" w:oddHBand="0" w:evenHBand="0" w:firstRowFirstColumn="0" w:firstRowLastColumn="0" w:lastRowFirstColumn="0" w:lastRowLastColumn="0"/>
            <w:tcW w:w="1560" w:type="dxa"/>
            <w:vAlign w:val="center"/>
          </w:tcPr>
          <w:p w14:paraId="5189CD1C"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2</w:t>
            </w:r>
          </w:p>
        </w:tc>
        <w:tc>
          <w:tcPr>
            <w:tcW w:w="8363" w:type="dxa"/>
            <w:vAlign w:val="center"/>
          </w:tcPr>
          <w:p w14:paraId="2E8E8024" w14:textId="741BD288" w:rsidR="008B3A0A" w:rsidRPr="008B3A0A" w:rsidRDefault="008B3A0A" w:rsidP="00BD6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metastasis” AND “germline polymorphisms”</w:t>
            </w:r>
          </w:p>
        </w:tc>
      </w:tr>
      <w:tr w:rsidR="008B3A0A" w:rsidRPr="008B3A0A" w14:paraId="353C6C2A" w14:textId="77777777" w:rsidTr="003C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84A5056"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3</w:t>
            </w:r>
          </w:p>
        </w:tc>
        <w:tc>
          <w:tcPr>
            <w:tcW w:w="8363" w:type="dxa"/>
            <w:vAlign w:val="center"/>
          </w:tcPr>
          <w:p w14:paraId="05F8CF7C" w14:textId="0BDDD55A" w:rsidR="008B3A0A" w:rsidRPr="008B3A0A" w:rsidRDefault="008B3A0A" w:rsidP="00BD6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prognosis” AND “germline polymorphisms”</w:t>
            </w:r>
          </w:p>
        </w:tc>
      </w:tr>
      <w:tr w:rsidR="008B3A0A" w:rsidRPr="008B3A0A" w14:paraId="14321BA7" w14:textId="77777777" w:rsidTr="003C7210">
        <w:tc>
          <w:tcPr>
            <w:cnfStyle w:val="001000000000" w:firstRow="0" w:lastRow="0" w:firstColumn="1" w:lastColumn="0" w:oddVBand="0" w:evenVBand="0" w:oddHBand="0" w:evenHBand="0" w:firstRowFirstColumn="0" w:firstRowLastColumn="0" w:lastRowFirstColumn="0" w:lastRowLastColumn="0"/>
            <w:tcW w:w="1560" w:type="dxa"/>
            <w:vAlign w:val="center"/>
          </w:tcPr>
          <w:p w14:paraId="6A0E4FDC"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4</w:t>
            </w:r>
          </w:p>
        </w:tc>
        <w:tc>
          <w:tcPr>
            <w:tcW w:w="8363" w:type="dxa"/>
            <w:vAlign w:val="center"/>
          </w:tcPr>
          <w:p w14:paraId="421AAB80" w14:textId="76C6533F" w:rsidR="008B3A0A" w:rsidRPr="008B3A0A" w:rsidRDefault="008B3A0A" w:rsidP="00BD6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“relapse free survival” AND “germline polymorphisms”</w:t>
            </w:r>
          </w:p>
        </w:tc>
      </w:tr>
      <w:tr w:rsidR="008B3A0A" w:rsidRPr="008B3A0A" w14:paraId="681818AA" w14:textId="77777777" w:rsidTr="003C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15B9A73"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5</w:t>
            </w:r>
          </w:p>
        </w:tc>
        <w:tc>
          <w:tcPr>
            <w:tcW w:w="8363" w:type="dxa"/>
            <w:vAlign w:val="center"/>
          </w:tcPr>
          <w:p w14:paraId="1241243E" w14:textId="3E770BFA" w:rsidR="008B3A0A" w:rsidRPr="008B3A0A" w:rsidRDefault="008B3A0A" w:rsidP="00BD6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“recurrence free survival” AND “germline polymorphisms”</w:t>
            </w:r>
          </w:p>
        </w:tc>
      </w:tr>
      <w:tr w:rsidR="008B3A0A" w:rsidRPr="008B3A0A" w14:paraId="283D77A6" w14:textId="77777777" w:rsidTr="003C7210">
        <w:tc>
          <w:tcPr>
            <w:cnfStyle w:val="001000000000" w:firstRow="0" w:lastRow="0" w:firstColumn="1" w:lastColumn="0" w:oddVBand="0" w:evenVBand="0" w:oddHBand="0" w:evenHBand="0" w:firstRowFirstColumn="0" w:firstRowLastColumn="0" w:lastRowFirstColumn="0" w:lastRowLastColumn="0"/>
            <w:tcW w:w="1560" w:type="dxa"/>
            <w:vAlign w:val="center"/>
          </w:tcPr>
          <w:p w14:paraId="7F773029"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6</w:t>
            </w:r>
          </w:p>
        </w:tc>
        <w:tc>
          <w:tcPr>
            <w:tcW w:w="8363" w:type="dxa"/>
            <w:vAlign w:val="center"/>
          </w:tcPr>
          <w:p w14:paraId="1A7F7F25" w14:textId="497EDEC2" w:rsidR="008B3A0A" w:rsidRPr="008B3A0A" w:rsidRDefault="008B3A0A" w:rsidP="00BD6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“disease free survival” AND “germline polymorphisms”</w:t>
            </w:r>
          </w:p>
        </w:tc>
      </w:tr>
      <w:tr w:rsidR="008B3A0A" w:rsidRPr="008B3A0A" w14:paraId="090397FF" w14:textId="77777777" w:rsidTr="003C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923E08A"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7</w:t>
            </w:r>
          </w:p>
        </w:tc>
        <w:tc>
          <w:tcPr>
            <w:tcW w:w="8363" w:type="dxa"/>
            <w:vAlign w:val="center"/>
          </w:tcPr>
          <w:p w14:paraId="5069E1AD" w14:textId="51DF5435" w:rsidR="008B3A0A" w:rsidRPr="008B3A0A" w:rsidRDefault="008B3A0A" w:rsidP="00BD6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“distant metastasis free survival” AND “germline polymorphisms”</w:t>
            </w:r>
          </w:p>
        </w:tc>
      </w:tr>
      <w:tr w:rsidR="008B3A0A" w:rsidRPr="008B3A0A" w14:paraId="09F934FE" w14:textId="77777777" w:rsidTr="003C7210">
        <w:tc>
          <w:tcPr>
            <w:cnfStyle w:val="001000000000" w:firstRow="0" w:lastRow="0" w:firstColumn="1" w:lastColumn="0" w:oddVBand="0" w:evenVBand="0" w:oddHBand="0" w:evenHBand="0" w:firstRowFirstColumn="0" w:firstRowLastColumn="0" w:lastRowFirstColumn="0" w:lastRowLastColumn="0"/>
            <w:tcW w:w="1560" w:type="dxa"/>
            <w:vAlign w:val="center"/>
          </w:tcPr>
          <w:p w14:paraId="69EAC58F"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8</w:t>
            </w:r>
          </w:p>
        </w:tc>
        <w:tc>
          <w:tcPr>
            <w:tcW w:w="8363" w:type="dxa"/>
            <w:vAlign w:val="center"/>
          </w:tcPr>
          <w:p w14:paraId="6EA9FA6E" w14:textId="697DAD38" w:rsidR="008B3A0A" w:rsidRPr="008B3A0A" w:rsidRDefault="008B3A0A" w:rsidP="00BD6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“progression free survival” AND “germline polymorphisms”</w:t>
            </w:r>
          </w:p>
        </w:tc>
      </w:tr>
      <w:tr w:rsidR="008B3A0A" w:rsidRPr="008B3A0A" w14:paraId="4BD7B82E" w14:textId="77777777" w:rsidTr="003C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8729E75"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9</w:t>
            </w:r>
          </w:p>
        </w:tc>
        <w:tc>
          <w:tcPr>
            <w:tcW w:w="8363" w:type="dxa"/>
            <w:vAlign w:val="center"/>
          </w:tcPr>
          <w:p w14:paraId="2035D276" w14:textId="742C767E" w:rsidR="008B3A0A" w:rsidRPr="008B3A0A" w:rsidRDefault="008B3A0A" w:rsidP="00BD6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8B3A0A">
              <w:rPr>
                <w:rFonts w:ascii="Times New Roman" w:hAnsi="Times New Roman" w:cs="Times New Roman"/>
                <w:sz w:val="22"/>
                <w:szCs w:val="22"/>
                <w:lang w:val="en-US"/>
              </w:rPr>
              <w:t>“Breast cancer” AND “event free survival” AND “germline polymorphisms”</w:t>
            </w:r>
          </w:p>
        </w:tc>
      </w:tr>
      <w:tr w:rsidR="008B3A0A" w:rsidRPr="008B3A0A" w14:paraId="05A9D95C" w14:textId="77777777" w:rsidTr="003C7210">
        <w:tc>
          <w:tcPr>
            <w:cnfStyle w:val="001000000000" w:firstRow="0" w:lastRow="0" w:firstColumn="1" w:lastColumn="0" w:oddVBand="0" w:evenVBand="0" w:oddHBand="0" w:evenHBand="0" w:firstRowFirstColumn="0" w:firstRowLastColumn="0" w:lastRowFirstColumn="0" w:lastRowLastColumn="0"/>
            <w:tcW w:w="1560" w:type="dxa"/>
            <w:vAlign w:val="center"/>
          </w:tcPr>
          <w:p w14:paraId="2DC1A935" w14:textId="77777777" w:rsidR="008B3A0A" w:rsidRPr="008B3A0A" w:rsidRDefault="008B3A0A" w:rsidP="00BD66AD">
            <w:pPr>
              <w:jc w:val="center"/>
              <w:rPr>
                <w:rFonts w:ascii="Times New Roman" w:hAnsi="Times New Roman" w:cs="Times New Roman"/>
                <w:sz w:val="22"/>
                <w:szCs w:val="22"/>
              </w:rPr>
            </w:pPr>
            <w:r w:rsidRPr="008B3A0A">
              <w:rPr>
                <w:rFonts w:ascii="Times New Roman" w:hAnsi="Times New Roman" w:cs="Times New Roman"/>
                <w:sz w:val="22"/>
                <w:szCs w:val="22"/>
              </w:rPr>
              <w:t>10</w:t>
            </w:r>
          </w:p>
        </w:tc>
        <w:tc>
          <w:tcPr>
            <w:tcW w:w="8363" w:type="dxa"/>
            <w:vAlign w:val="center"/>
          </w:tcPr>
          <w:p w14:paraId="798530B0" w14:textId="74AAB936" w:rsidR="008B3A0A" w:rsidRPr="008B3A0A" w:rsidRDefault="008B3A0A" w:rsidP="00BD6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B3A0A">
              <w:rPr>
                <w:rFonts w:ascii="Times New Roman" w:hAnsi="Times New Roman" w:cs="Times New Roman"/>
                <w:sz w:val="22"/>
                <w:szCs w:val="22"/>
                <w:lang w:val="en-US"/>
              </w:rPr>
              <w:t>“Breast cancer” AND “overall survival” AND “germline polymorphisms”</w:t>
            </w:r>
          </w:p>
        </w:tc>
      </w:tr>
    </w:tbl>
    <w:p w14:paraId="600456D7" w14:textId="77777777" w:rsidR="008B3A0A" w:rsidRPr="008B3A0A" w:rsidRDefault="008B3A0A" w:rsidP="008B3A0A">
      <w:pPr>
        <w:rPr>
          <w:rFonts w:ascii="Times New Roman" w:hAnsi="Times New Roman" w:cs="Times New Roman"/>
        </w:rPr>
      </w:pPr>
    </w:p>
    <w:p w14:paraId="186E6ABE" w14:textId="77777777" w:rsidR="008B3A0A" w:rsidRDefault="008B3A0A">
      <w:pPr>
        <w:rPr>
          <w:rFonts w:ascii="Times New Roman" w:hAnsi="Times New Roman" w:cs="Times New Roman"/>
        </w:rPr>
      </w:pPr>
    </w:p>
    <w:p w14:paraId="3B18FE18" w14:textId="77777777" w:rsidR="001B3036" w:rsidRPr="00EA7AFB" w:rsidRDefault="001B3036" w:rsidP="001B3036">
      <w:pPr>
        <w:jc w:val="both"/>
        <w:rPr>
          <w:rFonts w:ascii="Times New Roman" w:hAnsi="Times New Roman" w:cs="Times New Roman"/>
          <w:b/>
          <w:bCs/>
          <w:lang w:val="en-US"/>
        </w:rPr>
      </w:pPr>
      <w:r w:rsidRPr="00EA7AFB">
        <w:rPr>
          <w:rFonts w:ascii="Times New Roman" w:hAnsi="Times New Roman" w:cs="Times New Roman"/>
          <w:b/>
          <w:bCs/>
          <w:noProof/>
          <w:lang w:val="en-US"/>
        </w:rPr>
        <w:lastRenderedPageBreak/>
        <w:drawing>
          <wp:inline distT="0" distB="0" distL="0" distR="0" wp14:anchorId="3AC3136D" wp14:editId="68CD19A8">
            <wp:extent cx="8406493" cy="5037364"/>
            <wp:effectExtent l="0" t="0" r="1270" b="5080"/>
            <wp:docPr id="1822819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19242" name="Picture 1" descr="A screenshot of a computer&#10;&#10;AI-generated content may be incorrect."/>
                    <pic:cNvPicPr/>
                  </pic:nvPicPr>
                  <pic:blipFill rotWithShape="1">
                    <a:blip r:embed="rId5" cstate="print">
                      <a:extLst>
                        <a:ext uri="{28A0092B-C50C-407E-A947-70E740481C1C}">
                          <a14:useLocalDpi xmlns:a14="http://schemas.microsoft.com/office/drawing/2010/main" val="0"/>
                        </a:ext>
                      </a:extLst>
                    </a:blip>
                    <a:srcRect l="1357" r="1629"/>
                    <a:stretch/>
                  </pic:blipFill>
                  <pic:spPr bwMode="auto">
                    <a:xfrm>
                      <a:off x="0" y="0"/>
                      <a:ext cx="8420226" cy="5045593"/>
                    </a:xfrm>
                    <a:prstGeom prst="rect">
                      <a:avLst/>
                    </a:prstGeom>
                    <a:ln>
                      <a:noFill/>
                    </a:ln>
                    <a:extLst>
                      <a:ext uri="{53640926-AAD7-44D8-BBD7-CCE9431645EC}">
                        <a14:shadowObscured xmlns:a14="http://schemas.microsoft.com/office/drawing/2010/main"/>
                      </a:ext>
                    </a:extLst>
                  </pic:spPr>
                </pic:pic>
              </a:graphicData>
            </a:graphic>
          </wp:inline>
        </w:drawing>
      </w:r>
    </w:p>
    <w:p w14:paraId="1DAFDDAF" w14:textId="3C53F316" w:rsidR="001B3036" w:rsidRPr="003C7210" w:rsidRDefault="001B3036" w:rsidP="003C7210">
      <w:pPr>
        <w:jc w:val="both"/>
        <w:rPr>
          <w:rFonts w:ascii="Times New Roman" w:hAnsi="Times New Roman" w:cs="Times New Roman"/>
          <w:lang w:val="en-US"/>
        </w:rPr>
      </w:pPr>
      <w:r w:rsidRPr="00EA7AFB">
        <w:rPr>
          <w:rFonts w:ascii="Times New Roman" w:hAnsi="Times New Roman" w:cs="Times New Roman"/>
          <w:b/>
          <w:bCs/>
          <w:lang w:val="en-US"/>
        </w:rPr>
        <w:t xml:space="preserve">Figure </w:t>
      </w:r>
      <w:r>
        <w:rPr>
          <w:rFonts w:ascii="Times New Roman" w:hAnsi="Times New Roman" w:cs="Times New Roman"/>
          <w:b/>
          <w:bCs/>
          <w:lang w:val="en-US"/>
        </w:rPr>
        <w:t>S1</w:t>
      </w:r>
      <w:r w:rsidRPr="00EA7AFB">
        <w:rPr>
          <w:rFonts w:ascii="Times New Roman" w:hAnsi="Times New Roman" w:cs="Times New Roman"/>
          <w:b/>
          <w:bCs/>
          <w:lang w:val="en-US"/>
        </w:rPr>
        <w:t>. Forest plots of clusters 1 to 6 and BRCA mutations.</w:t>
      </w:r>
      <w:r w:rsidRPr="00EA7AFB">
        <w:rPr>
          <w:rFonts w:ascii="Times New Roman" w:hAnsi="Times New Roman" w:cs="Times New Roman"/>
          <w:lang w:val="en-US"/>
        </w:rPr>
        <w:t xml:space="preserve"> Overall estimates were calculated when two or more estimates were reported for each outcome and are presented at the end of the list. For visual consistency, confidence intervals (CIs) exceeding 12 were capped at that value and indicated with an arrow at the line´s end. The width of each estimate´s square reflects the corresponding Standard Error (SE). During the meta-analysis, cluster 3 was modified, ADPQ and LEPR were removed and TNF</w:t>
      </w:r>
      <w:r w:rsidRPr="00EA7AFB">
        <w:rPr>
          <w:rFonts w:ascii="Times New Roman" w:hAnsi="Times New Roman" w:cs="Times New Roman"/>
          <w:lang w:val="en-US"/>
        </w:rPr>
        <w:sym w:font="Symbol" w:char="F061"/>
      </w:r>
      <w:r w:rsidRPr="00EA7AFB">
        <w:rPr>
          <w:rFonts w:ascii="Times New Roman" w:hAnsi="Times New Roman" w:cs="Times New Roman"/>
          <w:lang w:val="en-US"/>
        </w:rPr>
        <w:t xml:space="preserve"> was added to group the genes involved in immune system.</w:t>
      </w:r>
    </w:p>
    <w:sectPr w:rsidR="001B3036" w:rsidRPr="003C7210" w:rsidSect="003C7210">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206F5"/>
    <w:multiLevelType w:val="hybridMultilevel"/>
    <w:tmpl w:val="6B38D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0411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877"/>
    <w:rsid w:val="00046205"/>
    <w:rsid w:val="001B3036"/>
    <w:rsid w:val="003C7210"/>
    <w:rsid w:val="005D09D8"/>
    <w:rsid w:val="008B3A0A"/>
    <w:rsid w:val="00930377"/>
    <w:rsid w:val="00F32877"/>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1BB5411C"/>
  <w15:chartTrackingRefBased/>
  <w15:docId w15:val="{75A0C92D-7316-5F41-924A-07A235200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8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28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28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28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28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28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8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8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8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8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28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28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28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28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28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8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8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877"/>
    <w:rPr>
      <w:rFonts w:eastAsiaTheme="majorEastAsia" w:cstheme="majorBidi"/>
      <w:color w:val="272727" w:themeColor="text1" w:themeTint="D8"/>
    </w:rPr>
  </w:style>
  <w:style w:type="paragraph" w:styleId="Title">
    <w:name w:val="Title"/>
    <w:basedOn w:val="Normal"/>
    <w:next w:val="Normal"/>
    <w:link w:val="TitleChar"/>
    <w:uiPriority w:val="10"/>
    <w:qFormat/>
    <w:rsid w:val="00F3287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8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87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8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87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32877"/>
    <w:rPr>
      <w:i/>
      <w:iCs/>
      <w:color w:val="404040" w:themeColor="text1" w:themeTint="BF"/>
    </w:rPr>
  </w:style>
  <w:style w:type="paragraph" w:styleId="ListParagraph">
    <w:name w:val="List Paragraph"/>
    <w:basedOn w:val="Normal"/>
    <w:uiPriority w:val="34"/>
    <w:qFormat/>
    <w:rsid w:val="00F32877"/>
    <w:pPr>
      <w:ind w:left="720"/>
      <w:contextualSpacing/>
    </w:pPr>
  </w:style>
  <w:style w:type="character" w:styleId="IntenseEmphasis">
    <w:name w:val="Intense Emphasis"/>
    <w:basedOn w:val="DefaultParagraphFont"/>
    <w:uiPriority w:val="21"/>
    <w:qFormat/>
    <w:rsid w:val="00F32877"/>
    <w:rPr>
      <w:i/>
      <w:iCs/>
      <w:color w:val="0F4761" w:themeColor="accent1" w:themeShade="BF"/>
    </w:rPr>
  </w:style>
  <w:style w:type="paragraph" w:styleId="IntenseQuote">
    <w:name w:val="Intense Quote"/>
    <w:basedOn w:val="Normal"/>
    <w:next w:val="Normal"/>
    <w:link w:val="IntenseQuoteChar"/>
    <w:uiPriority w:val="30"/>
    <w:qFormat/>
    <w:rsid w:val="00F328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2877"/>
    <w:rPr>
      <w:i/>
      <w:iCs/>
      <w:color w:val="0F4761" w:themeColor="accent1" w:themeShade="BF"/>
    </w:rPr>
  </w:style>
  <w:style w:type="character" w:styleId="IntenseReference">
    <w:name w:val="Intense Reference"/>
    <w:basedOn w:val="DefaultParagraphFont"/>
    <w:uiPriority w:val="32"/>
    <w:qFormat/>
    <w:rsid w:val="00F32877"/>
    <w:rPr>
      <w:b/>
      <w:bCs/>
      <w:smallCaps/>
      <w:color w:val="0F4761" w:themeColor="accent1" w:themeShade="BF"/>
      <w:spacing w:val="5"/>
    </w:rPr>
  </w:style>
  <w:style w:type="table" w:styleId="TableGrid">
    <w:name w:val="Table Grid"/>
    <w:basedOn w:val="TableNormal"/>
    <w:uiPriority w:val="39"/>
    <w:rsid w:val="008B3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B3A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321</Words>
  <Characters>1833</Characters>
  <Application>Microsoft Office Word</Application>
  <DocSecurity>0</DocSecurity>
  <Lines>15</Lines>
  <Paragraphs>4</Paragraphs>
  <ScaleCrop>false</ScaleCrop>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Ariadna Celina Gutiérrez González</dc:creator>
  <cp:keywords/>
  <dc:description/>
  <cp:lastModifiedBy>Ariadna Celina Gutiérrez González</cp:lastModifiedBy>
  <cp:revision>4</cp:revision>
  <dcterms:created xsi:type="dcterms:W3CDTF">2025-02-12T22:05:00Z</dcterms:created>
  <dcterms:modified xsi:type="dcterms:W3CDTF">2025-04-10T18:08:00Z</dcterms:modified>
</cp:coreProperties>
</file>