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751631" w14:textId="77777777" w:rsidR="004C3A54" w:rsidRPr="009E39C6" w:rsidRDefault="004C3A54" w:rsidP="004C3A54">
      <w:pPr>
        <w:spacing w:line="276" w:lineRule="auto"/>
        <w:jc w:val="center"/>
        <w:rPr>
          <w:rFonts w:ascii="Sylfaen" w:hAnsi="Sylfaen"/>
          <w:sz w:val="22"/>
          <w:szCs w:val="22"/>
        </w:rPr>
      </w:pPr>
      <w:r w:rsidRPr="009E39C6">
        <w:rPr>
          <w:rFonts w:ascii="Sylfaen" w:hAnsi="Sylfaen"/>
        </w:rPr>
        <w:t>IX.</w:t>
      </w:r>
      <w:r w:rsidRPr="009E39C6">
        <w:rPr>
          <w:rFonts w:ascii="Sylfaen" w:hAnsi="Sylfaen"/>
        </w:rPr>
        <w:tab/>
      </w:r>
      <w:r>
        <w:rPr>
          <w:rFonts w:ascii="Sylfaen" w:hAnsi="Sylfaen"/>
          <w:noProof/>
          <w:sz w:val="22"/>
          <w:szCs w:val="22"/>
        </w:rPr>
        <w:drawing>
          <wp:anchor distT="0" distB="0" distL="114300" distR="114300" simplePos="0" relativeHeight="251659264" behindDoc="0" locked="0" layoutInCell="1" allowOverlap="1" wp14:anchorId="1E236BCF" wp14:editId="4FEBB6EB">
            <wp:simplePos x="0" y="0"/>
            <wp:positionH relativeFrom="margin">
              <wp:posOffset>361950</wp:posOffset>
            </wp:positionH>
            <wp:positionV relativeFrom="paragraph">
              <wp:posOffset>274955</wp:posOffset>
            </wp:positionV>
            <wp:extent cx="2647950" cy="1588770"/>
            <wp:effectExtent l="0" t="0" r="0" b="0"/>
            <wp:wrapTopAndBottom/>
            <wp:docPr id="2114501132" name="Picture 1" descr="A diagram of a plant life cy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501132" name="Picture 1" descr="A diagram of a plant life cycle&#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47950" cy="1588770"/>
                    </a:xfrm>
                    <a:prstGeom prst="rect">
                      <a:avLst/>
                    </a:prstGeom>
                  </pic:spPr>
                </pic:pic>
              </a:graphicData>
            </a:graphic>
            <wp14:sizeRelH relativeFrom="margin">
              <wp14:pctWidth>0</wp14:pctWidth>
            </wp14:sizeRelH>
            <wp14:sizeRelV relativeFrom="margin">
              <wp14:pctHeight>0</wp14:pctHeight>
            </wp14:sizeRelV>
          </wp:anchor>
        </w:drawing>
      </w:r>
      <w:r>
        <w:rPr>
          <w:rFonts w:ascii="Sylfaen" w:hAnsi="Sylfaen"/>
          <w:b/>
          <w:bCs/>
          <w:sz w:val="22"/>
          <w:szCs w:val="22"/>
        </w:rPr>
        <w:t>APPENDIX</w:t>
      </w:r>
    </w:p>
    <w:p w14:paraId="15E13317" w14:textId="77777777" w:rsidR="004C3A54" w:rsidRDefault="004C3A54" w:rsidP="004C3A54">
      <w:pPr>
        <w:widowControl w:val="0"/>
        <w:spacing w:before="240" w:after="240" w:line="276" w:lineRule="auto"/>
        <w:jc w:val="center"/>
        <w:rPr>
          <w:rFonts w:asciiTheme="majorBidi" w:eastAsia="Times New Roman" w:hAnsiTheme="majorBidi" w:cstheme="majorBidi"/>
          <w:sz w:val="16"/>
          <w:szCs w:val="16"/>
          <w:lang w:val="en-US"/>
        </w:rPr>
      </w:pPr>
      <w:r>
        <w:rPr>
          <w:rFonts w:asciiTheme="majorBidi" w:eastAsia="Times New Roman" w:hAnsiTheme="majorBidi" w:cstheme="majorBidi"/>
          <w:sz w:val="16"/>
          <w:szCs w:val="16"/>
          <w:lang w:val="en-US"/>
        </w:rPr>
        <w:t>Illustration 1</w:t>
      </w:r>
    </w:p>
    <w:p w14:paraId="7B71B24C" w14:textId="77777777" w:rsidR="004C3A54" w:rsidRDefault="004C3A54" w:rsidP="004C3A54">
      <w:pPr>
        <w:widowControl w:val="0"/>
        <w:spacing w:before="240" w:after="240" w:line="276" w:lineRule="auto"/>
        <w:jc w:val="center"/>
        <w:rPr>
          <w:rFonts w:asciiTheme="majorBidi" w:eastAsia="Times New Roman" w:hAnsiTheme="majorBidi" w:cstheme="majorBidi"/>
          <w:b/>
          <w:bCs/>
          <w:sz w:val="16"/>
          <w:szCs w:val="16"/>
          <w:lang w:val="en-US"/>
        </w:rPr>
      </w:pPr>
      <w:r>
        <w:rPr>
          <w:rFonts w:asciiTheme="majorBidi" w:eastAsia="Times New Roman" w:hAnsiTheme="majorBidi" w:cstheme="majorBidi"/>
          <w:sz w:val="16"/>
          <w:szCs w:val="16"/>
          <w:lang w:val="en-US"/>
        </w:rPr>
        <w:t>Graphical abstract of the research study titled “</w:t>
      </w:r>
      <w:r w:rsidRPr="00504531">
        <w:rPr>
          <w:rFonts w:asciiTheme="majorBidi" w:eastAsia="Times New Roman" w:hAnsiTheme="majorBidi" w:cstheme="majorBidi"/>
          <w:b/>
          <w:bCs/>
          <w:sz w:val="16"/>
          <w:szCs w:val="16"/>
          <w:lang w:val="en-US"/>
        </w:rPr>
        <w:t xml:space="preserve">Bio-available Fertilizer for Hydroponic Lettuce </w:t>
      </w:r>
      <w:r w:rsidRPr="00504531">
        <w:rPr>
          <w:rFonts w:asciiTheme="majorBidi" w:eastAsia="Times New Roman" w:hAnsiTheme="majorBidi" w:cstheme="majorBidi"/>
          <w:b/>
          <w:bCs/>
          <w:i/>
          <w:iCs/>
          <w:sz w:val="16"/>
          <w:szCs w:val="16"/>
          <w:lang w:val="en-US"/>
        </w:rPr>
        <w:t>(Lactuca sativa L. var. longifolia)</w:t>
      </w:r>
      <w:r w:rsidRPr="00504531">
        <w:rPr>
          <w:rFonts w:asciiTheme="majorBidi" w:eastAsia="Times New Roman" w:hAnsiTheme="majorBidi" w:cstheme="majorBidi"/>
          <w:b/>
          <w:bCs/>
          <w:sz w:val="16"/>
          <w:szCs w:val="16"/>
          <w:lang w:val="en-US"/>
        </w:rPr>
        <w:t xml:space="preserve"> </w:t>
      </w:r>
      <w:r>
        <w:rPr>
          <w:rFonts w:asciiTheme="majorBidi" w:eastAsia="Times New Roman" w:hAnsiTheme="majorBidi" w:cstheme="majorBidi"/>
          <w:b/>
          <w:bCs/>
          <w:sz w:val="16"/>
          <w:szCs w:val="16"/>
          <w:lang w:val="en-US"/>
        </w:rPr>
        <w:t xml:space="preserve"> </w:t>
      </w:r>
      <w:r w:rsidRPr="00504531">
        <w:rPr>
          <w:rFonts w:asciiTheme="majorBidi" w:eastAsia="Times New Roman" w:hAnsiTheme="majorBidi" w:cstheme="majorBidi"/>
          <w:b/>
          <w:bCs/>
          <w:sz w:val="16"/>
          <w:szCs w:val="16"/>
          <w:lang w:val="en-US"/>
        </w:rPr>
        <w:t xml:space="preserve">from byproducts of </w:t>
      </w:r>
      <w:r w:rsidRPr="00504531">
        <w:rPr>
          <w:rFonts w:asciiTheme="majorBidi" w:eastAsia="Times New Roman" w:hAnsiTheme="majorBidi" w:cstheme="majorBidi"/>
          <w:b/>
          <w:bCs/>
          <w:i/>
          <w:iCs/>
          <w:sz w:val="16"/>
          <w:szCs w:val="16"/>
          <w:lang w:val="en-US"/>
        </w:rPr>
        <w:t>Chlorella vulgaris</w:t>
      </w:r>
      <w:r>
        <w:rPr>
          <w:rFonts w:asciiTheme="majorBidi" w:eastAsia="Times New Roman" w:hAnsiTheme="majorBidi" w:cstheme="majorBidi"/>
          <w:b/>
          <w:bCs/>
          <w:sz w:val="16"/>
          <w:szCs w:val="16"/>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811"/>
        <w:gridCol w:w="1065"/>
        <w:gridCol w:w="1289"/>
        <w:gridCol w:w="6185"/>
      </w:tblGrid>
      <w:tr w:rsidR="004C3A54" w:rsidRPr="005176FB" w14:paraId="6EC0C26E" w14:textId="77777777" w:rsidTr="000B1498">
        <w:trPr>
          <w:trHeight w:val="651"/>
        </w:trPr>
        <w:tc>
          <w:tcPr>
            <w:tcW w:w="0" w:type="auto"/>
            <w:gridSpan w:val="4"/>
            <w:tcBorders>
              <w:top w:val="single" w:sz="4" w:space="0" w:color="FFFFFF"/>
              <w:left w:val="single" w:sz="4" w:space="0" w:color="FFFFFF"/>
              <w:bottom w:val="single" w:sz="12" w:space="0" w:color="000000"/>
              <w:right w:val="single" w:sz="4" w:space="0" w:color="FFFFFF"/>
            </w:tcBorders>
            <w:tcMar>
              <w:top w:w="0" w:type="dxa"/>
              <w:left w:w="100" w:type="dxa"/>
              <w:bottom w:w="0" w:type="dxa"/>
              <w:right w:w="100" w:type="dxa"/>
            </w:tcMar>
            <w:hideMark/>
          </w:tcPr>
          <w:p w14:paraId="53D20F9C"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 xml:space="preserve">TABLE 7 </w:t>
            </w:r>
          </w:p>
          <w:p w14:paraId="3CADB335"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Seasonal Suitability for Lettuce Cultivation in the Philippines with Supporting Literature </w:t>
            </w:r>
          </w:p>
        </w:tc>
      </w:tr>
      <w:tr w:rsidR="004C3A54" w:rsidRPr="005176FB" w14:paraId="3A8E2FDF" w14:textId="77777777" w:rsidTr="000B1498">
        <w:trPr>
          <w:trHeight w:val="855"/>
        </w:trPr>
        <w:tc>
          <w:tcPr>
            <w:tcW w:w="0" w:type="auto"/>
            <w:tcBorders>
              <w:top w:val="single" w:sz="12" w:space="0" w:color="000000"/>
              <w:bottom w:val="single" w:sz="12" w:space="0" w:color="000000"/>
            </w:tcBorders>
            <w:shd w:val="clear" w:color="auto" w:fill="FFFFFF"/>
            <w:tcMar>
              <w:top w:w="0" w:type="dxa"/>
              <w:left w:w="100" w:type="dxa"/>
              <w:bottom w:w="0" w:type="dxa"/>
              <w:right w:w="100" w:type="dxa"/>
            </w:tcMar>
            <w:hideMark/>
          </w:tcPr>
          <w:p w14:paraId="73EFEF6B"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b/>
                <w:bCs/>
                <w:sz w:val="16"/>
                <w:szCs w:val="16"/>
                <w:lang w:val="en-PH"/>
              </w:rPr>
            </w:pPr>
            <w:r w:rsidRPr="005176FB">
              <w:rPr>
                <w:rFonts w:asciiTheme="majorBidi" w:eastAsia="Times New Roman" w:hAnsiTheme="majorBidi" w:cstheme="majorBidi"/>
                <w:b/>
                <w:bCs/>
                <w:sz w:val="16"/>
                <w:szCs w:val="16"/>
                <w:lang w:val="en-PH"/>
              </w:rPr>
              <w:t>Season</w:t>
            </w:r>
          </w:p>
        </w:tc>
        <w:tc>
          <w:tcPr>
            <w:tcW w:w="0" w:type="auto"/>
            <w:tcBorders>
              <w:top w:val="single" w:sz="12" w:space="0" w:color="000000"/>
              <w:bottom w:val="single" w:sz="12" w:space="0" w:color="000000"/>
            </w:tcBorders>
            <w:shd w:val="clear" w:color="auto" w:fill="FFFFFF"/>
            <w:tcMar>
              <w:top w:w="0" w:type="dxa"/>
              <w:left w:w="100" w:type="dxa"/>
              <w:bottom w:w="0" w:type="dxa"/>
              <w:right w:w="100" w:type="dxa"/>
            </w:tcMar>
            <w:hideMark/>
          </w:tcPr>
          <w:p w14:paraId="56C0C6A5"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b/>
                <w:bCs/>
                <w:sz w:val="16"/>
                <w:szCs w:val="16"/>
                <w:lang w:val="en-PH"/>
              </w:rPr>
            </w:pPr>
            <w:r w:rsidRPr="005176FB">
              <w:rPr>
                <w:rFonts w:asciiTheme="majorBidi" w:eastAsia="Times New Roman" w:hAnsiTheme="majorBidi" w:cstheme="majorBidi"/>
                <w:b/>
                <w:bCs/>
                <w:sz w:val="16"/>
                <w:szCs w:val="16"/>
                <w:lang w:val="en-PH"/>
              </w:rPr>
              <w:t>Months</w:t>
            </w:r>
          </w:p>
        </w:tc>
        <w:tc>
          <w:tcPr>
            <w:tcW w:w="0" w:type="auto"/>
            <w:tcBorders>
              <w:top w:val="single" w:sz="12" w:space="0" w:color="000000"/>
              <w:bottom w:val="single" w:sz="12" w:space="0" w:color="000000"/>
            </w:tcBorders>
            <w:shd w:val="clear" w:color="auto" w:fill="FFFFFF"/>
            <w:tcMar>
              <w:top w:w="0" w:type="dxa"/>
              <w:left w:w="100" w:type="dxa"/>
              <w:bottom w:w="0" w:type="dxa"/>
              <w:right w:w="100" w:type="dxa"/>
            </w:tcMar>
            <w:hideMark/>
          </w:tcPr>
          <w:p w14:paraId="3C917BA3"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b/>
                <w:bCs/>
                <w:sz w:val="16"/>
                <w:szCs w:val="16"/>
                <w:lang w:val="en-PH"/>
              </w:rPr>
            </w:pPr>
            <w:r w:rsidRPr="005176FB">
              <w:rPr>
                <w:rFonts w:asciiTheme="majorBidi" w:eastAsia="Times New Roman" w:hAnsiTheme="majorBidi" w:cstheme="majorBidi"/>
                <w:b/>
                <w:bCs/>
                <w:sz w:val="16"/>
                <w:szCs w:val="16"/>
                <w:lang w:val="en-PH"/>
              </w:rPr>
              <w:t>Suitability for lettuce cultivation</w:t>
            </w:r>
          </w:p>
        </w:tc>
        <w:tc>
          <w:tcPr>
            <w:tcW w:w="0" w:type="auto"/>
            <w:tcBorders>
              <w:top w:val="single" w:sz="12" w:space="0" w:color="000000"/>
              <w:bottom w:val="single" w:sz="12" w:space="0" w:color="000000"/>
            </w:tcBorders>
            <w:shd w:val="clear" w:color="auto" w:fill="FFFFFF"/>
            <w:tcMar>
              <w:top w:w="0" w:type="dxa"/>
              <w:left w:w="100" w:type="dxa"/>
              <w:bottom w:w="0" w:type="dxa"/>
              <w:right w:w="100" w:type="dxa"/>
            </w:tcMar>
            <w:hideMark/>
          </w:tcPr>
          <w:p w14:paraId="3440F1EF"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b/>
                <w:bCs/>
                <w:sz w:val="16"/>
                <w:szCs w:val="16"/>
                <w:lang w:val="en-PH"/>
              </w:rPr>
            </w:pPr>
            <w:r w:rsidRPr="005176FB">
              <w:rPr>
                <w:rFonts w:asciiTheme="majorBidi" w:eastAsia="Times New Roman" w:hAnsiTheme="majorBidi" w:cstheme="majorBidi"/>
                <w:b/>
                <w:bCs/>
                <w:sz w:val="16"/>
                <w:szCs w:val="16"/>
                <w:lang w:val="en-PH"/>
              </w:rPr>
              <w:t>Supporting literature</w:t>
            </w:r>
          </w:p>
        </w:tc>
      </w:tr>
      <w:tr w:rsidR="004C3A54" w:rsidRPr="005176FB" w14:paraId="082D9103" w14:textId="77777777" w:rsidTr="000B1498">
        <w:trPr>
          <w:trHeight w:val="2220"/>
        </w:trPr>
        <w:tc>
          <w:tcPr>
            <w:tcW w:w="0" w:type="auto"/>
            <w:tcBorders>
              <w:top w:val="single" w:sz="12" w:space="0" w:color="000000"/>
              <w:bottom w:val="single" w:sz="4" w:space="0" w:color="7F7F7F"/>
            </w:tcBorders>
            <w:tcMar>
              <w:top w:w="0" w:type="dxa"/>
              <w:left w:w="100" w:type="dxa"/>
              <w:bottom w:w="0" w:type="dxa"/>
              <w:right w:w="100" w:type="dxa"/>
            </w:tcMar>
            <w:hideMark/>
          </w:tcPr>
          <w:p w14:paraId="7BCF53E0"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b/>
                <w:bCs/>
                <w:sz w:val="16"/>
                <w:szCs w:val="16"/>
                <w:lang w:val="en-PH"/>
              </w:rPr>
            </w:pPr>
            <w:r w:rsidRPr="005176FB">
              <w:rPr>
                <w:rFonts w:asciiTheme="majorBidi" w:eastAsia="Times New Roman" w:hAnsiTheme="majorBidi" w:cstheme="majorBidi"/>
                <w:b/>
                <w:bCs/>
                <w:i/>
                <w:iCs/>
                <w:sz w:val="16"/>
                <w:szCs w:val="16"/>
                <w:lang w:val="en-PH"/>
              </w:rPr>
              <w:t>Cold dry season</w:t>
            </w:r>
          </w:p>
        </w:tc>
        <w:tc>
          <w:tcPr>
            <w:tcW w:w="0" w:type="auto"/>
            <w:tcBorders>
              <w:top w:val="single" w:sz="12" w:space="0" w:color="000000"/>
              <w:bottom w:val="single" w:sz="4" w:space="0" w:color="7F7F7F"/>
            </w:tcBorders>
            <w:tcMar>
              <w:top w:w="0" w:type="dxa"/>
              <w:left w:w="100" w:type="dxa"/>
              <w:bottom w:w="0" w:type="dxa"/>
              <w:right w:w="100" w:type="dxa"/>
            </w:tcMar>
            <w:hideMark/>
          </w:tcPr>
          <w:p w14:paraId="5BD1BEB8"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November to February</w:t>
            </w:r>
          </w:p>
        </w:tc>
        <w:tc>
          <w:tcPr>
            <w:tcW w:w="0" w:type="auto"/>
            <w:tcBorders>
              <w:top w:val="single" w:sz="12" w:space="0" w:color="000000"/>
              <w:bottom w:val="single" w:sz="4" w:space="0" w:color="7F7F7F"/>
            </w:tcBorders>
            <w:tcMar>
              <w:top w:w="0" w:type="dxa"/>
              <w:left w:w="100" w:type="dxa"/>
              <w:bottom w:w="0" w:type="dxa"/>
              <w:right w:w="100" w:type="dxa"/>
            </w:tcMar>
            <w:hideMark/>
          </w:tcPr>
          <w:p w14:paraId="188E8CE9"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Ideal</w:t>
            </w:r>
          </w:p>
        </w:tc>
        <w:tc>
          <w:tcPr>
            <w:tcW w:w="0" w:type="auto"/>
            <w:tcBorders>
              <w:top w:val="single" w:sz="12" w:space="0" w:color="000000"/>
              <w:bottom w:val="single" w:sz="4" w:space="0" w:color="7F7F7F"/>
            </w:tcBorders>
            <w:tcMar>
              <w:top w:w="0" w:type="dxa"/>
              <w:left w:w="100" w:type="dxa"/>
              <w:bottom w:w="0" w:type="dxa"/>
              <w:right w:w="100" w:type="dxa"/>
            </w:tcMar>
            <w:hideMark/>
          </w:tcPr>
          <w:p w14:paraId="2FC087FC" w14:textId="77777777" w:rsidR="004C3A54" w:rsidRPr="005176FB" w:rsidRDefault="004C3A54" w:rsidP="000B1498">
            <w:pPr>
              <w:widowControl w:val="0"/>
              <w:spacing w:before="240" w:after="240" w:line="276" w:lineRule="auto"/>
              <w:jc w:val="both"/>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 xml:space="preserve">  </w:t>
            </w:r>
            <w:r w:rsidRPr="005176FB">
              <w:rPr>
                <w:rFonts w:asciiTheme="majorBidi" w:eastAsia="Times New Roman" w:hAnsiTheme="majorBidi" w:cstheme="majorBidi"/>
                <w:sz w:val="16"/>
                <w:szCs w:val="16"/>
                <w:lang w:val="en-PH"/>
              </w:rPr>
              <w:tab/>
              <w:t>In the study conducted by Gonzaga, et al. (2017) based upon the statistical result, it indicates that lettuce plants thrive in cooler temperatures prevalent during this season leading to better yield and growth.</w:t>
            </w:r>
          </w:p>
        </w:tc>
      </w:tr>
      <w:tr w:rsidR="004C3A54" w:rsidRPr="005176FB" w14:paraId="50F201D9" w14:textId="77777777" w:rsidTr="000B1498">
        <w:trPr>
          <w:trHeight w:val="3330"/>
        </w:trPr>
        <w:tc>
          <w:tcPr>
            <w:tcW w:w="0" w:type="auto"/>
            <w:tcBorders>
              <w:top w:val="single" w:sz="4" w:space="0" w:color="7F7F7F"/>
              <w:bottom w:val="single" w:sz="4" w:space="0" w:color="7F7F7F"/>
            </w:tcBorders>
            <w:tcMar>
              <w:top w:w="0" w:type="dxa"/>
              <w:left w:w="100" w:type="dxa"/>
              <w:bottom w:w="0" w:type="dxa"/>
              <w:right w:w="100" w:type="dxa"/>
            </w:tcMar>
            <w:hideMark/>
          </w:tcPr>
          <w:p w14:paraId="5720D7FC"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b/>
                <w:bCs/>
                <w:sz w:val="16"/>
                <w:szCs w:val="16"/>
                <w:lang w:val="en-PH"/>
              </w:rPr>
            </w:pPr>
            <w:r w:rsidRPr="005176FB">
              <w:rPr>
                <w:rFonts w:asciiTheme="majorBidi" w:eastAsia="Times New Roman" w:hAnsiTheme="majorBidi" w:cstheme="majorBidi"/>
                <w:b/>
                <w:bCs/>
                <w:i/>
                <w:iCs/>
                <w:sz w:val="16"/>
                <w:szCs w:val="16"/>
                <w:lang w:val="en-PH"/>
              </w:rPr>
              <w:t>Hot dry Season</w:t>
            </w:r>
          </w:p>
        </w:tc>
        <w:tc>
          <w:tcPr>
            <w:tcW w:w="0" w:type="auto"/>
            <w:tcBorders>
              <w:top w:val="single" w:sz="4" w:space="0" w:color="7F7F7F"/>
              <w:bottom w:val="single" w:sz="4" w:space="0" w:color="7F7F7F"/>
            </w:tcBorders>
            <w:tcMar>
              <w:top w:w="0" w:type="dxa"/>
              <w:left w:w="100" w:type="dxa"/>
              <w:bottom w:w="0" w:type="dxa"/>
              <w:right w:w="100" w:type="dxa"/>
            </w:tcMar>
            <w:hideMark/>
          </w:tcPr>
          <w:p w14:paraId="220ACBB8"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March to May</w:t>
            </w:r>
          </w:p>
        </w:tc>
        <w:tc>
          <w:tcPr>
            <w:tcW w:w="0" w:type="auto"/>
            <w:tcBorders>
              <w:top w:val="single" w:sz="4" w:space="0" w:color="7F7F7F"/>
              <w:bottom w:val="single" w:sz="4" w:space="0" w:color="7F7F7F"/>
            </w:tcBorders>
            <w:tcMar>
              <w:top w:w="0" w:type="dxa"/>
              <w:left w:w="100" w:type="dxa"/>
              <w:bottom w:w="0" w:type="dxa"/>
              <w:right w:w="100" w:type="dxa"/>
            </w:tcMar>
            <w:hideMark/>
          </w:tcPr>
          <w:p w14:paraId="13361E46"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Moderate to difficult</w:t>
            </w:r>
          </w:p>
        </w:tc>
        <w:tc>
          <w:tcPr>
            <w:tcW w:w="0" w:type="auto"/>
            <w:tcBorders>
              <w:top w:val="single" w:sz="4" w:space="0" w:color="7F7F7F"/>
              <w:bottom w:val="single" w:sz="4" w:space="0" w:color="7F7F7F"/>
            </w:tcBorders>
            <w:tcMar>
              <w:top w:w="0" w:type="dxa"/>
              <w:left w:w="100" w:type="dxa"/>
              <w:bottom w:w="0" w:type="dxa"/>
              <w:right w:w="100" w:type="dxa"/>
            </w:tcMar>
            <w:hideMark/>
          </w:tcPr>
          <w:p w14:paraId="1E342166" w14:textId="77777777" w:rsidR="004C3A54" w:rsidRPr="005176FB" w:rsidRDefault="004C3A54" w:rsidP="000B1498">
            <w:pPr>
              <w:widowControl w:val="0"/>
              <w:spacing w:before="240" w:after="240" w:line="276" w:lineRule="auto"/>
              <w:jc w:val="both"/>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 xml:space="preserve">  </w:t>
            </w:r>
            <w:r w:rsidRPr="005176FB">
              <w:rPr>
                <w:rFonts w:asciiTheme="majorBidi" w:eastAsia="Times New Roman" w:hAnsiTheme="majorBidi" w:cstheme="majorBidi"/>
                <w:sz w:val="16"/>
                <w:szCs w:val="16"/>
                <w:lang w:val="en-PH"/>
              </w:rPr>
              <w:tab/>
              <w:t>While the cold dry season is suitable for cultivating lettuce plants, the research study conducted by Gonzaga, et al. (2017) also shows that the high temperature during the hot dry season can cause bolting to lettuce plants; only controlled environments such as greenhouse or shade neat can mitigate these physiological stresses.</w:t>
            </w:r>
          </w:p>
        </w:tc>
      </w:tr>
      <w:tr w:rsidR="004C3A54" w:rsidRPr="005176FB" w14:paraId="0766DAAE" w14:textId="77777777" w:rsidTr="000B1498">
        <w:trPr>
          <w:trHeight w:val="1950"/>
        </w:trPr>
        <w:tc>
          <w:tcPr>
            <w:tcW w:w="0" w:type="auto"/>
            <w:tcBorders>
              <w:top w:val="single" w:sz="4" w:space="0" w:color="7F7F7F"/>
              <w:bottom w:val="single" w:sz="12" w:space="0" w:color="000000"/>
            </w:tcBorders>
            <w:tcMar>
              <w:top w:w="0" w:type="dxa"/>
              <w:left w:w="100" w:type="dxa"/>
              <w:bottom w:w="0" w:type="dxa"/>
              <w:right w:w="100" w:type="dxa"/>
            </w:tcMar>
            <w:hideMark/>
          </w:tcPr>
          <w:p w14:paraId="6F3DB9B8"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b/>
                <w:bCs/>
                <w:sz w:val="16"/>
                <w:szCs w:val="16"/>
                <w:lang w:val="en-PH"/>
              </w:rPr>
            </w:pPr>
            <w:r w:rsidRPr="005176FB">
              <w:rPr>
                <w:rFonts w:asciiTheme="majorBidi" w:eastAsia="Times New Roman" w:hAnsiTheme="majorBidi" w:cstheme="majorBidi"/>
                <w:b/>
                <w:bCs/>
                <w:i/>
                <w:iCs/>
                <w:sz w:val="16"/>
                <w:szCs w:val="16"/>
                <w:lang w:val="en-PH"/>
              </w:rPr>
              <w:lastRenderedPageBreak/>
              <w:t>Rainy season</w:t>
            </w:r>
          </w:p>
        </w:tc>
        <w:tc>
          <w:tcPr>
            <w:tcW w:w="0" w:type="auto"/>
            <w:tcBorders>
              <w:top w:val="single" w:sz="4" w:space="0" w:color="7F7F7F"/>
              <w:bottom w:val="single" w:sz="12" w:space="0" w:color="000000"/>
            </w:tcBorders>
            <w:tcMar>
              <w:top w:w="0" w:type="dxa"/>
              <w:left w:w="100" w:type="dxa"/>
              <w:bottom w:w="0" w:type="dxa"/>
              <w:right w:w="100" w:type="dxa"/>
            </w:tcMar>
            <w:hideMark/>
          </w:tcPr>
          <w:p w14:paraId="2E0ACA85"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June to October</w:t>
            </w:r>
          </w:p>
        </w:tc>
        <w:tc>
          <w:tcPr>
            <w:tcW w:w="0" w:type="auto"/>
            <w:tcBorders>
              <w:top w:val="single" w:sz="4" w:space="0" w:color="7F7F7F"/>
              <w:bottom w:val="single" w:sz="12" w:space="0" w:color="000000"/>
            </w:tcBorders>
            <w:tcMar>
              <w:top w:w="0" w:type="dxa"/>
              <w:left w:w="100" w:type="dxa"/>
              <w:bottom w:w="0" w:type="dxa"/>
              <w:right w:w="100" w:type="dxa"/>
            </w:tcMar>
            <w:hideMark/>
          </w:tcPr>
          <w:p w14:paraId="6F0821C3" w14:textId="77777777" w:rsidR="004C3A54" w:rsidRPr="005176FB" w:rsidRDefault="004C3A54" w:rsidP="000B1498">
            <w:pPr>
              <w:widowControl w:val="0"/>
              <w:spacing w:before="240" w:after="240" w:line="276" w:lineRule="auto"/>
              <w:jc w:val="center"/>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Not Ideal</w:t>
            </w:r>
          </w:p>
        </w:tc>
        <w:tc>
          <w:tcPr>
            <w:tcW w:w="0" w:type="auto"/>
            <w:tcBorders>
              <w:top w:val="single" w:sz="4" w:space="0" w:color="7F7F7F"/>
              <w:bottom w:val="single" w:sz="12" w:space="0" w:color="000000"/>
            </w:tcBorders>
            <w:tcMar>
              <w:top w:w="0" w:type="dxa"/>
              <w:left w:w="100" w:type="dxa"/>
              <w:bottom w:w="0" w:type="dxa"/>
              <w:right w:w="100" w:type="dxa"/>
            </w:tcMar>
            <w:hideMark/>
          </w:tcPr>
          <w:p w14:paraId="260420B1" w14:textId="77777777" w:rsidR="004C3A54" w:rsidRPr="005176FB" w:rsidRDefault="004C3A54" w:rsidP="000B1498">
            <w:pPr>
              <w:widowControl w:val="0"/>
              <w:spacing w:before="240" w:after="240" w:line="276" w:lineRule="auto"/>
              <w:jc w:val="both"/>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 xml:space="preserve">  </w:t>
            </w:r>
            <w:r w:rsidRPr="005176FB">
              <w:rPr>
                <w:rFonts w:asciiTheme="majorBidi" w:eastAsia="Times New Roman" w:hAnsiTheme="majorBidi" w:cstheme="majorBidi"/>
                <w:sz w:val="16"/>
                <w:szCs w:val="16"/>
                <w:lang w:val="en-PH"/>
              </w:rPr>
              <w:tab/>
              <w:t>The rainy season is not the ideal season to cultivate a lettuce plant according to Gonzaga, et al. (2017) excessive rainfall can cause a fungal disease and root rot in lettuce plants.</w:t>
            </w:r>
          </w:p>
        </w:tc>
      </w:tr>
    </w:tbl>
    <w:p w14:paraId="0FDFF76B" w14:textId="77777777" w:rsidR="004C3A54" w:rsidRPr="005176FB" w:rsidRDefault="004C3A54" w:rsidP="004C3A54">
      <w:pPr>
        <w:widowControl w:val="0"/>
        <w:spacing w:before="240" w:after="240" w:line="276" w:lineRule="auto"/>
        <w:ind w:firstLine="720"/>
        <w:rPr>
          <w:rFonts w:asciiTheme="majorBidi" w:eastAsia="Times New Roman" w:hAnsiTheme="majorBidi" w:cstheme="majorBidi"/>
          <w:sz w:val="16"/>
          <w:szCs w:val="16"/>
          <w:lang w:val="en-PH"/>
        </w:rPr>
      </w:pPr>
      <w:r w:rsidRPr="005176FB">
        <w:rPr>
          <w:rFonts w:asciiTheme="majorBidi" w:eastAsia="Times New Roman" w:hAnsiTheme="majorBidi" w:cstheme="majorBidi"/>
          <w:sz w:val="16"/>
          <w:szCs w:val="16"/>
          <w:lang w:val="en-PH"/>
        </w:rPr>
        <w:t>This table 16 shows when the most suitable season is to cultivate a lettuce plant to perform rapid growth and yield cultivation in the Philippines.</w:t>
      </w:r>
    </w:p>
    <w:p w14:paraId="59FE8109"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Sylfaen">
    <w:panose1 w:val="010A0502050306030303"/>
    <w:charset w:val="00"/>
    <w:family w:val="roman"/>
    <w:pitch w:val="variable"/>
    <w:sig w:usb0="040006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A54"/>
    <w:rsid w:val="002978F5"/>
    <w:rsid w:val="003852CF"/>
    <w:rsid w:val="004C3A54"/>
    <w:rsid w:val="004E780C"/>
    <w:rsid w:val="00A83B22"/>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40C3F"/>
  <w15:chartTrackingRefBased/>
  <w15:docId w15:val="{95CBBCD9-9FF7-416D-8593-AADB5886E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3A54"/>
    <w:pPr>
      <w:spacing w:after="0" w:line="240" w:lineRule="auto"/>
    </w:pPr>
    <w:rPr>
      <w:rFonts w:ascii="Times New Roman" w:eastAsia="SimSun" w:hAnsi="Times New Roman" w:cs="Times New Roman"/>
      <w:kern w:val="0"/>
      <w:lang w:val="en-AU" w:eastAsia="zh-CN"/>
      <w14:ligatures w14:val="none"/>
    </w:rPr>
  </w:style>
  <w:style w:type="paragraph" w:styleId="Heading1">
    <w:name w:val="heading 1"/>
    <w:basedOn w:val="Normal"/>
    <w:next w:val="Normal"/>
    <w:link w:val="Heading1Char"/>
    <w:uiPriority w:val="9"/>
    <w:qFormat/>
    <w:rsid w:val="004C3A5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4C3A5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4C3A5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4C3A54"/>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4C3A54"/>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4C3A54"/>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4C3A54"/>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4C3A54"/>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4C3A54"/>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3A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3A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3A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3A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3A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3A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3A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3A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3A54"/>
    <w:rPr>
      <w:rFonts w:eastAsiaTheme="majorEastAsia" w:cstheme="majorBidi"/>
      <w:color w:val="272727" w:themeColor="text1" w:themeTint="D8"/>
    </w:rPr>
  </w:style>
  <w:style w:type="paragraph" w:styleId="Title">
    <w:name w:val="Title"/>
    <w:basedOn w:val="Normal"/>
    <w:next w:val="Normal"/>
    <w:link w:val="TitleChar"/>
    <w:uiPriority w:val="10"/>
    <w:qFormat/>
    <w:rsid w:val="004C3A54"/>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4C3A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3A5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4C3A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3A54"/>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4C3A54"/>
    <w:rPr>
      <w:i/>
      <w:iCs/>
      <w:color w:val="404040" w:themeColor="text1" w:themeTint="BF"/>
    </w:rPr>
  </w:style>
  <w:style w:type="paragraph" w:styleId="ListParagraph">
    <w:name w:val="List Paragraph"/>
    <w:basedOn w:val="Normal"/>
    <w:uiPriority w:val="34"/>
    <w:qFormat/>
    <w:rsid w:val="004C3A54"/>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4C3A54"/>
    <w:rPr>
      <w:i/>
      <w:iCs/>
      <w:color w:val="0F4761" w:themeColor="accent1" w:themeShade="BF"/>
    </w:rPr>
  </w:style>
  <w:style w:type="paragraph" w:styleId="IntenseQuote">
    <w:name w:val="Intense Quote"/>
    <w:basedOn w:val="Normal"/>
    <w:next w:val="Normal"/>
    <w:link w:val="IntenseQuoteChar"/>
    <w:uiPriority w:val="30"/>
    <w:qFormat/>
    <w:rsid w:val="004C3A5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4C3A54"/>
    <w:rPr>
      <w:i/>
      <w:iCs/>
      <w:color w:val="0F4761" w:themeColor="accent1" w:themeShade="BF"/>
    </w:rPr>
  </w:style>
  <w:style w:type="character" w:styleId="IntenseReference">
    <w:name w:val="Intense Reference"/>
    <w:basedOn w:val="DefaultParagraphFont"/>
    <w:uiPriority w:val="32"/>
    <w:qFormat/>
    <w:rsid w:val="004C3A5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208</Words>
  <Characters>1189</Characters>
  <Application>Microsoft Office Word</Application>
  <DocSecurity>0</DocSecurity>
  <Lines>9</Lines>
  <Paragraphs>2</Paragraphs>
  <ScaleCrop>false</ScaleCrop>
  <Company/>
  <LinksUpToDate>false</LinksUpToDate>
  <CharactersWithSpaces>1395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2025-06-05T06:18:00Z</dcterms:created>
  <dcterms:modified xsi:type="dcterms:W3CDTF">2025-06-05T06:20:00Z</dcterms:modified>
</cp:coreProperties>
</file>