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7C678" w14:textId="5E717EF4" w:rsidR="005C701E" w:rsidRPr="005F2948" w:rsidRDefault="006A1AC1" w:rsidP="005F2948">
      <w:pPr>
        <w:pStyle w:val="Geenafstand"/>
        <w:rPr>
          <w:b/>
          <w:bCs/>
          <w:lang w:val="en-GB"/>
        </w:rPr>
      </w:pPr>
      <w:r w:rsidRPr="005F2948">
        <w:rPr>
          <w:b/>
          <w:bCs/>
          <w:lang w:val="en-GB"/>
        </w:rPr>
        <w:t>Additional file</w:t>
      </w:r>
      <w:r w:rsidR="003034F1" w:rsidRPr="005F2948">
        <w:rPr>
          <w:b/>
          <w:bCs/>
          <w:lang w:val="en-GB"/>
        </w:rPr>
        <w:t xml:space="preserve"> 1: </w:t>
      </w:r>
      <w:r w:rsidR="005C701E" w:rsidRPr="005F2948">
        <w:rPr>
          <w:b/>
          <w:bCs/>
          <w:lang w:val="en-GB"/>
        </w:rPr>
        <w:t>Allan-Herndon-Dudley Syndrome (AHDS)</w:t>
      </w:r>
    </w:p>
    <w:p w14:paraId="7EFEE2FA" w14:textId="17474B2F" w:rsidR="003034F1" w:rsidRDefault="003034F1" w:rsidP="005F2948">
      <w:pPr>
        <w:pStyle w:val="Geenafstand"/>
        <w:rPr>
          <w:lang w:val="en-GB"/>
        </w:rPr>
      </w:pPr>
      <w:r>
        <w:rPr>
          <w:rFonts w:cstheme="minorHAnsi"/>
          <w:lang w:val="en-GB"/>
        </w:rPr>
        <w:t xml:space="preserve">Manuscript: </w:t>
      </w:r>
      <w:r w:rsidRPr="00890A5E">
        <w:rPr>
          <w:rFonts w:cstheme="minorHAnsi"/>
          <w:lang w:val="en-GB"/>
        </w:rPr>
        <w:t>Guiding the willingness to pay for repurposed tiratricol in the treatment of Allan-Herndon-Dudley syndrome using a cost-based-plus pricing framework</w:t>
      </w:r>
    </w:p>
    <w:p w14:paraId="787142AB" w14:textId="3E1FD8CB" w:rsidR="003034F1" w:rsidRPr="003034F1" w:rsidRDefault="003034F1" w:rsidP="005F2948">
      <w:pPr>
        <w:pStyle w:val="Geenafstand"/>
        <w:rPr>
          <w:lang w:val="en-GB"/>
        </w:rPr>
      </w:pPr>
    </w:p>
    <w:p w14:paraId="5C75D437" w14:textId="77777777" w:rsidR="005C701E" w:rsidRPr="00890A5E" w:rsidRDefault="005C701E" w:rsidP="005F2948">
      <w:pPr>
        <w:rPr>
          <w:rFonts w:cstheme="minorHAnsi"/>
          <w:szCs w:val="22"/>
          <w:lang w:val="en-GB"/>
        </w:rPr>
      </w:pPr>
      <w:r w:rsidRPr="00890A5E">
        <w:rPr>
          <w:rFonts w:cstheme="minorHAnsi"/>
          <w:szCs w:val="22"/>
          <w:lang w:val="en-GB"/>
        </w:rPr>
        <w:t xml:space="preserve">AHDS is a rare, X-linked genetic disorder first described by Allan, Herndon, and Dudley in 1944, in a report detailing the sex-linked inheritance of intellectual disability and associated neurological symptoms [1]. The disorder is characterised by severe intellectual disability, developmental delay, and hypotonia in infancy, which progresses to spastic paraplegia and dystonia in later childhood and adulthood [2-5]. </w:t>
      </w:r>
    </w:p>
    <w:p w14:paraId="2F5B2E07" w14:textId="77777777" w:rsidR="005C701E" w:rsidRPr="00890A5E" w:rsidRDefault="005C701E" w:rsidP="005F2948">
      <w:pPr>
        <w:rPr>
          <w:rFonts w:cstheme="minorHAnsi"/>
          <w:szCs w:val="22"/>
          <w:lang w:val="en-GB"/>
        </w:rPr>
      </w:pPr>
    </w:p>
    <w:p w14:paraId="58019989" w14:textId="77777777" w:rsidR="005C701E" w:rsidRPr="00890A5E" w:rsidRDefault="005C701E" w:rsidP="005F2948">
      <w:pPr>
        <w:rPr>
          <w:rFonts w:cstheme="minorHAnsi"/>
          <w:szCs w:val="22"/>
          <w:lang w:val="en-GB"/>
        </w:rPr>
      </w:pPr>
      <w:r w:rsidRPr="00890A5E">
        <w:rPr>
          <w:rFonts w:cstheme="minorHAnsi"/>
          <w:szCs w:val="22"/>
          <w:lang w:val="en-GB"/>
        </w:rPr>
        <w:t xml:space="preserve">AHDS is caused by mutations in the </w:t>
      </w:r>
      <w:r w:rsidRPr="00890A5E">
        <w:rPr>
          <w:rStyle w:val="Nadruk"/>
          <w:rFonts w:cstheme="minorHAnsi"/>
          <w:szCs w:val="22"/>
          <w:lang w:val="en-GB"/>
        </w:rPr>
        <w:t>SLC16A2</w:t>
      </w:r>
      <w:r w:rsidRPr="00890A5E">
        <w:rPr>
          <w:rFonts w:cstheme="minorHAnsi"/>
          <w:szCs w:val="22"/>
          <w:lang w:val="en-GB"/>
        </w:rPr>
        <w:t xml:space="preserve"> gene, which encodes Monocarboxylate Transporter 8 (MCT8), a key protein responsible for the cellular uptake of thyroid hormones (THs), including triiodothyronine (T3) and thyroxine (T4) [5]. These mutations impair MCT8 function, disrupting the transport of THs across several tissues, including the blood-brain barrier and neurons, leading to severe hypothyroidism in the brain while peripheral tissues develop hyperthyroidism due to an unsuppressed thyroid axis feedback loop [2]. This dual pathology manifests as profound neurological deficits, including severe intellectual disability and motor dysfunctions, alongside systemic symptoms of thyrotoxicosis, such as tachycardia, hypermetabolism, and muscle wasting [2-5]. THs, particularly the metabolically active T3, are essential for normal neurodevelopment, regulating neurogenesis, neuronal migration and differentiation, synaptogenesis, and myelination [6]. Disruption of these processes in AHDS results in irreversible neurodevelopmental impairments [7]. Another characteristic feature of AHDS is the inability to gain weight despite adequate caloric intake, reflecting the pervasive impact of TH dysregulation on metabolism and muscle integrity [7]. The clinical course varies but typically presents with profound hypotonia in infancy, which may hinder feeding and respiratory function, followed by the development of hypertonia, spasticity, and joint contractures due to chronic motor neuron dysfunction. </w:t>
      </w:r>
    </w:p>
    <w:p w14:paraId="506BF230" w14:textId="77777777" w:rsidR="005C701E" w:rsidRPr="00890A5E" w:rsidRDefault="005C701E" w:rsidP="005F2948">
      <w:pPr>
        <w:rPr>
          <w:rFonts w:cstheme="minorHAnsi"/>
          <w:szCs w:val="22"/>
          <w:lang w:val="en-GB"/>
        </w:rPr>
      </w:pPr>
    </w:p>
    <w:p w14:paraId="5836F7F9" w14:textId="77777777" w:rsidR="005C701E" w:rsidRPr="00890A5E" w:rsidRDefault="005C701E" w:rsidP="005F2948">
      <w:pPr>
        <w:rPr>
          <w:rFonts w:cstheme="minorHAnsi"/>
          <w:szCs w:val="22"/>
          <w:lang w:val="en-GB"/>
        </w:rPr>
      </w:pPr>
      <w:r w:rsidRPr="00890A5E">
        <w:rPr>
          <w:rFonts w:cstheme="minorHAnsi"/>
          <w:szCs w:val="22"/>
          <w:lang w:val="en-GB"/>
        </w:rPr>
        <w:t xml:space="preserve">Despite these progressive motor symptoms, survival into adulthood is possible, though with significant morbidity. </w:t>
      </w:r>
      <w:r w:rsidRPr="00890A5E">
        <w:rPr>
          <w:rFonts w:eastAsiaTheme="minorHAnsi" w:cstheme="minorHAnsi"/>
          <w:szCs w:val="22"/>
          <w:lang w:val="en-GB"/>
        </w:rPr>
        <w:t>There are currently no curative treatments for AHDS, and management remains supportive, focusing on symptom control and quality of life through a multidisciplinary approach [7-8]. Physical and occupational therapy help manage motor impairments, spasticity, and joint contractures, while speech and feeding therapy address swallowing difficulties and failure to thrive [7]. Due to the risk of aspiration pneumonia and malnutrition, nutritional support, including dietary modifications or gastrostomy tube placement, is often required [8]. Cardiac monitoring is recommended for arrhythmias and tachycardia, and anti-seizure medications may be used for epilepsy, though their effectiveness varies [7].</w:t>
      </w:r>
    </w:p>
    <w:p w14:paraId="538F4D14" w14:textId="77777777" w:rsidR="005C701E" w:rsidRDefault="005C701E" w:rsidP="005F2948">
      <w:pPr>
        <w:pStyle w:val="Geenafstand"/>
        <w:rPr>
          <w:rFonts w:cstheme="minorHAnsi"/>
          <w:lang w:val="en-GB"/>
        </w:rPr>
      </w:pPr>
    </w:p>
    <w:p w14:paraId="4A5AE79C" w14:textId="0AA8A167" w:rsidR="003034F1" w:rsidRPr="007245B1" w:rsidRDefault="003034F1" w:rsidP="005F2948">
      <w:pPr>
        <w:pStyle w:val="Geenafstand"/>
        <w:numPr>
          <w:ilvl w:val="0"/>
          <w:numId w:val="42"/>
        </w:numPr>
        <w:rPr>
          <w:rFonts w:cstheme="minorHAnsi"/>
          <w:sz w:val="20"/>
          <w:szCs w:val="20"/>
          <w:lang w:val="en-GB"/>
        </w:rPr>
      </w:pPr>
      <w:r w:rsidRPr="007245B1">
        <w:rPr>
          <w:rFonts w:cstheme="minorHAnsi"/>
          <w:sz w:val="20"/>
          <w:szCs w:val="20"/>
          <w:lang w:val="en-GB"/>
        </w:rPr>
        <w:t xml:space="preserve">Allan W, Herndon CN, Dudley FC. Some examples of the inheritance of mental deficiency: Apparently sex-linked idiocy and microcephaly. Am J </w:t>
      </w:r>
      <w:proofErr w:type="spellStart"/>
      <w:r w:rsidRPr="007245B1">
        <w:rPr>
          <w:rFonts w:cstheme="minorHAnsi"/>
          <w:sz w:val="20"/>
          <w:szCs w:val="20"/>
          <w:lang w:val="en-GB"/>
        </w:rPr>
        <w:t>Ment</w:t>
      </w:r>
      <w:proofErr w:type="spellEnd"/>
      <w:r w:rsidRPr="007245B1">
        <w:rPr>
          <w:rFonts w:cstheme="minorHAnsi"/>
          <w:sz w:val="20"/>
          <w:szCs w:val="20"/>
          <w:lang w:val="en-GB"/>
        </w:rPr>
        <w:t xml:space="preserve"> </w:t>
      </w:r>
      <w:proofErr w:type="spellStart"/>
      <w:r w:rsidRPr="007245B1">
        <w:rPr>
          <w:rFonts w:cstheme="minorHAnsi"/>
          <w:sz w:val="20"/>
          <w:szCs w:val="20"/>
          <w:lang w:val="en-GB"/>
        </w:rPr>
        <w:t>Defic</w:t>
      </w:r>
      <w:proofErr w:type="spellEnd"/>
      <w:r w:rsidRPr="007245B1">
        <w:rPr>
          <w:rFonts w:cstheme="minorHAnsi"/>
          <w:sz w:val="20"/>
          <w:szCs w:val="20"/>
          <w:lang w:val="en-GB"/>
        </w:rPr>
        <w:t>. 1944;48(48):325–34.</w:t>
      </w:r>
    </w:p>
    <w:p w14:paraId="1C741CAC" w14:textId="3261BFED" w:rsidR="003034F1" w:rsidRPr="007245B1" w:rsidRDefault="003034F1" w:rsidP="005F2948">
      <w:pPr>
        <w:pStyle w:val="Geenafstand"/>
        <w:numPr>
          <w:ilvl w:val="0"/>
          <w:numId w:val="42"/>
        </w:numPr>
        <w:rPr>
          <w:rFonts w:cstheme="minorHAnsi"/>
          <w:sz w:val="20"/>
          <w:szCs w:val="20"/>
          <w:lang w:val="en-GB"/>
        </w:rPr>
      </w:pPr>
      <w:r w:rsidRPr="007245B1">
        <w:rPr>
          <w:rFonts w:cstheme="minorHAnsi"/>
          <w:sz w:val="20"/>
          <w:szCs w:val="20"/>
          <w:lang w:val="en-GB"/>
        </w:rPr>
        <w:t xml:space="preserve">Schwartz CE, Stevenson RE. The MCT8 thyroid hormone transporter and Allan–Herndon–Dudley syndrome. Best </w:t>
      </w:r>
      <w:proofErr w:type="spellStart"/>
      <w:r w:rsidRPr="007245B1">
        <w:rPr>
          <w:rFonts w:cstheme="minorHAnsi"/>
          <w:sz w:val="20"/>
          <w:szCs w:val="20"/>
          <w:lang w:val="en-GB"/>
        </w:rPr>
        <w:t>Pract</w:t>
      </w:r>
      <w:proofErr w:type="spellEnd"/>
      <w:r w:rsidRPr="007245B1">
        <w:rPr>
          <w:rFonts w:cstheme="minorHAnsi"/>
          <w:sz w:val="20"/>
          <w:szCs w:val="20"/>
          <w:lang w:val="en-GB"/>
        </w:rPr>
        <w:t xml:space="preserve"> Res Clin Endocrinol </w:t>
      </w:r>
      <w:proofErr w:type="spellStart"/>
      <w:r w:rsidRPr="007245B1">
        <w:rPr>
          <w:rFonts w:cstheme="minorHAnsi"/>
          <w:sz w:val="20"/>
          <w:szCs w:val="20"/>
          <w:lang w:val="en-GB"/>
        </w:rPr>
        <w:t>Metab</w:t>
      </w:r>
      <w:proofErr w:type="spellEnd"/>
      <w:r w:rsidRPr="007245B1">
        <w:rPr>
          <w:rFonts w:cstheme="minorHAnsi"/>
          <w:sz w:val="20"/>
          <w:szCs w:val="20"/>
          <w:lang w:val="en-GB"/>
        </w:rPr>
        <w:t xml:space="preserve">. 2007;21(2):307–21. </w:t>
      </w:r>
    </w:p>
    <w:p w14:paraId="2D7CB386" w14:textId="6B0CC821" w:rsidR="003034F1" w:rsidRPr="007245B1" w:rsidRDefault="003034F1" w:rsidP="005F2948">
      <w:pPr>
        <w:pStyle w:val="Geenafstand"/>
        <w:numPr>
          <w:ilvl w:val="0"/>
          <w:numId w:val="42"/>
        </w:numPr>
        <w:rPr>
          <w:rFonts w:cstheme="minorHAnsi"/>
          <w:sz w:val="20"/>
          <w:szCs w:val="20"/>
        </w:rPr>
      </w:pPr>
      <w:proofErr w:type="spellStart"/>
      <w:r w:rsidRPr="007245B1">
        <w:rPr>
          <w:rFonts w:cstheme="minorHAnsi"/>
          <w:sz w:val="20"/>
          <w:szCs w:val="20"/>
        </w:rPr>
        <w:t>Armour</w:t>
      </w:r>
      <w:proofErr w:type="spellEnd"/>
      <w:r w:rsidRPr="007245B1">
        <w:rPr>
          <w:rFonts w:cstheme="minorHAnsi"/>
          <w:sz w:val="20"/>
          <w:szCs w:val="20"/>
        </w:rPr>
        <w:t xml:space="preserve"> CM, </w:t>
      </w:r>
      <w:proofErr w:type="spellStart"/>
      <w:r w:rsidRPr="007245B1">
        <w:rPr>
          <w:rFonts w:cstheme="minorHAnsi"/>
          <w:sz w:val="20"/>
          <w:szCs w:val="20"/>
        </w:rPr>
        <w:t>Kersseboom</w:t>
      </w:r>
      <w:proofErr w:type="spellEnd"/>
      <w:r w:rsidRPr="007245B1">
        <w:rPr>
          <w:rFonts w:cstheme="minorHAnsi"/>
          <w:sz w:val="20"/>
          <w:szCs w:val="20"/>
        </w:rPr>
        <w:t xml:space="preserve"> S, </w:t>
      </w:r>
      <w:proofErr w:type="spellStart"/>
      <w:r w:rsidRPr="007245B1">
        <w:rPr>
          <w:rFonts w:cstheme="minorHAnsi"/>
          <w:sz w:val="20"/>
          <w:szCs w:val="20"/>
        </w:rPr>
        <w:t>Yoon</w:t>
      </w:r>
      <w:proofErr w:type="spellEnd"/>
      <w:r w:rsidRPr="007245B1">
        <w:rPr>
          <w:rFonts w:cstheme="minorHAnsi"/>
          <w:sz w:val="20"/>
          <w:szCs w:val="20"/>
        </w:rPr>
        <w:t xml:space="preserve"> G, Visser TJ. </w:t>
      </w:r>
      <w:r w:rsidRPr="007245B1">
        <w:rPr>
          <w:rFonts w:cstheme="minorHAnsi"/>
          <w:sz w:val="20"/>
          <w:szCs w:val="20"/>
          <w:lang w:val="en-GB"/>
        </w:rPr>
        <w:t xml:space="preserve">Further insights into the Allan-Herndon-Dudley syndrome: Clinical and functional characterization of a novel MCT8 mutation. </w:t>
      </w:r>
      <w:proofErr w:type="spellStart"/>
      <w:r w:rsidRPr="007245B1">
        <w:rPr>
          <w:rFonts w:cstheme="minorHAnsi"/>
          <w:sz w:val="20"/>
          <w:szCs w:val="20"/>
        </w:rPr>
        <w:t>PLoS</w:t>
      </w:r>
      <w:proofErr w:type="spellEnd"/>
      <w:r w:rsidRPr="007245B1">
        <w:rPr>
          <w:rFonts w:cstheme="minorHAnsi"/>
          <w:sz w:val="20"/>
          <w:szCs w:val="20"/>
        </w:rPr>
        <w:t xml:space="preserve"> </w:t>
      </w:r>
      <w:proofErr w:type="spellStart"/>
      <w:r w:rsidRPr="007245B1">
        <w:rPr>
          <w:rFonts w:cstheme="minorHAnsi"/>
          <w:sz w:val="20"/>
          <w:szCs w:val="20"/>
        </w:rPr>
        <w:t>One</w:t>
      </w:r>
      <w:proofErr w:type="spellEnd"/>
      <w:r w:rsidRPr="007245B1">
        <w:rPr>
          <w:rFonts w:cstheme="minorHAnsi"/>
          <w:sz w:val="20"/>
          <w:szCs w:val="20"/>
        </w:rPr>
        <w:t>. 2015;10(10</w:t>
      </w:r>
      <w:proofErr w:type="gramStart"/>
      <w:r w:rsidRPr="007245B1">
        <w:rPr>
          <w:rFonts w:cstheme="minorHAnsi"/>
          <w:sz w:val="20"/>
          <w:szCs w:val="20"/>
        </w:rPr>
        <w:t>):e</w:t>
      </w:r>
      <w:proofErr w:type="gramEnd"/>
      <w:r w:rsidRPr="007245B1">
        <w:rPr>
          <w:rFonts w:cstheme="minorHAnsi"/>
          <w:sz w:val="20"/>
          <w:szCs w:val="20"/>
        </w:rPr>
        <w:t xml:space="preserve">0139343. </w:t>
      </w:r>
    </w:p>
    <w:p w14:paraId="23FFE8A2" w14:textId="64667C71" w:rsidR="003034F1" w:rsidRPr="007245B1" w:rsidRDefault="003034F1" w:rsidP="005F2948">
      <w:pPr>
        <w:pStyle w:val="Geenafstand"/>
        <w:numPr>
          <w:ilvl w:val="0"/>
          <w:numId w:val="42"/>
        </w:numPr>
        <w:rPr>
          <w:rFonts w:cstheme="minorHAnsi"/>
          <w:sz w:val="20"/>
          <w:szCs w:val="20"/>
          <w:lang w:val="en-GB"/>
        </w:rPr>
      </w:pPr>
      <w:proofErr w:type="gramStart"/>
      <w:r w:rsidRPr="007245B1">
        <w:rPr>
          <w:rFonts w:cstheme="minorHAnsi"/>
          <w:sz w:val="20"/>
          <w:szCs w:val="20"/>
        </w:rPr>
        <w:t>van</w:t>
      </w:r>
      <w:proofErr w:type="gramEnd"/>
      <w:r w:rsidRPr="007245B1">
        <w:rPr>
          <w:rFonts w:cstheme="minorHAnsi"/>
          <w:sz w:val="20"/>
          <w:szCs w:val="20"/>
        </w:rPr>
        <w:t xml:space="preserve"> Geest FS, Groeneweg S, Visser WE. </w:t>
      </w:r>
      <w:r w:rsidRPr="007245B1">
        <w:rPr>
          <w:rFonts w:cstheme="minorHAnsi"/>
          <w:sz w:val="20"/>
          <w:szCs w:val="20"/>
          <w:lang w:val="en-GB"/>
        </w:rPr>
        <w:t xml:space="preserve">Monocarboxylate transporter 8 deficiency: Update on clinical characteristics and treatment. Endocrine. 2021;71(3):689–95. </w:t>
      </w:r>
    </w:p>
    <w:p w14:paraId="2B8C573C" w14:textId="669C537E" w:rsidR="003034F1" w:rsidRPr="007245B1" w:rsidRDefault="003034F1" w:rsidP="005F2948">
      <w:pPr>
        <w:pStyle w:val="Geenafstand"/>
        <w:numPr>
          <w:ilvl w:val="0"/>
          <w:numId w:val="42"/>
        </w:numPr>
        <w:rPr>
          <w:rFonts w:cstheme="minorHAnsi"/>
          <w:sz w:val="20"/>
          <w:szCs w:val="20"/>
          <w:lang w:val="en-GB"/>
        </w:rPr>
      </w:pPr>
      <w:r w:rsidRPr="007245B1">
        <w:rPr>
          <w:rFonts w:cstheme="minorHAnsi"/>
          <w:sz w:val="20"/>
          <w:szCs w:val="20"/>
          <w:lang w:val="en-GB"/>
        </w:rPr>
        <w:t xml:space="preserve">Groeneweg S, </w:t>
      </w:r>
      <w:proofErr w:type="spellStart"/>
      <w:r w:rsidRPr="007245B1">
        <w:rPr>
          <w:rFonts w:cstheme="minorHAnsi"/>
          <w:sz w:val="20"/>
          <w:szCs w:val="20"/>
          <w:lang w:val="en-GB"/>
        </w:rPr>
        <w:t>Peeters</w:t>
      </w:r>
      <w:proofErr w:type="spellEnd"/>
      <w:r w:rsidRPr="007245B1">
        <w:rPr>
          <w:rFonts w:cstheme="minorHAnsi"/>
          <w:sz w:val="20"/>
          <w:szCs w:val="20"/>
          <w:lang w:val="en-GB"/>
        </w:rPr>
        <w:t xml:space="preserve"> RP, Moran C, </w:t>
      </w:r>
      <w:proofErr w:type="spellStart"/>
      <w:r w:rsidRPr="007245B1">
        <w:rPr>
          <w:rFonts w:cstheme="minorHAnsi"/>
          <w:sz w:val="20"/>
          <w:szCs w:val="20"/>
          <w:lang w:val="en-GB"/>
        </w:rPr>
        <w:t>Stoupa</w:t>
      </w:r>
      <w:proofErr w:type="spellEnd"/>
      <w:r w:rsidRPr="007245B1">
        <w:rPr>
          <w:rFonts w:cstheme="minorHAnsi"/>
          <w:sz w:val="20"/>
          <w:szCs w:val="20"/>
          <w:lang w:val="en-GB"/>
        </w:rPr>
        <w:t xml:space="preserve"> A, Auriol F, </w:t>
      </w:r>
      <w:proofErr w:type="spellStart"/>
      <w:r w:rsidRPr="007245B1">
        <w:rPr>
          <w:rFonts w:cstheme="minorHAnsi"/>
          <w:sz w:val="20"/>
          <w:szCs w:val="20"/>
          <w:lang w:val="en-GB"/>
        </w:rPr>
        <w:t>Tonduti</w:t>
      </w:r>
      <w:proofErr w:type="spellEnd"/>
      <w:r w:rsidRPr="007245B1">
        <w:rPr>
          <w:rFonts w:cstheme="minorHAnsi"/>
          <w:sz w:val="20"/>
          <w:szCs w:val="20"/>
          <w:lang w:val="en-GB"/>
        </w:rPr>
        <w:t xml:space="preserve"> D, et al. Effectiveness and safety of the tri-iodothyronine analogue </w:t>
      </w:r>
      <w:proofErr w:type="spellStart"/>
      <w:r w:rsidRPr="007245B1">
        <w:rPr>
          <w:rFonts w:cstheme="minorHAnsi"/>
          <w:sz w:val="20"/>
          <w:szCs w:val="20"/>
          <w:lang w:val="en-GB"/>
        </w:rPr>
        <w:t>Triac</w:t>
      </w:r>
      <w:proofErr w:type="spellEnd"/>
      <w:r w:rsidRPr="007245B1">
        <w:rPr>
          <w:rFonts w:cstheme="minorHAnsi"/>
          <w:sz w:val="20"/>
          <w:szCs w:val="20"/>
          <w:lang w:val="en-GB"/>
        </w:rPr>
        <w:t xml:space="preserve"> in children and adults with MCT8 deficiency: An international, single-arm, open-label, phase 2 trial. Lancet Diabetes Endocrinol. 2019;7(9):695–706.</w:t>
      </w:r>
      <w:r w:rsidR="002A5625" w:rsidRPr="007245B1">
        <w:rPr>
          <w:rFonts w:cstheme="minorHAnsi"/>
          <w:sz w:val="20"/>
          <w:szCs w:val="20"/>
          <w:lang w:val="en-GB"/>
        </w:rPr>
        <w:t xml:space="preserve"> </w:t>
      </w:r>
    </w:p>
    <w:p w14:paraId="41FB5E1B" w14:textId="19D8389C" w:rsidR="003034F1" w:rsidRPr="007245B1" w:rsidRDefault="003034F1" w:rsidP="005F2948">
      <w:pPr>
        <w:pStyle w:val="Geenafstand"/>
        <w:numPr>
          <w:ilvl w:val="0"/>
          <w:numId w:val="42"/>
        </w:numPr>
        <w:rPr>
          <w:rFonts w:cstheme="minorHAnsi"/>
          <w:sz w:val="20"/>
          <w:szCs w:val="20"/>
          <w:lang w:val="en-GB"/>
        </w:rPr>
      </w:pPr>
      <w:r w:rsidRPr="007245B1">
        <w:rPr>
          <w:rFonts w:cstheme="minorHAnsi"/>
          <w:sz w:val="20"/>
          <w:szCs w:val="20"/>
          <w:lang w:val="en-GB"/>
        </w:rPr>
        <w:t xml:space="preserve">Bernal J. Thyroid hormone receptors in brain development and function. Nat Clin </w:t>
      </w:r>
      <w:proofErr w:type="spellStart"/>
      <w:r w:rsidRPr="007245B1">
        <w:rPr>
          <w:rFonts w:cstheme="minorHAnsi"/>
          <w:sz w:val="20"/>
          <w:szCs w:val="20"/>
          <w:lang w:val="en-GB"/>
        </w:rPr>
        <w:t>Pract</w:t>
      </w:r>
      <w:proofErr w:type="spellEnd"/>
      <w:r w:rsidRPr="007245B1">
        <w:rPr>
          <w:rFonts w:cstheme="minorHAnsi"/>
          <w:sz w:val="20"/>
          <w:szCs w:val="20"/>
          <w:lang w:val="en-GB"/>
        </w:rPr>
        <w:t xml:space="preserve"> Endocrinol </w:t>
      </w:r>
      <w:proofErr w:type="spellStart"/>
      <w:r w:rsidRPr="007245B1">
        <w:rPr>
          <w:rFonts w:cstheme="minorHAnsi"/>
          <w:sz w:val="20"/>
          <w:szCs w:val="20"/>
          <w:lang w:val="en-GB"/>
        </w:rPr>
        <w:t>Metab</w:t>
      </w:r>
      <w:proofErr w:type="spellEnd"/>
      <w:r w:rsidRPr="007245B1">
        <w:rPr>
          <w:rFonts w:cstheme="minorHAnsi"/>
          <w:sz w:val="20"/>
          <w:szCs w:val="20"/>
          <w:lang w:val="en-GB"/>
        </w:rPr>
        <w:t xml:space="preserve">. 2007;3(3):249–59. </w:t>
      </w:r>
    </w:p>
    <w:p w14:paraId="63560C52" w14:textId="16DB3D7E" w:rsidR="003034F1" w:rsidRPr="007245B1" w:rsidRDefault="003034F1" w:rsidP="005F2948">
      <w:pPr>
        <w:pStyle w:val="Geenafstand"/>
        <w:numPr>
          <w:ilvl w:val="0"/>
          <w:numId w:val="42"/>
        </w:numPr>
        <w:rPr>
          <w:rFonts w:cstheme="minorHAnsi"/>
          <w:sz w:val="20"/>
          <w:szCs w:val="20"/>
          <w:lang w:val="en-GB"/>
        </w:rPr>
      </w:pPr>
      <w:proofErr w:type="spellStart"/>
      <w:r w:rsidRPr="007245B1">
        <w:rPr>
          <w:rFonts w:cstheme="minorHAnsi"/>
          <w:sz w:val="20"/>
          <w:szCs w:val="20"/>
          <w:lang w:val="en-GB"/>
        </w:rPr>
        <w:lastRenderedPageBreak/>
        <w:t>Sarret</w:t>
      </w:r>
      <w:proofErr w:type="spellEnd"/>
      <w:r w:rsidRPr="007245B1">
        <w:rPr>
          <w:rFonts w:cstheme="minorHAnsi"/>
          <w:sz w:val="20"/>
          <w:szCs w:val="20"/>
          <w:lang w:val="en-GB"/>
        </w:rPr>
        <w:t xml:space="preserve"> C, Oliver Petit I, </w:t>
      </w:r>
      <w:proofErr w:type="spellStart"/>
      <w:r w:rsidRPr="007245B1">
        <w:rPr>
          <w:rFonts w:cstheme="minorHAnsi"/>
          <w:sz w:val="20"/>
          <w:szCs w:val="20"/>
          <w:lang w:val="en-GB"/>
        </w:rPr>
        <w:t>Tonduti</w:t>
      </w:r>
      <w:proofErr w:type="spellEnd"/>
      <w:r w:rsidRPr="007245B1">
        <w:rPr>
          <w:rFonts w:cstheme="minorHAnsi"/>
          <w:sz w:val="20"/>
          <w:szCs w:val="20"/>
          <w:lang w:val="en-GB"/>
        </w:rPr>
        <w:t xml:space="preserve"> D. Allan-Herndon-Dudley syndrome. In: Adam MP, Feldman J, </w:t>
      </w:r>
      <w:proofErr w:type="spellStart"/>
      <w:r w:rsidRPr="007245B1">
        <w:rPr>
          <w:rFonts w:cstheme="minorHAnsi"/>
          <w:sz w:val="20"/>
          <w:szCs w:val="20"/>
          <w:lang w:val="en-GB"/>
        </w:rPr>
        <w:t>Mirzaa</w:t>
      </w:r>
      <w:proofErr w:type="spellEnd"/>
      <w:r w:rsidRPr="007245B1">
        <w:rPr>
          <w:rFonts w:cstheme="minorHAnsi"/>
          <w:sz w:val="20"/>
          <w:szCs w:val="20"/>
          <w:lang w:val="en-GB"/>
        </w:rPr>
        <w:t xml:space="preserve"> GM, et al., editors. </w:t>
      </w:r>
      <w:proofErr w:type="spellStart"/>
      <w:r w:rsidRPr="007245B1">
        <w:rPr>
          <w:rFonts w:cstheme="minorHAnsi"/>
          <w:sz w:val="20"/>
          <w:szCs w:val="20"/>
          <w:lang w:val="en-GB"/>
        </w:rPr>
        <w:t>GeneReviews</w:t>
      </w:r>
      <w:proofErr w:type="spellEnd"/>
      <w:r w:rsidRPr="007245B1">
        <w:rPr>
          <w:rFonts w:cstheme="minorHAnsi"/>
          <w:sz w:val="20"/>
          <w:szCs w:val="20"/>
          <w:lang w:val="en-GB"/>
        </w:rPr>
        <w:t xml:space="preserve">® [Internet]. Seattle (WA): University of Washington, Seattle; 1993–2025. </w:t>
      </w:r>
      <w:hyperlink r:id="rId8" w:tgtFrame="_new" w:history="1">
        <w:r w:rsidRPr="007245B1">
          <w:rPr>
            <w:rStyle w:val="Hyperlink"/>
            <w:rFonts w:cstheme="minorHAnsi"/>
            <w:sz w:val="20"/>
            <w:szCs w:val="20"/>
            <w:lang w:val="en-GB"/>
          </w:rPr>
          <w:t>https://www.ncbi.nlm.nih.gov/books/NBK26373/</w:t>
        </w:r>
      </w:hyperlink>
      <w:r w:rsidRPr="007245B1">
        <w:rPr>
          <w:rFonts w:cstheme="minorHAnsi"/>
          <w:sz w:val="20"/>
          <w:szCs w:val="20"/>
          <w:lang w:val="en-GB"/>
        </w:rPr>
        <w:t>. Accessed 3 Feb 2025.</w:t>
      </w:r>
    </w:p>
    <w:p w14:paraId="77238FCF" w14:textId="73D2D7E0" w:rsidR="003034F1" w:rsidRPr="007245B1" w:rsidRDefault="003034F1" w:rsidP="005F2948">
      <w:pPr>
        <w:pStyle w:val="Geenafstand"/>
        <w:numPr>
          <w:ilvl w:val="0"/>
          <w:numId w:val="42"/>
        </w:numPr>
        <w:rPr>
          <w:rFonts w:cstheme="minorHAnsi"/>
          <w:sz w:val="20"/>
          <w:szCs w:val="20"/>
          <w:lang w:val="en-GB"/>
        </w:rPr>
      </w:pPr>
      <w:r w:rsidRPr="007245B1">
        <w:rPr>
          <w:rFonts w:cstheme="minorHAnsi"/>
          <w:sz w:val="20"/>
          <w:szCs w:val="20"/>
          <w:lang w:val="en-GB"/>
        </w:rPr>
        <w:t xml:space="preserve">Bauer AJ, </w:t>
      </w:r>
      <w:proofErr w:type="spellStart"/>
      <w:r w:rsidRPr="007245B1">
        <w:rPr>
          <w:rFonts w:cstheme="minorHAnsi"/>
          <w:sz w:val="20"/>
          <w:szCs w:val="20"/>
          <w:lang w:val="en-GB"/>
        </w:rPr>
        <w:t>Auble</w:t>
      </w:r>
      <w:proofErr w:type="spellEnd"/>
      <w:r w:rsidRPr="007245B1">
        <w:rPr>
          <w:rFonts w:cstheme="minorHAnsi"/>
          <w:sz w:val="20"/>
          <w:szCs w:val="20"/>
          <w:lang w:val="en-GB"/>
        </w:rPr>
        <w:t xml:space="preserve"> B, Clark AL, Hu TY, </w:t>
      </w:r>
      <w:proofErr w:type="spellStart"/>
      <w:r w:rsidRPr="007245B1">
        <w:rPr>
          <w:rFonts w:cstheme="minorHAnsi"/>
          <w:sz w:val="20"/>
          <w:szCs w:val="20"/>
          <w:lang w:val="en-GB"/>
        </w:rPr>
        <w:t>Isaza</w:t>
      </w:r>
      <w:proofErr w:type="spellEnd"/>
      <w:r w:rsidRPr="007245B1">
        <w:rPr>
          <w:rFonts w:cstheme="minorHAnsi"/>
          <w:sz w:val="20"/>
          <w:szCs w:val="20"/>
          <w:lang w:val="en-GB"/>
        </w:rPr>
        <w:t xml:space="preserve"> A, McNerney KP, Sidlow R. Unmet patient needs in monocarboxylate transporter 8 (MCT8) deficiency: A review. Front </w:t>
      </w:r>
      <w:proofErr w:type="spellStart"/>
      <w:r w:rsidRPr="007245B1">
        <w:rPr>
          <w:rFonts w:cstheme="minorHAnsi"/>
          <w:sz w:val="20"/>
          <w:szCs w:val="20"/>
          <w:lang w:val="en-GB"/>
        </w:rPr>
        <w:t>Pediatr</w:t>
      </w:r>
      <w:proofErr w:type="spellEnd"/>
      <w:r w:rsidRPr="007245B1">
        <w:rPr>
          <w:rFonts w:cstheme="minorHAnsi"/>
          <w:sz w:val="20"/>
          <w:szCs w:val="20"/>
          <w:lang w:val="en-GB"/>
        </w:rPr>
        <w:t xml:space="preserve">. </w:t>
      </w:r>
      <w:proofErr w:type="gramStart"/>
      <w:r w:rsidRPr="007245B1">
        <w:rPr>
          <w:rFonts w:cstheme="minorHAnsi"/>
          <w:sz w:val="20"/>
          <w:szCs w:val="20"/>
          <w:lang w:val="en-GB"/>
        </w:rPr>
        <w:t>2024;12:1444919</w:t>
      </w:r>
      <w:proofErr w:type="gramEnd"/>
      <w:r w:rsidRPr="007245B1">
        <w:rPr>
          <w:rFonts w:cstheme="minorHAnsi"/>
          <w:sz w:val="20"/>
          <w:szCs w:val="20"/>
          <w:lang w:val="en-GB"/>
        </w:rPr>
        <w:t xml:space="preserve">. </w:t>
      </w:r>
      <w:hyperlink r:id="rId9" w:tgtFrame="_new" w:history="1">
        <w:r w:rsidRPr="007245B1">
          <w:rPr>
            <w:rStyle w:val="Hyperlink"/>
            <w:rFonts w:cstheme="minorHAnsi"/>
            <w:sz w:val="20"/>
            <w:szCs w:val="20"/>
            <w:lang w:val="en-GB"/>
          </w:rPr>
          <w:t>https://doi.org/10.3389/fped.2024.1444919</w:t>
        </w:r>
      </w:hyperlink>
    </w:p>
    <w:p w14:paraId="33C017E1" w14:textId="77777777" w:rsidR="003034F1" w:rsidRPr="007245B1" w:rsidRDefault="003034F1" w:rsidP="005F2948">
      <w:pPr>
        <w:pStyle w:val="Geenafstand"/>
        <w:rPr>
          <w:rFonts w:cstheme="minorHAnsi"/>
          <w:sz w:val="20"/>
          <w:szCs w:val="20"/>
          <w:lang w:val="en-GB"/>
        </w:rPr>
      </w:pPr>
    </w:p>
    <w:p w14:paraId="3B8CD21B" w14:textId="77777777" w:rsidR="005C701E" w:rsidRPr="00890A5E" w:rsidRDefault="005C701E" w:rsidP="005F2948">
      <w:pPr>
        <w:pStyle w:val="Geenafstand"/>
        <w:rPr>
          <w:rFonts w:cstheme="minorHAnsi"/>
          <w:lang w:val="en-GB"/>
        </w:rPr>
      </w:pPr>
    </w:p>
    <w:p w14:paraId="2465277C" w14:textId="77777777" w:rsidR="005C701E" w:rsidRPr="00890A5E" w:rsidRDefault="005C701E" w:rsidP="005F2948">
      <w:pPr>
        <w:pStyle w:val="Geenafstand"/>
        <w:rPr>
          <w:rFonts w:cstheme="minorHAnsi"/>
          <w:lang w:val="en-GB"/>
        </w:rPr>
      </w:pPr>
    </w:p>
    <w:p w14:paraId="57A87312" w14:textId="77777777" w:rsidR="005C701E" w:rsidRPr="00890A5E" w:rsidRDefault="005C701E" w:rsidP="005F2948">
      <w:pPr>
        <w:pStyle w:val="Geenafstand"/>
        <w:rPr>
          <w:rFonts w:cstheme="minorHAnsi"/>
          <w:lang w:val="en-GB"/>
        </w:rPr>
      </w:pPr>
    </w:p>
    <w:p w14:paraId="74536E20" w14:textId="77777777" w:rsidR="005C701E" w:rsidRPr="00890A5E" w:rsidRDefault="005C701E" w:rsidP="005F2948">
      <w:pPr>
        <w:pStyle w:val="Geenafstand"/>
        <w:rPr>
          <w:rFonts w:cstheme="minorHAnsi"/>
          <w:lang w:val="en-GB"/>
        </w:rPr>
      </w:pPr>
    </w:p>
    <w:p w14:paraId="3FB4B3BE" w14:textId="77777777" w:rsidR="005C701E" w:rsidRPr="00890A5E" w:rsidRDefault="005C701E" w:rsidP="005F2948">
      <w:pPr>
        <w:pStyle w:val="Geenafstand"/>
        <w:rPr>
          <w:rFonts w:cstheme="minorHAnsi"/>
          <w:lang w:val="en-GB"/>
        </w:rPr>
      </w:pPr>
    </w:p>
    <w:p w14:paraId="12604C14" w14:textId="77777777" w:rsidR="005C701E" w:rsidRPr="00890A5E" w:rsidRDefault="005C701E" w:rsidP="005F2948">
      <w:pPr>
        <w:pStyle w:val="Geenafstand"/>
        <w:rPr>
          <w:rFonts w:cstheme="minorHAnsi"/>
          <w:lang w:val="en-GB"/>
        </w:rPr>
      </w:pPr>
    </w:p>
    <w:p w14:paraId="13535CC2" w14:textId="77777777" w:rsidR="005C701E" w:rsidRPr="00890A5E" w:rsidRDefault="005C701E" w:rsidP="005F2948">
      <w:pPr>
        <w:pStyle w:val="Geenafstand"/>
        <w:rPr>
          <w:rFonts w:cstheme="minorHAnsi"/>
          <w:lang w:val="en-GB"/>
        </w:rPr>
      </w:pPr>
    </w:p>
    <w:p w14:paraId="001A2884" w14:textId="77777777" w:rsidR="005C701E" w:rsidRPr="00890A5E" w:rsidRDefault="005C701E" w:rsidP="005F2948">
      <w:pPr>
        <w:pStyle w:val="Geenafstand"/>
        <w:rPr>
          <w:rFonts w:cstheme="minorHAnsi"/>
          <w:lang w:val="en-GB"/>
        </w:rPr>
      </w:pPr>
    </w:p>
    <w:p w14:paraId="0690FF9D" w14:textId="77777777" w:rsidR="005C701E" w:rsidRPr="00890A5E" w:rsidRDefault="005C701E" w:rsidP="005F2948">
      <w:pPr>
        <w:pStyle w:val="Geenafstand"/>
        <w:rPr>
          <w:rFonts w:cstheme="minorHAnsi"/>
          <w:lang w:val="en-GB"/>
        </w:rPr>
      </w:pPr>
    </w:p>
    <w:p w14:paraId="03AACB3C" w14:textId="77777777" w:rsidR="005C701E" w:rsidRPr="00890A5E" w:rsidRDefault="005C701E" w:rsidP="005F2948">
      <w:pPr>
        <w:pStyle w:val="Geenafstand"/>
        <w:rPr>
          <w:rFonts w:cstheme="minorHAnsi"/>
          <w:lang w:val="en-GB"/>
        </w:rPr>
      </w:pPr>
    </w:p>
    <w:p w14:paraId="4A436A30" w14:textId="77777777" w:rsidR="005C701E" w:rsidRPr="00890A5E" w:rsidRDefault="005C701E" w:rsidP="005F2948">
      <w:pPr>
        <w:pStyle w:val="Geenafstand"/>
        <w:rPr>
          <w:rFonts w:cstheme="minorHAnsi"/>
          <w:lang w:val="en-GB"/>
        </w:rPr>
      </w:pPr>
    </w:p>
    <w:p w14:paraId="174D9F9B" w14:textId="77777777" w:rsidR="005C701E" w:rsidRPr="00890A5E" w:rsidRDefault="005C701E" w:rsidP="005F2948">
      <w:pPr>
        <w:pStyle w:val="Geenafstand"/>
        <w:rPr>
          <w:rFonts w:cstheme="minorHAnsi"/>
          <w:lang w:val="en-GB"/>
        </w:rPr>
      </w:pPr>
    </w:p>
    <w:p w14:paraId="17F0ACD1" w14:textId="77777777" w:rsidR="005C701E" w:rsidRPr="00890A5E" w:rsidRDefault="005C701E" w:rsidP="005F2948">
      <w:pPr>
        <w:pStyle w:val="Geenafstand"/>
        <w:rPr>
          <w:rFonts w:cstheme="minorHAnsi"/>
          <w:lang w:val="en-GB"/>
        </w:rPr>
      </w:pPr>
    </w:p>
    <w:p w14:paraId="0722878D" w14:textId="77777777" w:rsidR="005C701E" w:rsidRPr="00890A5E" w:rsidRDefault="005C701E" w:rsidP="005F2948">
      <w:pPr>
        <w:pStyle w:val="Geenafstand"/>
        <w:rPr>
          <w:rFonts w:cstheme="minorHAnsi"/>
          <w:lang w:val="en-GB"/>
        </w:rPr>
      </w:pPr>
    </w:p>
    <w:p w14:paraId="52B6D37C" w14:textId="77777777" w:rsidR="005C701E" w:rsidRPr="00890A5E" w:rsidRDefault="005C701E" w:rsidP="005F2948">
      <w:pPr>
        <w:pStyle w:val="Geenafstand"/>
        <w:rPr>
          <w:rFonts w:cstheme="minorHAnsi"/>
          <w:lang w:val="en-GB"/>
        </w:rPr>
      </w:pPr>
    </w:p>
    <w:p w14:paraId="4ADC1CC7" w14:textId="77777777" w:rsidR="005C701E" w:rsidRPr="00890A5E" w:rsidRDefault="005C701E" w:rsidP="005F2948">
      <w:pPr>
        <w:pStyle w:val="Geenafstand"/>
        <w:rPr>
          <w:rFonts w:cstheme="minorHAnsi"/>
          <w:lang w:val="en-GB"/>
        </w:rPr>
      </w:pPr>
    </w:p>
    <w:p w14:paraId="7948EB3C" w14:textId="77777777" w:rsidR="005C701E" w:rsidRPr="00890A5E" w:rsidRDefault="005C701E" w:rsidP="005F2948">
      <w:pPr>
        <w:pStyle w:val="Geenafstand"/>
        <w:rPr>
          <w:rFonts w:cstheme="minorHAnsi"/>
          <w:lang w:val="en-GB"/>
        </w:rPr>
      </w:pPr>
    </w:p>
    <w:p w14:paraId="7D75610B" w14:textId="77777777" w:rsidR="005C701E" w:rsidRPr="00890A5E" w:rsidRDefault="005C701E" w:rsidP="005F2948">
      <w:pPr>
        <w:pStyle w:val="Geenafstand"/>
        <w:rPr>
          <w:rFonts w:cstheme="minorHAnsi"/>
          <w:lang w:val="en-GB"/>
        </w:rPr>
      </w:pPr>
    </w:p>
    <w:p w14:paraId="1B18D3C4" w14:textId="77777777" w:rsidR="005C701E" w:rsidRPr="00890A5E" w:rsidRDefault="005C701E" w:rsidP="005F2948">
      <w:pPr>
        <w:pStyle w:val="Geenafstand"/>
        <w:rPr>
          <w:rFonts w:cstheme="minorHAnsi"/>
          <w:lang w:val="en-GB"/>
        </w:rPr>
      </w:pPr>
    </w:p>
    <w:p w14:paraId="2280C7EB" w14:textId="77777777" w:rsidR="005C701E" w:rsidRPr="00890A5E" w:rsidRDefault="005C701E" w:rsidP="005F2948">
      <w:pPr>
        <w:pStyle w:val="Geenafstand"/>
        <w:rPr>
          <w:rFonts w:cstheme="minorHAnsi"/>
          <w:lang w:val="en-GB"/>
        </w:rPr>
      </w:pPr>
    </w:p>
    <w:p w14:paraId="41824150" w14:textId="77777777" w:rsidR="005C701E" w:rsidRPr="00890A5E" w:rsidRDefault="005C701E" w:rsidP="005F2948">
      <w:pPr>
        <w:pStyle w:val="Geenafstand"/>
        <w:rPr>
          <w:rFonts w:cstheme="minorHAnsi"/>
          <w:lang w:val="en-GB"/>
        </w:rPr>
      </w:pPr>
    </w:p>
    <w:p w14:paraId="3D1063B8" w14:textId="77777777" w:rsidR="005C701E" w:rsidRPr="00890A5E" w:rsidRDefault="005C701E" w:rsidP="005F2948">
      <w:pPr>
        <w:pStyle w:val="Geenafstand"/>
        <w:rPr>
          <w:rFonts w:cstheme="minorHAnsi"/>
          <w:lang w:val="en-GB"/>
        </w:rPr>
      </w:pPr>
    </w:p>
    <w:p w14:paraId="38CE5286" w14:textId="77777777" w:rsidR="005C701E" w:rsidRPr="00890A5E" w:rsidRDefault="005C701E" w:rsidP="005F2948">
      <w:pPr>
        <w:pStyle w:val="Geenafstand"/>
        <w:rPr>
          <w:rFonts w:cstheme="minorHAnsi"/>
          <w:lang w:val="en-GB"/>
        </w:rPr>
      </w:pPr>
    </w:p>
    <w:p w14:paraId="5E40BFDC" w14:textId="77777777" w:rsidR="005C701E" w:rsidRPr="00890A5E" w:rsidRDefault="005C701E" w:rsidP="005F2948">
      <w:pPr>
        <w:pStyle w:val="Geenafstand"/>
        <w:rPr>
          <w:rFonts w:cstheme="minorHAnsi"/>
          <w:lang w:val="en-GB"/>
        </w:rPr>
      </w:pPr>
    </w:p>
    <w:p w14:paraId="750D4B50" w14:textId="77777777" w:rsidR="005C701E" w:rsidRPr="00890A5E" w:rsidRDefault="005C701E" w:rsidP="005F2948">
      <w:pPr>
        <w:pStyle w:val="Geenafstand"/>
        <w:rPr>
          <w:rFonts w:cstheme="minorHAnsi"/>
          <w:lang w:val="en-GB"/>
        </w:rPr>
      </w:pPr>
    </w:p>
    <w:p w14:paraId="1A0F2796" w14:textId="77777777" w:rsidR="005C701E" w:rsidRPr="00890A5E" w:rsidRDefault="005C701E" w:rsidP="005F2948">
      <w:pPr>
        <w:pStyle w:val="Geenafstand"/>
        <w:rPr>
          <w:rFonts w:cstheme="minorHAnsi"/>
          <w:lang w:val="en-GB"/>
        </w:rPr>
      </w:pPr>
    </w:p>
    <w:p w14:paraId="526E7225" w14:textId="77777777" w:rsidR="005C701E" w:rsidRPr="00890A5E" w:rsidRDefault="005C701E" w:rsidP="005F2948">
      <w:pPr>
        <w:pStyle w:val="Geenafstand"/>
        <w:rPr>
          <w:rFonts w:cstheme="minorHAnsi"/>
          <w:lang w:val="en-GB"/>
        </w:rPr>
      </w:pPr>
    </w:p>
    <w:p w14:paraId="721DC84F" w14:textId="77777777" w:rsidR="005C701E" w:rsidRPr="00890A5E" w:rsidRDefault="005C701E" w:rsidP="005F2948">
      <w:pPr>
        <w:pStyle w:val="Geenafstand"/>
        <w:rPr>
          <w:rFonts w:cstheme="minorHAnsi"/>
          <w:lang w:val="en-GB"/>
        </w:rPr>
      </w:pPr>
    </w:p>
    <w:p w14:paraId="7B9A7ADA" w14:textId="77777777" w:rsidR="005C701E" w:rsidRPr="00890A5E" w:rsidRDefault="005C701E" w:rsidP="005F2948">
      <w:pPr>
        <w:pStyle w:val="Geenafstand"/>
        <w:rPr>
          <w:rFonts w:cstheme="minorHAnsi"/>
          <w:lang w:val="en-GB"/>
        </w:rPr>
      </w:pPr>
    </w:p>
    <w:p w14:paraId="7067FCA5" w14:textId="77777777" w:rsidR="005C701E" w:rsidRPr="00890A5E" w:rsidRDefault="005C701E" w:rsidP="005F2948">
      <w:pPr>
        <w:pStyle w:val="Geenafstand"/>
        <w:rPr>
          <w:rFonts w:cstheme="minorHAnsi"/>
          <w:lang w:val="en-GB"/>
        </w:rPr>
      </w:pPr>
    </w:p>
    <w:p w14:paraId="60544518" w14:textId="77777777" w:rsidR="005C701E" w:rsidRPr="00890A5E" w:rsidRDefault="005C701E" w:rsidP="005F2948">
      <w:pPr>
        <w:pStyle w:val="Geenafstand"/>
        <w:rPr>
          <w:rFonts w:cstheme="minorHAnsi"/>
          <w:lang w:val="en-GB"/>
        </w:rPr>
      </w:pPr>
    </w:p>
    <w:sectPr w:rsidR="005C701E" w:rsidRPr="00890A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64DD"/>
    <w:multiLevelType w:val="hybridMultilevel"/>
    <w:tmpl w:val="857A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4D36F3"/>
    <w:multiLevelType w:val="hybridMultilevel"/>
    <w:tmpl w:val="7CD68C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B22607"/>
    <w:multiLevelType w:val="hybridMultilevel"/>
    <w:tmpl w:val="243C92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416332E8"/>
    <w:multiLevelType w:val="hybridMultilevel"/>
    <w:tmpl w:val="71E6EE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6539110D"/>
    <w:multiLevelType w:val="hybridMultilevel"/>
    <w:tmpl w:val="FE780160"/>
    <w:lvl w:ilvl="0" w:tplc="E7AAE89A">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FA7D6F"/>
    <w:multiLevelType w:val="hybridMultilevel"/>
    <w:tmpl w:val="DF6A6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36105191">
    <w:abstractNumId w:val="3"/>
  </w:num>
  <w:num w:numId="2" w16cid:durableId="1026445243">
    <w:abstractNumId w:val="6"/>
  </w:num>
  <w:num w:numId="3" w16cid:durableId="593171272">
    <w:abstractNumId w:val="9"/>
  </w:num>
  <w:num w:numId="4" w16cid:durableId="1008337569">
    <w:abstractNumId w:val="4"/>
  </w:num>
  <w:num w:numId="5" w16cid:durableId="1200053308">
    <w:abstractNumId w:val="10"/>
  </w:num>
  <w:num w:numId="6" w16cid:durableId="2086148160">
    <w:abstractNumId w:val="4"/>
  </w:num>
  <w:num w:numId="7" w16cid:durableId="108204942">
    <w:abstractNumId w:val="3"/>
  </w:num>
  <w:num w:numId="8" w16cid:durableId="1159425561">
    <w:abstractNumId w:val="6"/>
  </w:num>
  <w:num w:numId="9" w16cid:durableId="517307843">
    <w:abstractNumId w:val="9"/>
  </w:num>
  <w:num w:numId="10" w16cid:durableId="1375159396">
    <w:abstractNumId w:val="6"/>
  </w:num>
  <w:num w:numId="11" w16cid:durableId="1855998875">
    <w:abstractNumId w:val="6"/>
  </w:num>
  <w:num w:numId="12" w16cid:durableId="888762083">
    <w:abstractNumId w:val="9"/>
  </w:num>
  <w:num w:numId="13" w16cid:durableId="1421874605">
    <w:abstractNumId w:val="9"/>
  </w:num>
  <w:num w:numId="14" w16cid:durableId="2034304253">
    <w:abstractNumId w:val="4"/>
  </w:num>
  <w:num w:numId="15" w16cid:durableId="244612863">
    <w:abstractNumId w:val="4"/>
  </w:num>
  <w:num w:numId="16" w16cid:durableId="1683697826">
    <w:abstractNumId w:val="4"/>
  </w:num>
  <w:num w:numId="17" w16cid:durableId="1427270423">
    <w:abstractNumId w:val="10"/>
  </w:num>
  <w:num w:numId="18" w16cid:durableId="1286042416">
    <w:abstractNumId w:val="3"/>
  </w:num>
  <w:num w:numId="19" w16cid:durableId="322970271">
    <w:abstractNumId w:val="6"/>
  </w:num>
  <w:num w:numId="20" w16cid:durableId="616446539">
    <w:abstractNumId w:val="9"/>
  </w:num>
  <w:num w:numId="21" w16cid:durableId="1937398501">
    <w:abstractNumId w:val="6"/>
  </w:num>
  <w:num w:numId="22" w16cid:durableId="1575697738">
    <w:abstractNumId w:val="6"/>
  </w:num>
  <w:num w:numId="23" w16cid:durableId="1820882858">
    <w:abstractNumId w:val="9"/>
  </w:num>
  <w:num w:numId="24" w16cid:durableId="517737764">
    <w:abstractNumId w:val="9"/>
  </w:num>
  <w:num w:numId="25" w16cid:durableId="1748528906">
    <w:abstractNumId w:val="4"/>
  </w:num>
  <w:num w:numId="26" w16cid:durableId="1343433185">
    <w:abstractNumId w:val="4"/>
  </w:num>
  <w:num w:numId="27" w16cid:durableId="1574968135">
    <w:abstractNumId w:val="4"/>
  </w:num>
  <w:num w:numId="28" w16cid:durableId="714815390">
    <w:abstractNumId w:val="10"/>
  </w:num>
  <w:num w:numId="29" w16cid:durableId="946811711">
    <w:abstractNumId w:val="4"/>
  </w:num>
  <w:num w:numId="30" w16cid:durableId="996882843">
    <w:abstractNumId w:val="4"/>
  </w:num>
  <w:num w:numId="31" w16cid:durableId="1606185036">
    <w:abstractNumId w:val="10"/>
  </w:num>
  <w:num w:numId="32" w16cid:durableId="1115752548">
    <w:abstractNumId w:val="4"/>
  </w:num>
  <w:num w:numId="33" w16cid:durableId="108551630">
    <w:abstractNumId w:val="4"/>
  </w:num>
  <w:num w:numId="34" w16cid:durableId="1409107347">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3449300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63388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66027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05621149">
    <w:abstractNumId w:val="4"/>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504707240">
    <w:abstractNumId w:val="0"/>
  </w:num>
  <w:num w:numId="40" w16cid:durableId="174810352">
    <w:abstractNumId w:val="1"/>
  </w:num>
  <w:num w:numId="41" w16cid:durableId="1336150309">
    <w:abstractNumId w:val="2"/>
  </w:num>
  <w:num w:numId="42" w16cid:durableId="1749302585">
    <w:abstractNumId w:val="8"/>
  </w:num>
  <w:num w:numId="43" w16cid:durableId="1763647088">
    <w:abstractNumId w:val="7"/>
  </w:num>
  <w:num w:numId="44" w16cid:durableId="1629433740">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01E"/>
    <w:rsid w:val="00190250"/>
    <w:rsid w:val="001A71D9"/>
    <w:rsid w:val="00225B02"/>
    <w:rsid w:val="00286EA8"/>
    <w:rsid w:val="002A5625"/>
    <w:rsid w:val="003034F1"/>
    <w:rsid w:val="003E0D4E"/>
    <w:rsid w:val="00476272"/>
    <w:rsid w:val="004822CB"/>
    <w:rsid w:val="004E10E2"/>
    <w:rsid w:val="00505539"/>
    <w:rsid w:val="00506189"/>
    <w:rsid w:val="005147C8"/>
    <w:rsid w:val="005B2AF3"/>
    <w:rsid w:val="005C701E"/>
    <w:rsid w:val="005E4B36"/>
    <w:rsid w:val="005F2948"/>
    <w:rsid w:val="006A1AC1"/>
    <w:rsid w:val="006D7543"/>
    <w:rsid w:val="006E1286"/>
    <w:rsid w:val="007245B1"/>
    <w:rsid w:val="007946F2"/>
    <w:rsid w:val="007D0955"/>
    <w:rsid w:val="00821D64"/>
    <w:rsid w:val="00840A00"/>
    <w:rsid w:val="009024C5"/>
    <w:rsid w:val="00915C38"/>
    <w:rsid w:val="00944185"/>
    <w:rsid w:val="009B60D0"/>
    <w:rsid w:val="00A41115"/>
    <w:rsid w:val="00AD3036"/>
    <w:rsid w:val="00AD4DA5"/>
    <w:rsid w:val="00B1474A"/>
    <w:rsid w:val="00B42813"/>
    <w:rsid w:val="00BB0BD6"/>
    <w:rsid w:val="00CF0BFA"/>
    <w:rsid w:val="00D17CE3"/>
    <w:rsid w:val="00D66FC4"/>
    <w:rsid w:val="00D90810"/>
    <w:rsid w:val="00DF6498"/>
    <w:rsid w:val="00E1684F"/>
    <w:rsid w:val="00E366D2"/>
    <w:rsid w:val="00E55BEF"/>
    <w:rsid w:val="00FF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EF94"/>
  <w15:chartTrackingRefBased/>
  <w15:docId w15:val="{68608F60-A0C9-4847-A3BE-6D9743B98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C701E"/>
    <w:rPr>
      <w:rFonts w:asciiTheme="minorHAnsi" w:hAnsiTheme="minorHAnsi"/>
      <w:sz w:val="22"/>
    </w:rPr>
  </w:style>
  <w:style w:type="paragraph" w:styleId="Kop1">
    <w:name w:val="heading 1"/>
    <w:basedOn w:val="Standaard"/>
    <w:next w:val="Standaard"/>
    <w:link w:val="Kop1Char"/>
    <w:autoRedefine/>
    <w:uiPriority w:val="1"/>
    <w:qFormat/>
    <w:rsid w:val="00AD4DA5"/>
    <w:pPr>
      <w:keepNext/>
      <w:pageBreakBefore/>
      <w:spacing w:before="240" w:after="60"/>
      <w:outlineLvl w:val="0"/>
    </w:pPr>
    <w:rPr>
      <w:rFonts w:asciiTheme="majorHAnsi" w:eastAsiaTheme="majorEastAsia" w:hAnsiTheme="majorHAnsi" w:cstheme="majorBidi"/>
      <w:b/>
      <w:bCs/>
      <w:color w:val="365F91" w:themeColor="accent1" w:themeShade="BF"/>
      <w:kern w:val="32"/>
      <w:sz w:val="28"/>
      <w:szCs w:val="32"/>
    </w:rPr>
  </w:style>
  <w:style w:type="paragraph" w:styleId="Kop2">
    <w:name w:val="heading 2"/>
    <w:basedOn w:val="Standaard"/>
    <w:next w:val="Standaard"/>
    <w:link w:val="Kop2Char"/>
    <w:uiPriority w:val="9"/>
    <w:unhideWhenUsed/>
    <w:qFormat/>
    <w:rsid w:val="00AD4DA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Kop3">
    <w:name w:val="heading 3"/>
    <w:basedOn w:val="Standaard"/>
    <w:next w:val="Standaard"/>
    <w:link w:val="Kop3Char"/>
    <w:autoRedefine/>
    <w:uiPriority w:val="1"/>
    <w:unhideWhenUsed/>
    <w:qFormat/>
    <w:rsid w:val="003034F1"/>
    <w:pPr>
      <w:keepNext/>
      <w:spacing w:before="120" w:after="60"/>
      <w:contextualSpacing/>
      <w:outlineLvl w:val="2"/>
    </w:pPr>
    <w:rPr>
      <w:rFonts w:asciiTheme="majorHAnsi" w:eastAsia="Times New Roman" w:hAnsiTheme="majorHAnsi"/>
      <w:smallCaps/>
      <w:color w:val="365F91" w:themeColor="accent1" w:themeShade="BF"/>
      <w:szCs w:val="26"/>
      <w:lang w:val="en-GB"/>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cstheme="minorBidi"/>
      <w:b/>
      <w:bCs/>
      <w:szCs w:val="28"/>
    </w:rPr>
  </w:style>
  <w:style w:type="paragraph" w:styleId="Kop5">
    <w:name w:val="heading 5"/>
    <w:basedOn w:val="Standaard"/>
    <w:next w:val="Standaard"/>
    <w:link w:val="Kop5Char"/>
    <w:uiPriority w:val="1"/>
    <w:semiHidden/>
    <w:unhideWhenUsed/>
    <w:rsid w:val="005C701E"/>
    <w:pPr>
      <w:keepNext/>
      <w:keepLines/>
      <w:spacing w:before="80" w:after="40"/>
      <w:outlineLvl w:val="4"/>
    </w:pPr>
    <w:rPr>
      <w:rFonts w:eastAsiaTheme="majorEastAsia" w:cstheme="majorBidi"/>
      <w:color w:val="365F91" w:themeColor="accent1" w:themeShade="BF"/>
    </w:rPr>
  </w:style>
  <w:style w:type="paragraph" w:styleId="Kop6">
    <w:name w:val="heading 6"/>
    <w:basedOn w:val="Standaard"/>
    <w:next w:val="Standaard"/>
    <w:link w:val="Kop6Char"/>
    <w:uiPriority w:val="1"/>
    <w:semiHidden/>
    <w:unhideWhenUsed/>
    <w:qFormat/>
    <w:rsid w:val="005C701E"/>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1"/>
    <w:semiHidden/>
    <w:unhideWhenUsed/>
    <w:qFormat/>
    <w:rsid w:val="005C701E"/>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1"/>
    <w:semiHidden/>
    <w:unhideWhenUsed/>
    <w:qFormat/>
    <w:rsid w:val="005C701E"/>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1"/>
    <w:semiHidden/>
    <w:unhideWhenUsed/>
    <w:qFormat/>
    <w:rsid w:val="005C701E"/>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AD4DA5"/>
    <w:rPr>
      <w:rFonts w:asciiTheme="majorHAnsi" w:eastAsiaTheme="majorEastAsia" w:hAnsiTheme="majorHAnsi" w:cstheme="majorBidi"/>
      <w:color w:val="365F91" w:themeColor="accent1" w:themeShade="BF"/>
      <w:sz w:val="26"/>
      <w:szCs w:val="26"/>
    </w:rPr>
  </w:style>
  <w:style w:type="character" w:customStyle="1" w:styleId="Kop3Char">
    <w:name w:val="Kop 3 Char"/>
    <w:link w:val="Kop3"/>
    <w:uiPriority w:val="1"/>
    <w:rsid w:val="003034F1"/>
    <w:rPr>
      <w:rFonts w:asciiTheme="majorHAnsi" w:eastAsia="Times New Roman" w:hAnsiTheme="majorHAnsi"/>
      <w:smallCaps/>
      <w:color w:val="365F91" w:themeColor="accent1" w:themeShade="BF"/>
      <w:sz w:val="22"/>
      <w:szCs w:val="26"/>
      <w:lang w:val="en-GB"/>
    </w:rPr>
  </w:style>
  <w:style w:type="character" w:customStyle="1" w:styleId="Kop1Char">
    <w:name w:val="Kop 1 Char"/>
    <w:link w:val="Kop1"/>
    <w:uiPriority w:val="1"/>
    <w:rsid w:val="00AD4DA5"/>
    <w:rPr>
      <w:rFonts w:asciiTheme="majorHAnsi" w:eastAsiaTheme="majorEastAsia" w:hAnsiTheme="majorHAnsi" w:cstheme="majorBidi"/>
      <w:b/>
      <w:bCs/>
      <w:color w:val="365F91" w:themeColor="accent1" w:themeShade="BF"/>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szCs w:val="22"/>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customStyle="1" w:styleId="Nummer4">
    <w:name w:val="Nummer 4"/>
    <w:basedOn w:val="Standaard"/>
    <w:link w:val="Nummer4Char"/>
    <w:autoRedefine/>
    <w:qFormat/>
    <w:rsid w:val="00AD4DA5"/>
    <w:rPr>
      <w:rFonts w:asciiTheme="majorHAnsi" w:hAnsiTheme="majorHAnsi"/>
      <w:bCs/>
      <w:color w:val="365F91" w:themeColor="accent1" w:themeShade="BF"/>
      <w:sz w:val="20"/>
      <w:lang w:val="en-GB"/>
    </w:rPr>
  </w:style>
  <w:style w:type="character" w:customStyle="1" w:styleId="Nummer4Char">
    <w:name w:val="Nummer 4 Char"/>
    <w:basedOn w:val="Standaardalinea-lettertype"/>
    <w:link w:val="Nummer4"/>
    <w:rsid w:val="00AD4DA5"/>
    <w:rPr>
      <w:rFonts w:asciiTheme="majorHAnsi" w:hAnsiTheme="majorHAnsi"/>
      <w:bCs/>
      <w:color w:val="365F91" w:themeColor="accent1" w:themeShade="BF"/>
      <w:lang w:val="en-GB"/>
    </w:rPr>
  </w:style>
  <w:style w:type="character" w:customStyle="1" w:styleId="Kop5Char">
    <w:name w:val="Kop 5 Char"/>
    <w:basedOn w:val="Standaardalinea-lettertype"/>
    <w:link w:val="Kop5"/>
    <w:uiPriority w:val="1"/>
    <w:semiHidden/>
    <w:rsid w:val="005C701E"/>
    <w:rPr>
      <w:rFonts w:asciiTheme="minorHAnsi" w:eastAsiaTheme="majorEastAsia" w:hAnsiTheme="minorHAnsi" w:cstheme="majorBidi"/>
      <w:color w:val="365F91" w:themeColor="accent1" w:themeShade="BF"/>
      <w:sz w:val="22"/>
    </w:rPr>
  </w:style>
  <w:style w:type="character" w:customStyle="1" w:styleId="Kop6Char">
    <w:name w:val="Kop 6 Char"/>
    <w:basedOn w:val="Standaardalinea-lettertype"/>
    <w:link w:val="Kop6"/>
    <w:uiPriority w:val="1"/>
    <w:semiHidden/>
    <w:rsid w:val="005C701E"/>
    <w:rPr>
      <w:rFonts w:asciiTheme="minorHAnsi" w:eastAsiaTheme="majorEastAsia" w:hAnsiTheme="minorHAnsi" w:cstheme="majorBidi"/>
      <w:i/>
      <w:iCs/>
      <w:color w:val="595959" w:themeColor="text1" w:themeTint="A6"/>
      <w:sz w:val="22"/>
    </w:rPr>
  </w:style>
  <w:style w:type="character" w:customStyle="1" w:styleId="Kop7Char">
    <w:name w:val="Kop 7 Char"/>
    <w:basedOn w:val="Standaardalinea-lettertype"/>
    <w:link w:val="Kop7"/>
    <w:uiPriority w:val="1"/>
    <w:semiHidden/>
    <w:rsid w:val="005C701E"/>
    <w:rPr>
      <w:rFonts w:asciiTheme="minorHAnsi" w:eastAsiaTheme="majorEastAsia" w:hAnsiTheme="minorHAnsi" w:cstheme="majorBidi"/>
      <w:color w:val="595959" w:themeColor="text1" w:themeTint="A6"/>
      <w:sz w:val="22"/>
    </w:rPr>
  </w:style>
  <w:style w:type="character" w:customStyle="1" w:styleId="Kop8Char">
    <w:name w:val="Kop 8 Char"/>
    <w:basedOn w:val="Standaardalinea-lettertype"/>
    <w:link w:val="Kop8"/>
    <w:uiPriority w:val="1"/>
    <w:semiHidden/>
    <w:rsid w:val="005C701E"/>
    <w:rPr>
      <w:rFonts w:asciiTheme="minorHAnsi" w:eastAsiaTheme="majorEastAsia" w:hAnsiTheme="minorHAnsi" w:cstheme="majorBidi"/>
      <w:i/>
      <w:iCs/>
      <w:color w:val="272727" w:themeColor="text1" w:themeTint="D8"/>
      <w:sz w:val="22"/>
    </w:rPr>
  </w:style>
  <w:style w:type="character" w:customStyle="1" w:styleId="Kop9Char">
    <w:name w:val="Kop 9 Char"/>
    <w:basedOn w:val="Standaardalinea-lettertype"/>
    <w:link w:val="Kop9"/>
    <w:uiPriority w:val="1"/>
    <w:semiHidden/>
    <w:rsid w:val="005C701E"/>
    <w:rPr>
      <w:rFonts w:asciiTheme="minorHAnsi" w:eastAsiaTheme="majorEastAsia" w:hAnsiTheme="minorHAnsi" w:cstheme="majorBidi"/>
      <w:color w:val="272727" w:themeColor="text1" w:themeTint="D8"/>
      <w:sz w:val="22"/>
    </w:rPr>
  </w:style>
  <w:style w:type="character" w:styleId="Intensievebenadrukking">
    <w:name w:val="Intense Emphasis"/>
    <w:basedOn w:val="Standaardalinea-lettertype"/>
    <w:uiPriority w:val="21"/>
    <w:rsid w:val="005C701E"/>
    <w:rPr>
      <w:i/>
      <w:iCs/>
      <w:color w:val="365F91" w:themeColor="accent1" w:themeShade="BF"/>
    </w:rPr>
  </w:style>
  <w:style w:type="paragraph" w:styleId="Duidelijkcitaat">
    <w:name w:val="Intense Quote"/>
    <w:basedOn w:val="Standaard"/>
    <w:next w:val="Standaard"/>
    <w:link w:val="DuidelijkcitaatChar"/>
    <w:uiPriority w:val="30"/>
    <w:rsid w:val="005C701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DuidelijkcitaatChar">
    <w:name w:val="Duidelijk citaat Char"/>
    <w:basedOn w:val="Standaardalinea-lettertype"/>
    <w:link w:val="Duidelijkcitaat"/>
    <w:uiPriority w:val="30"/>
    <w:rsid w:val="005C701E"/>
    <w:rPr>
      <w:rFonts w:asciiTheme="minorHAnsi" w:hAnsiTheme="minorHAnsi"/>
      <w:i/>
      <w:iCs/>
      <w:color w:val="365F91" w:themeColor="accent1" w:themeShade="BF"/>
      <w:sz w:val="22"/>
    </w:rPr>
  </w:style>
  <w:style w:type="character" w:styleId="Intensieveverwijzing">
    <w:name w:val="Intense Reference"/>
    <w:basedOn w:val="Standaardalinea-lettertype"/>
    <w:uiPriority w:val="32"/>
    <w:rsid w:val="005C701E"/>
    <w:rPr>
      <w:b/>
      <w:bCs/>
      <w:smallCaps/>
      <w:color w:val="365F91" w:themeColor="accent1" w:themeShade="BF"/>
      <w:spacing w:val="5"/>
    </w:rPr>
  </w:style>
  <w:style w:type="character" w:styleId="Nadruk">
    <w:name w:val="Emphasis"/>
    <w:basedOn w:val="Standaardalinea-lettertype"/>
    <w:uiPriority w:val="20"/>
    <w:qFormat/>
    <w:rsid w:val="005C701E"/>
    <w:rPr>
      <w:i/>
      <w:iCs/>
    </w:rPr>
  </w:style>
  <w:style w:type="character" w:styleId="Hyperlink">
    <w:name w:val="Hyperlink"/>
    <w:basedOn w:val="Standaardalinea-lettertype"/>
    <w:uiPriority w:val="99"/>
    <w:unhideWhenUsed/>
    <w:rsid w:val="005C701E"/>
    <w:rPr>
      <w:color w:val="0000FF"/>
      <w:u w:val="single"/>
    </w:rPr>
  </w:style>
  <w:style w:type="paragraph" w:styleId="Geenafstand">
    <w:name w:val="No Spacing"/>
    <w:uiPriority w:val="1"/>
    <w:qFormat/>
    <w:rsid w:val="005C701E"/>
    <w:rPr>
      <w:rFonts w:asciiTheme="minorHAnsi" w:eastAsiaTheme="minorHAnsi" w:hAnsiTheme="minorHAnsi" w:cstheme="minorBidi"/>
      <w:sz w:val="22"/>
      <w:szCs w:val="22"/>
    </w:rPr>
  </w:style>
  <w:style w:type="table" w:styleId="Tabelraster">
    <w:name w:val="Table Grid"/>
    <w:basedOn w:val="Standaardtabel"/>
    <w:uiPriority w:val="59"/>
    <w:rsid w:val="005C70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5C701E"/>
    <w:pPr>
      <w:tabs>
        <w:tab w:val="center" w:pos="4536"/>
        <w:tab w:val="right" w:pos="9072"/>
      </w:tabs>
    </w:pPr>
  </w:style>
  <w:style w:type="character" w:customStyle="1" w:styleId="KoptekstChar">
    <w:name w:val="Koptekst Char"/>
    <w:basedOn w:val="Standaardalinea-lettertype"/>
    <w:link w:val="Koptekst"/>
    <w:uiPriority w:val="99"/>
    <w:rsid w:val="005C701E"/>
    <w:rPr>
      <w:rFonts w:asciiTheme="minorHAnsi" w:hAnsiTheme="minorHAnsi"/>
      <w:sz w:val="22"/>
    </w:rPr>
  </w:style>
  <w:style w:type="character" w:styleId="GevolgdeHyperlink">
    <w:name w:val="FollowedHyperlink"/>
    <w:basedOn w:val="Standaardalinea-lettertype"/>
    <w:uiPriority w:val="99"/>
    <w:semiHidden/>
    <w:unhideWhenUsed/>
    <w:rsid w:val="005C701E"/>
    <w:rPr>
      <w:color w:val="800080" w:themeColor="followedHyperlink"/>
      <w:u w:val="single"/>
    </w:rPr>
  </w:style>
  <w:style w:type="character" w:styleId="Onopgelostemelding">
    <w:name w:val="Unresolved Mention"/>
    <w:basedOn w:val="Standaardalinea-lettertype"/>
    <w:uiPriority w:val="99"/>
    <w:semiHidden/>
    <w:unhideWhenUsed/>
    <w:rsid w:val="00303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586806">
      <w:bodyDiv w:val="1"/>
      <w:marLeft w:val="0"/>
      <w:marRight w:val="0"/>
      <w:marTop w:val="0"/>
      <w:marBottom w:val="0"/>
      <w:divBdr>
        <w:top w:val="none" w:sz="0" w:space="0" w:color="auto"/>
        <w:left w:val="none" w:sz="0" w:space="0" w:color="auto"/>
        <w:bottom w:val="none" w:sz="0" w:space="0" w:color="auto"/>
        <w:right w:val="none" w:sz="0" w:space="0" w:color="auto"/>
      </w:divBdr>
    </w:div>
    <w:div w:id="1592353099">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 w:id="1600065239">
      <w:bodyDiv w:val="1"/>
      <w:marLeft w:val="0"/>
      <w:marRight w:val="0"/>
      <w:marTop w:val="0"/>
      <w:marBottom w:val="0"/>
      <w:divBdr>
        <w:top w:val="none" w:sz="0" w:space="0" w:color="auto"/>
        <w:left w:val="none" w:sz="0" w:space="0" w:color="auto"/>
        <w:bottom w:val="none" w:sz="0" w:space="0" w:color="auto"/>
        <w:right w:val="none" w:sz="0" w:space="0" w:color="auto"/>
      </w:divBdr>
    </w:div>
    <w:div w:id="171967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26373/"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3389/fped.2024.1444919"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EA6E3-639A-4968-B0FF-9D4D419394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705</Words>
  <Characters>4023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Manders, E.A. (Evert)</dc:creator>
  <cp:keywords/>
  <dc:description/>
  <cp:lastModifiedBy>Manders, E.A. (Evert)</cp:lastModifiedBy>
  <cp:revision>4</cp:revision>
  <dcterms:created xsi:type="dcterms:W3CDTF">2025-06-04T14:00:00Z</dcterms:created>
  <dcterms:modified xsi:type="dcterms:W3CDTF">2025-06-04T14:10:00Z</dcterms:modified>
</cp:coreProperties>
</file>