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E7FE3" w14:textId="48FAC624" w:rsidR="00A368A1" w:rsidRPr="0070414D" w:rsidRDefault="00365E9C" w:rsidP="0070414D">
      <w:pPr>
        <w:pStyle w:val="Geenafstand"/>
        <w:rPr>
          <w:b/>
          <w:bCs/>
          <w:lang w:val="en-GB"/>
        </w:rPr>
      </w:pPr>
      <w:r w:rsidRPr="0070414D">
        <w:rPr>
          <w:b/>
          <w:bCs/>
          <w:lang w:val="en-GB"/>
        </w:rPr>
        <w:t>Additional file 4</w:t>
      </w:r>
      <w:r w:rsidR="00A368A1" w:rsidRPr="0070414D">
        <w:rPr>
          <w:b/>
          <w:bCs/>
          <w:lang w:val="en-GB"/>
        </w:rPr>
        <w:t>: Overview of clinical studies with tiratricol for AHDS</w:t>
      </w:r>
    </w:p>
    <w:p w14:paraId="679D178E" w14:textId="77777777" w:rsidR="00A368A1" w:rsidRDefault="00A368A1" w:rsidP="0070414D">
      <w:pPr>
        <w:pStyle w:val="Geenafstand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Manuscript: </w:t>
      </w:r>
      <w:r w:rsidRPr="00890A5E">
        <w:rPr>
          <w:rFonts w:cstheme="minorHAnsi"/>
          <w:lang w:val="en-GB"/>
        </w:rPr>
        <w:t>Guiding the willingness to pay for repurposed tiratricol in the treatment of Allan-Herndon-Dudley syndrome using a cost-based-plus pricing framework</w:t>
      </w:r>
    </w:p>
    <w:p w14:paraId="41F1278A" w14:textId="109D989A" w:rsidR="00A368A1" w:rsidRPr="00F96FAA" w:rsidRDefault="00A368A1" w:rsidP="0070414D">
      <w:pPr>
        <w:pStyle w:val="Kop3"/>
        <w:rPr>
          <w:lang w:val="en-GB"/>
        </w:rPr>
      </w:pPr>
    </w:p>
    <w:p w14:paraId="5B86A6FB" w14:textId="27A8DF61" w:rsidR="00A368A1" w:rsidRPr="00890A5E" w:rsidRDefault="00A368A1" w:rsidP="0070414D">
      <w:pPr>
        <w:pStyle w:val="Geenafstand"/>
        <w:rPr>
          <w:rFonts w:cstheme="minorHAnsi"/>
          <w:b/>
          <w:bCs/>
          <w:lang w:val="en-GB"/>
        </w:rPr>
        <w:sectPr w:rsidR="00A368A1" w:rsidRPr="00890A5E" w:rsidSect="00A368A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cstheme="minorHAnsi"/>
          <w:b/>
          <w:bCs/>
          <w:lang w:val="en-GB"/>
        </w:rPr>
        <w:br/>
      </w:r>
      <w:r>
        <w:rPr>
          <w:rFonts w:cstheme="minorHAnsi"/>
          <w:b/>
          <w:bCs/>
          <w:lang w:val="en-GB"/>
        </w:rPr>
        <w:br/>
      </w:r>
    </w:p>
    <w:tbl>
      <w:tblPr>
        <w:tblStyle w:val="Tabelraster"/>
        <w:tblW w:w="12878" w:type="dxa"/>
        <w:tblLook w:val="04A0" w:firstRow="1" w:lastRow="0" w:firstColumn="1" w:lastColumn="0" w:noHBand="0" w:noVBand="1"/>
      </w:tblPr>
      <w:tblGrid>
        <w:gridCol w:w="1742"/>
        <w:gridCol w:w="1904"/>
        <w:gridCol w:w="1734"/>
        <w:gridCol w:w="1943"/>
        <w:gridCol w:w="2755"/>
        <w:gridCol w:w="2800"/>
      </w:tblGrid>
      <w:tr w:rsidR="00A368A1" w:rsidRPr="00890A5E" w14:paraId="4F320906" w14:textId="77777777" w:rsidTr="00DF14E1">
        <w:tc>
          <w:tcPr>
            <w:tcW w:w="0" w:type="auto"/>
            <w:shd w:val="clear" w:color="auto" w:fill="F2F2F2" w:themeFill="background1" w:themeFillShade="F2"/>
            <w:hideMark/>
          </w:tcPr>
          <w:p w14:paraId="57C0E0D2" w14:textId="77777777" w:rsidR="00A368A1" w:rsidRPr="00890A5E" w:rsidRDefault="00A368A1" w:rsidP="0070414D">
            <w:pPr>
              <w:pStyle w:val="Geenafstand"/>
              <w:rPr>
                <w:rFonts w:cstheme="minorHAnsi"/>
                <w:b/>
                <w:bCs/>
                <w:lang w:val="en-GB"/>
              </w:rPr>
            </w:pPr>
            <w:r w:rsidRPr="00890A5E">
              <w:rPr>
                <w:rFonts w:cstheme="minorHAnsi"/>
                <w:b/>
                <w:bCs/>
                <w:lang w:val="en-GB"/>
              </w:rPr>
              <w:lastRenderedPageBreak/>
              <w:t>Study:</w:t>
            </w:r>
          </w:p>
        </w:tc>
        <w:tc>
          <w:tcPr>
            <w:tcW w:w="0" w:type="auto"/>
            <w:shd w:val="clear" w:color="auto" w:fill="F2F2F2" w:themeFill="background1" w:themeFillShade="F2"/>
            <w:hideMark/>
          </w:tcPr>
          <w:p w14:paraId="1D7DB8E0" w14:textId="77777777" w:rsidR="00A368A1" w:rsidRPr="00890A5E" w:rsidRDefault="00A368A1" w:rsidP="0070414D">
            <w:pPr>
              <w:pStyle w:val="Geenafstand"/>
              <w:rPr>
                <w:rFonts w:cstheme="minorHAnsi"/>
                <w:b/>
                <w:bCs/>
                <w:lang w:val="en-GB"/>
              </w:rPr>
            </w:pPr>
            <w:r w:rsidRPr="00890A5E">
              <w:rPr>
                <w:rFonts w:cstheme="minorHAnsi"/>
                <w:b/>
                <w:bCs/>
                <w:lang w:val="en-GB"/>
              </w:rPr>
              <w:t>Design:</w:t>
            </w:r>
          </w:p>
        </w:tc>
        <w:tc>
          <w:tcPr>
            <w:tcW w:w="0" w:type="auto"/>
            <w:shd w:val="clear" w:color="auto" w:fill="F2F2F2" w:themeFill="background1" w:themeFillShade="F2"/>
            <w:hideMark/>
          </w:tcPr>
          <w:p w14:paraId="7B2A2204" w14:textId="77777777" w:rsidR="00A368A1" w:rsidRPr="00890A5E" w:rsidRDefault="00A368A1" w:rsidP="0070414D">
            <w:pPr>
              <w:pStyle w:val="Geenafstand"/>
              <w:rPr>
                <w:rFonts w:cstheme="minorHAnsi"/>
                <w:b/>
                <w:bCs/>
                <w:lang w:val="en-GB"/>
              </w:rPr>
            </w:pPr>
            <w:r w:rsidRPr="00890A5E">
              <w:rPr>
                <w:rFonts w:cstheme="minorHAnsi"/>
                <w:b/>
                <w:bCs/>
                <w:lang w:val="en-GB"/>
              </w:rPr>
              <w:t>Population:</w:t>
            </w:r>
          </w:p>
        </w:tc>
        <w:tc>
          <w:tcPr>
            <w:tcW w:w="0" w:type="auto"/>
            <w:shd w:val="clear" w:color="auto" w:fill="F2F2F2" w:themeFill="background1" w:themeFillShade="F2"/>
            <w:hideMark/>
          </w:tcPr>
          <w:p w14:paraId="1A67FFF2" w14:textId="77777777" w:rsidR="00A368A1" w:rsidRPr="00890A5E" w:rsidRDefault="00A368A1" w:rsidP="0070414D">
            <w:pPr>
              <w:pStyle w:val="Geenafstand"/>
              <w:rPr>
                <w:rFonts w:cstheme="minorHAnsi"/>
                <w:b/>
                <w:bCs/>
                <w:lang w:val="en-GB"/>
              </w:rPr>
            </w:pPr>
            <w:r w:rsidRPr="00890A5E">
              <w:rPr>
                <w:rFonts w:cstheme="minorHAnsi"/>
                <w:b/>
                <w:bCs/>
                <w:lang w:val="en-GB"/>
              </w:rPr>
              <w:t>Intervention:</w:t>
            </w:r>
          </w:p>
        </w:tc>
        <w:tc>
          <w:tcPr>
            <w:tcW w:w="0" w:type="auto"/>
            <w:shd w:val="clear" w:color="auto" w:fill="F2F2F2" w:themeFill="background1" w:themeFillShade="F2"/>
            <w:hideMark/>
          </w:tcPr>
          <w:p w14:paraId="22D2B092" w14:textId="77777777" w:rsidR="00A368A1" w:rsidRPr="00890A5E" w:rsidRDefault="00A368A1" w:rsidP="0070414D">
            <w:pPr>
              <w:pStyle w:val="Geenafstand"/>
              <w:rPr>
                <w:rFonts w:cstheme="minorHAnsi"/>
                <w:b/>
                <w:bCs/>
                <w:lang w:val="en-GB"/>
              </w:rPr>
            </w:pPr>
            <w:r w:rsidRPr="00890A5E">
              <w:rPr>
                <w:rFonts w:cstheme="minorHAnsi"/>
                <w:b/>
                <w:bCs/>
                <w:lang w:val="en-GB"/>
              </w:rPr>
              <w:t>Primary Outcomes:</w:t>
            </w:r>
          </w:p>
        </w:tc>
        <w:tc>
          <w:tcPr>
            <w:tcW w:w="0" w:type="auto"/>
            <w:shd w:val="clear" w:color="auto" w:fill="F2F2F2" w:themeFill="background1" w:themeFillShade="F2"/>
            <w:hideMark/>
          </w:tcPr>
          <w:p w14:paraId="07CC99B9" w14:textId="77777777" w:rsidR="00A368A1" w:rsidRPr="00890A5E" w:rsidRDefault="00A368A1" w:rsidP="0070414D">
            <w:pPr>
              <w:pStyle w:val="Geenafstand"/>
              <w:rPr>
                <w:rFonts w:cstheme="minorHAnsi"/>
                <w:b/>
                <w:bCs/>
                <w:lang w:val="en-GB"/>
              </w:rPr>
            </w:pPr>
            <w:r w:rsidRPr="00890A5E">
              <w:rPr>
                <w:rFonts w:cstheme="minorHAnsi"/>
                <w:b/>
                <w:bCs/>
                <w:lang w:val="en-GB"/>
              </w:rPr>
              <w:t>Key Results:</w:t>
            </w:r>
          </w:p>
        </w:tc>
      </w:tr>
      <w:tr w:rsidR="00A368A1" w:rsidRPr="0070414D" w14:paraId="620F8439" w14:textId="77777777" w:rsidTr="00DF14E1">
        <w:tc>
          <w:tcPr>
            <w:tcW w:w="0" w:type="auto"/>
            <w:hideMark/>
          </w:tcPr>
          <w:p w14:paraId="4D911B92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Groeneweg et al., 2019</w:t>
            </w:r>
          </w:p>
        </w:tc>
        <w:tc>
          <w:tcPr>
            <w:tcW w:w="0" w:type="auto"/>
            <w:hideMark/>
          </w:tcPr>
          <w:p w14:paraId="52DB9B8F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Phase IIb, open-label, single-arm</w:t>
            </w:r>
          </w:p>
        </w:tc>
        <w:tc>
          <w:tcPr>
            <w:tcW w:w="0" w:type="auto"/>
            <w:hideMark/>
          </w:tcPr>
          <w:p w14:paraId="4DEBAFE4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46 male patients with MCT8 deficiency, aged 0.7–66 years</w:t>
            </w:r>
          </w:p>
        </w:tc>
        <w:tc>
          <w:tcPr>
            <w:tcW w:w="0" w:type="auto"/>
            <w:hideMark/>
          </w:tcPr>
          <w:p w14:paraId="65C789BA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proofErr w:type="spellStart"/>
            <w:r w:rsidRPr="00890A5E">
              <w:rPr>
                <w:rFonts w:cstheme="minorHAnsi"/>
                <w:lang w:val="en-GB" w:eastAsia="en-GB"/>
              </w:rPr>
              <w:t>Triac</w:t>
            </w:r>
            <w:proofErr w:type="spellEnd"/>
            <w:r w:rsidRPr="00890A5E">
              <w:rPr>
                <w:rFonts w:cstheme="minorHAnsi"/>
                <w:lang w:val="en-GB" w:eastAsia="en-GB"/>
              </w:rPr>
              <w:t xml:space="preserve"> (tiratricol) for 12 months</w:t>
            </w:r>
          </w:p>
        </w:tc>
        <w:tc>
          <w:tcPr>
            <w:tcW w:w="0" w:type="auto"/>
            <w:hideMark/>
          </w:tcPr>
          <w:p w14:paraId="32FBA4D9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Assess safety and efficacy in reducing serum T3 levels and improving clinical parameters</w:t>
            </w:r>
          </w:p>
        </w:tc>
        <w:tc>
          <w:tcPr>
            <w:tcW w:w="0" w:type="auto"/>
            <w:hideMark/>
          </w:tcPr>
          <w:p w14:paraId="7AEFF178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Serum T3 levels normalized in 90% of patients; improvements in body weight, heart rate, and motor function; no serious adverse events.</w:t>
            </w:r>
          </w:p>
        </w:tc>
      </w:tr>
      <w:tr w:rsidR="00A368A1" w:rsidRPr="0070414D" w14:paraId="55DAB1A4" w14:textId="77777777" w:rsidTr="00DF14E1">
        <w:tc>
          <w:tcPr>
            <w:tcW w:w="0" w:type="auto"/>
            <w:hideMark/>
          </w:tcPr>
          <w:p w14:paraId="085073D3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Groeneweg et al., 2020</w:t>
            </w:r>
          </w:p>
        </w:tc>
        <w:tc>
          <w:tcPr>
            <w:tcW w:w="0" w:type="auto"/>
            <w:hideMark/>
          </w:tcPr>
          <w:p w14:paraId="11781576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 xml:space="preserve">Retrospective, </w:t>
            </w:r>
            <w:proofErr w:type="spellStart"/>
            <w:r w:rsidRPr="00890A5E">
              <w:rPr>
                <w:rFonts w:cstheme="minorHAnsi"/>
                <w:lang w:val="en-GB" w:eastAsia="en-GB"/>
              </w:rPr>
              <w:t>multicenter</w:t>
            </w:r>
            <w:proofErr w:type="spellEnd"/>
            <w:r w:rsidRPr="00890A5E">
              <w:rPr>
                <w:rFonts w:cstheme="minorHAnsi"/>
                <w:lang w:val="en-GB" w:eastAsia="en-GB"/>
              </w:rPr>
              <w:t xml:space="preserve"> cohort</w:t>
            </w:r>
          </w:p>
        </w:tc>
        <w:tc>
          <w:tcPr>
            <w:tcW w:w="0" w:type="auto"/>
            <w:hideMark/>
          </w:tcPr>
          <w:p w14:paraId="46DBFEFF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 xml:space="preserve">151 males with MCT8 deficiency from 47 </w:t>
            </w:r>
            <w:proofErr w:type="spellStart"/>
            <w:r w:rsidRPr="00890A5E">
              <w:rPr>
                <w:rFonts w:cstheme="minorHAnsi"/>
                <w:lang w:val="en-GB" w:eastAsia="en-GB"/>
              </w:rPr>
              <w:t>centers</w:t>
            </w:r>
            <w:proofErr w:type="spellEnd"/>
          </w:p>
        </w:tc>
        <w:tc>
          <w:tcPr>
            <w:tcW w:w="0" w:type="auto"/>
            <w:hideMark/>
          </w:tcPr>
          <w:p w14:paraId="00D26025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Observational study; no intervention</w:t>
            </w:r>
          </w:p>
        </w:tc>
        <w:tc>
          <w:tcPr>
            <w:tcW w:w="0" w:type="auto"/>
            <w:hideMark/>
          </w:tcPr>
          <w:p w14:paraId="21BF2750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Document natural history and clinical features of MCT8 deficiency</w:t>
            </w:r>
          </w:p>
        </w:tc>
        <w:tc>
          <w:tcPr>
            <w:tcW w:w="0" w:type="auto"/>
            <w:hideMark/>
          </w:tcPr>
          <w:p w14:paraId="3D53E08F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Severe psychomotor impairment, elevated serum T3, high mortality (23% by age 25), and metabolic dysfunction were key findings.</w:t>
            </w:r>
          </w:p>
        </w:tc>
      </w:tr>
      <w:tr w:rsidR="00A368A1" w:rsidRPr="0070414D" w14:paraId="30579AEC" w14:textId="77777777" w:rsidTr="00DF14E1">
        <w:tc>
          <w:tcPr>
            <w:tcW w:w="0" w:type="auto"/>
            <w:hideMark/>
          </w:tcPr>
          <w:p w14:paraId="41DDC116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 xml:space="preserve">van </w:t>
            </w:r>
            <w:proofErr w:type="spellStart"/>
            <w:r w:rsidRPr="00890A5E">
              <w:rPr>
                <w:rFonts w:cstheme="minorHAnsi"/>
                <w:lang w:val="en-GB" w:eastAsia="en-GB"/>
              </w:rPr>
              <w:t>Geest</w:t>
            </w:r>
            <w:proofErr w:type="spellEnd"/>
            <w:r w:rsidRPr="00890A5E">
              <w:rPr>
                <w:rFonts w:cstheme="minorHAnsi"/>
                <w:lang w:val="en-GB" w:eastAsia="en-GB"/>
              </w:rPr>
              <w:t xml:space="preserve"> et al., 2022</w:t>
            </w:r>
          </w:p>
        </w:tc>
        <w:tc>
          <w:tcPr>
            <w:tcW w:w="0" w:type="auto"/>
            <w:hideMark/>
          </w:tcPr>
          <w:p w14:paraId="73454108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Retrospective, real-life cohort</w:t>
            </w:r>
          </w:p>
        </w:tc>
        <w:tc>
          <w:tcPr>
            <w:tcW w:w="0" w:type="auto"/>
            <w:hideMark/>
          </w:tcPr>
          <w:p w14:paraId="42DCBA28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67 males with MCT8 deficiency, aged 0.6–27.8 years</w:t>
            </w:r>
          </w:p>
        </w:tc>
        <w:tc>
          <w:tcPr>
            <w:tcW w:w="0" w:type="auto"/>
            <w:hideMark/>
          </w:tcPr>
          <w:p w14:paraId="28DE59E3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proofErr w:type="spellStart"/>
            <w:r w:rsidRPr="00890A5E">
              <w:rPr>
                <w:rFonts w:cstheme="minorHAnsi"/>
                <w:lang w:val="en-GB" w:eastAsia="en-GB"/>
              </w:rPr>
              <w:t>Triac</w:t>
            </w:r>
            <w:proofErr w:type="spellEnd"/>
            <w:r w:rsidRPr="00890A5E">
              <w:rPr>
                <w:rFonts w:cstheme="minorHAnsi"/>
                <w:lang w:val="en-GB" w:eastAsia="en-GB"/>
              </w:rPr>
              <w:t xml:space="preserve"> (tiratricol) with a median treatment duration of 2.7 years</w:t>
            </w:r>
          </w:p>
        </w:tc>
        <w:tc>
          <w:tcPr>
            <w:tcW w:w="0" w:type="auto"/>
            <w:hideMark/>
          </w:tcPr>
          <w:p w14:paraId="752B2CA2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Long-term safety and efficacy in real-life practice</w:t>
            </w:r>
          </w:p>
        </w:tc>
        <w:tc>
          <w:tcPr>
            <w:tcW w:w="0" w:type="auto"/>
            <w:hideMark/>
          </w:tcPr>
          <w:p w14:paraId="145C3485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Sustained reduction in serum T3; improved body weight-for-age Z-scores (+0.72 SD) and reduced heart rate (-17 bpm); no new safety concerns.</w:t>
            </w:r>
          </w:p>
        </w:tc>
      </w:tr>
      <w:tr w:rsidR="00A368A1" w:rsidRPr="00890A5E" w14:paraId="6B2C485F" w14:textId="77777777" w:rsidTr="00DF14E1">
        <w:tc>
          <w:tcPr>
            <w:tcW w:w="0" w:type="auto"/>
            <w:hideMark/>
          </w:tcPr>
          <w:p w14:paraId="2BDF29F3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TRIAC Trial II (NCT02396459)</w:t>
            </w:r>
          </w:p>
        </w:tc>
        <w:tc>
          <w:tcPr>
            <w:tcW w:w="0" w:type="auto"/>
            <w:hideMark/>
          </w:tcPr>
          <w:p w14:paraId="2B591D6E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 xml:space="preserve">Phase II, </w:t>
            </w:r>
            <w:proofErr w:type="gramStart"/>
            <w:r w:rsidRPr="00890A5E">
              <w:rPr>
                <w:rFonts w:cstheme="minorHAnsi"/>
                <w:lang w:val="en-GB" w:eastAsia="en-GB"/>
              </w:rPr>
              <w:t>open-label</w:t>
            </w:r>
            <w:proofErr w:type="gramEnd"/>
          </w:p>
        </w:tc>
        <w:tc>
          <w:tcPr>
            <w:tcW w:w="0" w:type="auto"/>
            <w:hideMark/>
          </w:tcPr>
          <w:p w14:paraId="14CAC9C0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22 male patients with MCT8 deficiency, aged ≤30 months</w:t>
            </w:r>
          </w:p>
        </w:tc>
        <w:tc>
          <w:tcPr>
            <w:tcW w:w="0" w:type="auto"/>
            <w:hideMark/>
          </w:tcPr>
          <w:p w14:paraId="42AA747C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proofErr w:type="spellStart"/>
            <w:r w:rsidRPr="00890A5E">
              <w:rPr>
                <w:rFonts w:cstheme="minorHAnsi"/>
                <w:lang w:val="en-GB" w:eastAsia="en-GB"/>
              </w:rPr>
              <w:t>Triac</w:t>
            </w:r>
            <w:proofErr w:type="spellEnd"/>
            <w:r w:rsidRPr="00890A5E">
              <w:rPr>
                <w:rFonts w:cstheme="minorHAnsi"/>
                <w:lang w:val="en-GB" w:eastAsia="en-GB"/>
              </w:rPr>
              <w:t xml:space="preserve"> (tiratricol) for 96 weeks</w:t>
            </w:r>
          </w:p>
        </w:tc>
        <w:tc>
          <w:tcPr>
            <w:tcW w:w="0" w:type="auto"/>
            <w:hideMark/>
          </w:tcPr>
          <w:p w14:paraId="2043998F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Assess neurodevelopmental outcomes and safety in young patients</w:t>
            </w:r>
          </w:p>
        </w:tc>
        <w:tc>
          <w:tcPr>
            <w:tcW w:w="0" w:type="auto"/>
            <w:hideMark/>
          </w:tcPr>
          <w:p w14:paraId="5C66B4A0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Ongoing</w:t>
            </w:r>
          </w:p>
        </w:tc>
      </w:tr>
      <w:tr w:rsidR="00A368A1" w:rsidRPr="00890A5E" w14:paraId="54DE6AEB" w14:textId="77777777" w:rsidTr="00DF14E1">
        <w:tc>
          <w:tcPr>
            <w:tcW w:w="0" w:type="auto"/>
            <w:hideMark/>
          </w:tcPr>
          <w:p w14:paraId="1CE15415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ReTRIACt Study (NCT05579)</w:t>
            </w:r>
          </w:p>
        </w:tc>
        <w:tc>
          <w:tcPr>
            <w:tcW w:w="0" w:type="auto"/>
            <w:hideMark/>
          </w:tcPr>
          <w:p w14:paraId="0B636EF1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Phase III, double-blind, randomized, placebo-controlled</w:t>
            </w:r>
          </w:p>
        </w:tc>
        <w:tc>
          <w:tcPr>
            <w:tcW w:w="0" w:type="auto"/>
            <w:hideMark/>
          </w:tcPr>
          <w:p w14:paraId="00A3C7B4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At least 16 male patients, aged ≥4 years</w:t>
            </w:r>
          </w:p>
        </w:tc>
        <w:tc>
          <w:tcPr>
            <w:tcW w:w="0" w:type="auto"/>
            <w:hideMark/>
          </w:tcPr>
          <w:p w14:paraId="2631080E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Withdrawal of tiratricol vs. placebo for 30 days</w:t>
            </w:r>
          </w:p>
        </w:tc>
        <w:tc>
          <w:tcPr>
            <w:tcW w:w="0" w:type="auto"/>
            <w:hideMark/>
          </w:tcPr>
          <w:p w14:paraId="420EB563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Proportion of patients meeting rescue criteria (serum T3 &gt; upper limit of normal)</w:t>
            </w:r>
          </w:p>
        </w:tc>
        <w:tc>
          <w:tcPr>
            <w:tcW w:w="0" w:type="auto"/>
            <w:hideMark/>
          </w:tcPr>
          <w:p w14:paraId="49517410" w14:textId="77777777" w:rsidR="00A368A1" w:rsidRPr="00890A5E" w:rsidRDefault="00A368A1" w:rsidP="0070414D">
            <w:pPr>
              <w:pStyle w:val="Geenafstand"/>
              <w:rPr>
                <w:rFonts w:cstheme="minorHAnsi"/>
                <w:lang w:val="en-GB" w:eastAsia="en-GB"/>
              </w:rPr>
            </w:pPr>
            <w:r w:rsidRPr="00890A5E">
              <w:rPr>
                <w:rFonts w:cstheme="minorHAnsi"/>
                <w:lang w:val="en-GB" w:eastAsia="en-GB"/>
              </w:rPr>
              <w:t>Ongoing</w:t>
            </w:r>
          </w:p>
        </w:tc>
      </w:tr>
    </w:tbl>
    <w:p w14:paraId="73B8A2CB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  <w:sectPr w:rsidR="00A368A1" w:rsidRPr="00890A5E" w:rsidSect="00A368A1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0D4A3565" w14:textId="2EA4E57C" w:rsidR="00A368A1" w:rsidRPr="00FD430C" w:rsidRDefault="00FD430C" w:rsidP="0070414D">
      <w:pPr>
        <w:pStyle w:val="Geenafstand"/>
        <w:rPr>
          <w:rStyle w:val="Hyperlink"/>
          <w:rFonts w:cstheme="minorHAnsi"/>
          <w:b/>
          <w:bCs/>
          <w:color w:val="auto"/>
          <w:u w:val="none"/>
          <w:lang w:val="en-GB"/>
        </w:rPr>
      </w:pPr>
      <w:r>
        <w:rPr>
          <w:rStyle w:val="Hyperlink"/>
          <w:rFonts w:cstheme="minorHAnsi"/>
          <w:b/>
          <w:bCs/>
          <w:color w:val="auto"/>
          <w:u w:val="none"/>
          <w:lang w:val="en-GB"/>
        </w:rPr>
        <w:lastRenderedPageBreak/>
        <w:t>References:</w:t>
      </w:r>
    </w:p>
    <w:p w14:paraId="72EF09AD" w14:textId="23AAD653" w:rsidR="00A368A1" w:rsidRPr="0070414D" w:rsidRDefault="00A368A1" w:rsidP="0070414D">
      <w:pPr>
        <w:pStyle w:val="Lijstalinea"/>
        <w:numPr>
          <w:ilvl w:val="0"/>
          <w:numId w:val="39"/>
        </w:numPr>
        <w:rPr>
          <w:rFonts w:cstheme="minorHAnsi"/>
          <w:sz w:val="20"/>
          <w:lang w:val="en-GB"/>
        </w:rPr>
      </w:pPr>
      <w:bookmarkStart w:id="0" w:name="_Hlk192679703"/>
      <w:r w:rsidRPr="0070414D">
        <w:rPr>
          <w:rFonts w:cstheme="minorHAnsi"/>
          <w:sz w:val="20"/>
          <w:lang w:val="en-GB"/>
        </w:rPr>
        <w:t xml:space="preserve">Groeneweg, S., </w:t>
      </w:r>
      <w:proofErr w:type="spellStart"/>
      <w:r w:rsidRPr="0070414D">
        <w:rPr>
          <w:rFonts w:cstheme="minorHAnsi"/>
          <w:sz w:val="20"/>
          <w:lang w:val="en-GB"/>
        </w:rPr>
        <w:t>Peeters</w:t>
      </w:r>
      <w:proofErr w:type="spellEnd"/>
      <w:r w:rsidRPr="0070414D">
        <w:rPr>
          <w:rFonts w:cstheme="minorHAnsi"/>
          <w:sz w:val="20"/>
          <w:lang w:val="en-GB"/>
        </w:rPr>
        <w:t xml:space="preserve">, R. P., Moran, C., </w:t>
      </w:r>
      <w:proofErr w:type="spellStart"/>
      <w:r w:rsidRPr="0070414D">
        <w:rPr>
          <w:rFonts w:cstheme="minorHAnsi"/>
          <w:sz w:val="20"/>
          <w:lang w:val="en-GB"/>
        </w:rPr>
        <w:t>Stoupa</w:t>
      </w:r>
      <w:proofErr w:type="spellEnd"/>
      <w:r w:rsidRPr="0070414D">
        <w:rPr>
          <w:rFonts w:cstheme="minorHAnsi"/>
          <w:sz w:val="20"/>
          <w:lang w:val="en-GB"/>
        </w:rPr>
        <w:t xml:space="preserve">, A., Auriol, F., </w:t>
      </w:r>
      <w:proofErr w:type="spellStart"/>
      <w:r w:rsidRPr="0070414D">
        <w:rPr>
          <w:rFonts w:cstheme="minorHAnsi"/>
          <w:sz w:val="20"/>
          <w:lang w:val="en-GB"/>
        </w:rPr>
        <w:t>Tonduti</w:t>
      </w:r>
      <w:proofErr w:type="spellEnd"/>
      <w:r w:rsidRPr="0070414D">
        <w:rPr>
          <w:rFonts w:cstheme="minorHAnsi"/>
          <w:sz w:val="20"/>
          <w:lang w:val="en-GB"/>
        </w:rPr>
        <w:t xml:space="preserve">, D., &amp; Visser, W. E. (2019). Effectiveness and safety of the tri-iodothyronine analogue </w:t>
      </w:r>
      <w:proofErr w:type="spellStart"/>
      <w:r w:rsidRPr="0070414D">
        <w:rPr>
          <w:rFonts w:cstheme="minorHAnsi"/>
          <w:sz w:val="20"/>
          <w:lang w:val="en-GB"/>
        </w:rPr>
        <w:t>Triac</w:t>
      </w:r>
      <w:proofErr w:type="spellEnd"/>
      <w:r w:rsidRPr="0070414D">
        <w:rPr>
          <w:rFonts w:cstheme="minorHAnsi"/>
          <w:sz w:val="20"/>
          <w:lang w:val="en-GB"/>
        </w:rPr>
        <w:t xml:space="preserve"> in children and adults with MCT8 deficiency: An international, single-arm, open-label, phase 2 trial. </w:t>
      </w:r>
      <w:r w:rsidRPr="0070414D">
        <w:rPr>
          <w:rFonts w:cstheme="minorHAnsi"/>
          <w:i/>
          <w:iCs/>
          <w:sz w:val="20"/>
          <w:lang w:val="en-GB"/>
        </w:rPr>
        <w:t>The Lancet Diabetes &amp; Endocrinology, 7</w:t>
      </w:r>
      <w:r w:rsidRPr="0070414D">
        <w:rPr>
          <w:rFonts w:cstheme="minorHAnsi"/>
          <w:sz w:val="20"/>
          <w:lang w:val="en-GB"/>
        </w:rPr>
        <w:t xml:space="preserve">(9), 695–706. </w:t>
      </w:r>
    </w:p>
    <w:p w14:paraId="57533592" w14:textId="2E5ECA6C" w:rsidR="00A368A1" w:rsidRPr="0070414D" w:rsidRDefault="00A368A1" w:rsidP="0070414D">
      <w:pPr>
        <w:pStyle w:val="Lijstalinea"/>
        <w:numPr>
          <w:ilvl w:val="0"/>
          <w:numId w:val="39"/>
        </w:numPr>
        <w:rPr>
          <w:rFonts w:cstheme="minorHAnsi"/>
          <w:sz w:val="20"/>
        </w:rPr>
      </w:pPr>
      <w:r w:rsidRPr="0070414D">
        <w:rPr>
          <w:rFonts w:cstheme="minorHAnsi"/>
          <w:sz w:val="20"/>
        </w:rPr>
        <w:t xml:space="preserve">Groeneweg, S., van Geest, F. S., </w:t>
      </w:r>
      <w:proofErr w:type="spellStart"/>
      <w:r w:rsidRPr="0070414D">
        <w:rPr>
          <w:rFonts w:cstheme="minorHAnsi"/>
          <w:sz w:val="20"/>
        </w:rPr>
        <w:t>Abacı</w:t>
      </w:r>
      <w:proofErr w:type="spellEnd"/>
      <w:r w:rsidRPr="0070414D">
        <w:rPr>
          <w:rFonts w:cstheme="minorHAnsi"/>
          <w:sz w:val="20"/>
        </w:rPr>
        <w:t xml:space="preserve">, A., </w:t>
      </w:r>
      <w:proofErr w:type="spellStart"/>
      <w:r w:rsidRPr="0070414D">
        <w:rPr>
          <w:rFonts w:cstheme="minorHAnsi"/>
          <w:sz w:val="20"/>
        </w:rPr>
        <w:t>Alcantud</w:t>
      </w:r>
      <w:proofErr w:type="spellEnd"/>
      <w:r w:rsidRPr="0070414D">
        <w:rPr>
          <w:rFonts w:cstheme="minorHAnsi"/>
          <w:sz w:val="20"/>
        </w:rPr>
        <w:t xml:space="preserve">, A., </w:t>
      </w:r>
      <w:proofErr w:type="spellStart"/>
      <w:r w:rsidRPr="0070414D">
        <w:rPr>
          <w:rFonts w:cstheme="minorHAnsi"/>
          <w:sz w:val="20"/>
        </w:rPr>
        <w:t>Ambegaonkar</w:t>
      </w:r>
      <w:proofErr w:type="spellEnd"/>
      <w:r w:rsidRPr="0070414D">
        <w:rPr>
          <w:rFonts w:cstheme="minorHAnsi"/>
          <w:sz w:val="20"/>
        </w:rPr>
        <w:t xml:space="preserve">, G. P., </w:t>
      </w:r>
      <w:proofErr w:type="spellStart"/>
      <w:r w:rsidRPr="0070414D">
        <w:rPr>
          <w:rFonts w:cstheme="minorHAnsi"/>
          <w:sz w:val="20"/>
        </w:rPr>
        <w:t>Armour</w:t>
      </w:r>
      <w:proofErr w:type="spellEnd"/>
      <w:r w:rsidRPr="0070414D">
        <w:rPr>
          <w:rFonts w:cstheme="minorHAnsi"/>
          <w:sz w:val="20"/>
        </w:rPr>
        <w:t xml:space="preserve">, C. M., ... </w:t>
      </w:r>
      <w:r w:rsidRPr="0070414D">
        <w:rPr>
          <w:rFonts w:cstheme="minorHAnsi"/>
          <w:sz w:val="20"/>
          <w:lang w:val="en-GB"/>
        </w:rPr>
        <w:t xml:space="preserve">&amp; </w:t>
      </w:r>
      <w:proofErr w:type="spellStart"/>
      <w:r w:rsidRPr="0070414D">
        <w:rPr>
          <w:rFonts w:cstheme="minorHAnsi"/>
          <w:sz w:val="20"/>
          <w:lang w:val="en-GB"/>
        </w:rPr>
        <w:t>Peeters</w:t>
      </w:r>
      <w:proofErr w:type="spellEnd"/>
      <w:r w:rsidRPr="0070414D">
        <w:rPr>
          <w:rFonts w:cstheme="minorHAnsi"/>
          <w:sz w:val="20"/>
          <w:lang w:val="en-GB"/>
        </w:rPr>
        <w:t xml:space="preserve">, R. P. (2020). Disease characteristics of MCT8 deficiency: An international, retrospective, multicentre cohort study. </w:t>
      </w:r>
      <w:r w:rsidRPr="0070414D">
        <w:rPr>
          <w:rFonts w:cstheme="minorHAnsi"/>
          <w:i/>
          <w:iCs/>
          <w:sz w:val="20"/>
        </w:rPr>
        <w:t xml:space="preserve">The Lancet Diabetes &amp; </w:t>
      </w:r>
      <w:proofErr w:type="spellStart"/>
      <w:r w:rsidRPr="0070414D">
        <w:rPr>
          <w:rFonts w:cstheme="minorHAnsi"/>
          <w:i/>
          <w:iCs/>
          <w:sz w:val="20"/>
        </w:rPr>
        <w:t>Endocrinology</w:t>
      </w:r>
      <w:proofErr w:type="spellEnd"/>
      <w:r w:rsidRPr="0070414D">
        <w:rPr>
          <w:rFonts w:cstheme="minorHAnsi"/>
          <w:i/>
          <w:iCs/>
          <w:sz w:val="20"/>
        </w:rPr>
        <w:t>, 8</w:t>
      </w:r>
      <w:r w:rsidRPr="0070414D">
        <w:rPr>
          <w:rFonts w:cstheme="minorHAnsi"/>
          <w:sz w:val="20"/>
        </w:rPr>
        <w:t xml:space="preserve">(7), 594–605. </w:t>
      </w:r>
    </w:p>
    <w:p w14:paraId="2E3B0878" w14:textId="77777777" w:rsidR="00A368A1" w:rsidRPr="0070414D" w:rsidRDefault="00A368A1" w:rsidP="0070414D">
      <w:pPr>
        <w:pStyle w:val="Lijstalinea"/>
        <w:numPr>
          <w:ilvl w:val="0"/>
          <w:numId w:val="39"/>
        </w:numPr>
        <w:rPr>
          <w:rFonts w:cstheme="minorHAnsi"/>
          <w:sz w:val="20"/>
          <w:lang w:val="en-GB"/>
        </w:rPr>
      </w:pPr>
      <w:proofErr w:type="gramStart"/>
      <w:r w:rsidRPr="0070414D">
        <w:rPr>
          <w:rFonts w:cstheme="minorHAnsi"/>
          <w:sz w:val="20"/>
        </w:rPr>
        <w:t>van</w:t>
      </w:r>
      <w:proofErr w:type="gramEnd"/>
      <w:r w:rsidRPr="0070414D">
        <w:rPr>
          <w:rFonts w:cstheme="minorHAnsi"/>
          <w:sz w:val="20"/>
        </w:rPr>
        <w:t xml:space="preserve"> Geest, F. S., Groeneweg, S., van den Akker, E. L., </w:t>
      </w:r>
      <w:proofErr w:type="spellStart"/>
      <w:r w:rsidRPr="0070414D">
        <w:rPr>
          <w:rFonts w:cstheme="minorHAnsi"/>
          <w:sz w:val="20"/>
        </w:rPr>
        <w:t>Bacos</w:t>
      </w:r>
      <w:proofErr w:type="spellEnd"/>
      <w:r w:rsidRPr="0070414D">
        <w:rPr>
          <w:rFonts w:cstheme="minorHAnsi"/>
          <w:sz w:val="20"/>
        </w:rPr>
        <w:t xml:space="preserve">, I., </w:t>
      </w:r>
      <w:proofErr w:type="spellStart"/>
      <w:r w:rsidRPr="0070414D">
        <w:rPr>
          <w:rFonts w:cstheme="minorHAnsi"/>
          <w:sz w:val="20"/>
        </w:rPr>
        <w:t>Barca</w:t>
      </w:r>
      <w:proofErr w:type="spellEnd"/>
      <w:r w:rsidRPr="0070414D">
        <w:rPr>
          <w:rFonts w:cstheme="minorHAnsi"/>
          <w:sz w:val="20"/>
        </w:rPr>
        <w:t xml:space="preserve">, D., van den Berg, S. A., ... </w:t>
      </w:r>
      <w:r w:rsidRPr="0070414D">
        <w:rPr>
          <w:rFonts w:cstheme="minorHAnsi"/>
          <w:sz w:val="20"/>
          <w:lang w:val="en-GB"/>
        </w:rPr>
        <w:t xml:space="preserve">&amp; Visser, W. E. (2022). Long-term efficacy of T3 analogue </w:t>
      </w:r>
      <w:proofErr w:type="spellStart"/>
      <w:r w:rsidRPr="0070414D">
        <w:rPr>
          <w:rFonts w:cstheme="minorHAnsi"/>
          <w:sz w:val="20"/>
          <w:lang w:val="en-GB"/>
        </w:rPr>
        <w:t>Triac</w:t>
      </w:r>
      <w:proofErr w:type="spellEnd"/>
      <w:r w:rsidRPr="0070414D">
        <w:rPr>
          <w:rFonts w:cstheme="minorHAnsi"/>
          <w:sz w:val="20"/>
          <w:lang w:val="en-GB"/>
        </w:rPr>
        <w:t xml:space="preserve"> in children and adults with MCT8 deficiency: A real-life retrospective cohort study. </w:t>
      </w:r>
      <w:r w:rsidRPr="0070414D">
        <w:rPr>
          <w:rFonts w:cstheme="minorHAnsi"/>
          <w:i/>
          <w:iCs/>
          <w:sz w:val="20"/>
          <w:lang w:val="en-GB"/>
        </w:rPr>
        <w:t>The Journal of Clinical Endocrinology &amp; Metabolism, 107</w:t>
      </w:r>
      <w:r w:rsidRPr="0070414D">
        <w:rPr>
          <w:rFonts w:cstheme="minorHAnsi"/>
          <w:sz w:val="20"/>
          <w:lang w:val="en-GB"/>
        </w:rPr>
        <w:t>(3), e1136–e1147. https://doi.org/10.1210/clinem/dgab849</w:t>
      </w:r>
    </w:p>
    <w:p w14:paraId="29C0A2AF" w14:textId="77777777" w:rsidR="00A368A1" w:rsidRPr="0070414D" w:rsidRDefault="00A368A1" w:rsidP="0070414D">
      <w:pPr>
        <w:pStyle w:val="Lijstalinea"/>
        <w:numPr>
          <w:ilvl w:val="0"/>
          <w:numId w:val="39"/>
        </w:numPr>
        <w:rPr>
          <w:rFonts w:cstheme="minorHAnsi"/>
          <w:sz w:val="20"/>
          <w:lang w:val="en-GB"/>
        </w:rPr>
      </w:pPr>
      <w:r w:rsidRPr="0070414D">
        <w:rPr>
          <w:rFonts w:cstheme="minorHAnsi"/>
          <w:sz w:val="20"/>
          <w:lang w:val="en-GB"/>
        </w:rPr>
        <w:t xml:space="preserve">ClinicalTrials.gov. (2024). </w:t>
      </w:r>
      <w:proofErr w:type="spellStart"/>
      <w:r w:rsidRPr="0070414D">
        <w:rPr>
          <w:rFonts w:cstheme="minorHAnsi"/>
          <w:i/>
          <w:iCs/>
          <w:sz w:val="20"/>
          <w:lang w:val="en-GB"/>
        </w:rPr>
        <w:t>Triac</w:t>
      </w:r>
      <w:proofErr w:type="spellEnd"/>
      <w:r w:rsidRPr="0070414D">
        <w:rPr>
          <w:rFonts w:cstheme="minorHAnsi"/>
          <w:i/>
          <w:iCs/>
          <w:sz w:val="20"/>
          <w:lang w:val="en-GB"/>
        </w:rPr>
        <w:t xml:space="preserve"> Trial II in MCT8 Deficiency Patients (NCT02396459).</w:t>
      </w:r>
      <w:r w:rsidRPr="0070414D">
        <w:rPr>
          <w:rFonts w:cstheme="minorHAnsi"/>
          <w:sz w:val="20"/>
          <w:lang w:val="en-GB"/>
        </w:rPr>
        <w:t xml:space="preserve"> Retrieved from </w:t>
      </w:r>
      <w:hyperlink r:id="rId8" w:tgtFrame="_new" w:history="1">
        <w:r w:rsidRPr="0070414D">
          <w:rPr>
            <w:rStyle w:val="Hyperlink"/>
            <w:rFonts w:cstheme="minorHAnsi"/>
            <w:sz w:val="20"/>
            <w:lang w:val="en-GB"/>
          </w:rPr>
          <w:t>https://clinicaltrials.gov/study/NCT02396459</w:t>
        </w:r>
      </w:hyperlink>
    </w:p>
    <w:p w14:paraId="5E2DEB2A" w14:textId="77777777" w:rsidR="00A368A1" w:rsidRPr="0070414D" w:rsidRDefault="00A368A1" w:rsidP="0070414D">
      <w:pPr>
        <w:pStyle w:val="Lijstalinea"/>
        <w:numPr>
          <w:ilvl w:val="0"/>
          <w:numId w:val="39"/>
        </w:numPr>
        <w:rPr>
          <w:rFonts w:cstheme="minorHAnsi"/>
          <w:sz w:val="20"/>
          <w:lang w:val="en-GB"/>
        </w:rPr>
      </w:pPr>
      <w:r w:rsidRPr="0070414D">
        <w:rPr>
          <w:rFonts w:cstheme="minorHAnsi"/>
          <w:sz w:val="20"/>
          <w:lang w:val="en-GB"/>
        </w:rPr>
        <w:t xml:space="preserve">ClinicalTrials.gov. (2025). </w:t>
      </w:r>
      <w:r w:rsidRPr="0070414D">
        <w:rPr>
          <w:rFonts w:cstheme="minorHAnsi"/>
          <w:i/>
          <w:iCs/>
          <w:sz w:val="20"/>
          <w:lang w:val="en-GB"/>
        </w:rPr>
        <w:t>Withdrawal of Tiratricol Treatment in Males with Monocarboxylate Transporter 8 Deficiency (MCT8 Deficiency) (ReTRIACt) (NCT05579).</w:t>
      </w:r>
      <w:r w:rsidRPr="0070414D">
        <w:rPr>
          <w:rFonts w:cstheme="minorHAnsi"/>
          <w:sz w:val="20"/>
          <w:lang w:val="en-GB"/>
        </w:rPr>
        <w:t xml:space="preserve"> Retrieved from </w:t>
      </w:r>
      <w:hyperlink r:id="rId9" w:tgtFrame="_new" w:history="1">
        <w:r w:rsidRPr="0070414D">
          <w:rPr>
            <w:rStyle w:val="Hyperlink"/>
            <w:rFonts w:cstheme="minorHAnsi"/>
            <w:sz w:val="20"/>
            <w:lang w:val="en-GB"/>
          </w:rPr>
          <w:t>https://clinicaltrials.gov/study/NCT05579327</w:t>
        </w:r>
      </w:hyperlink>
    </w:p>
    <w:bookmarkEnd w:id="0"/>
    <w:p w14:paraId="22A39110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7800CE61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51FA4896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09BF8B52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145080B0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6F65A6BE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29BAB9D1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7B7744E3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299AC0FC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30EA5B97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29C873BE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0A0D093B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3127E1AB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620930AA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159CD7E8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3D139335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33032D60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1BF07C8A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73E68A9A" w14:textId="77777777" w:rsidR="00A368A1" w:rsidRPr="00890A5E" w:rsidRDefault="00A368A1" w:rsidP="0070414D">
      <w:pPr>
        <w:pStyle w:val="Geenafstand"/>
        <w:rPr>
          <w:rStyle w:val="Hyperlink"/>
          <w:rFonts w:cstheme="minorHAnsi"/>
          <w:color w:val="auto"/>
          <w:lang w:val="en-GB"/>
        </w:rPr>
      </w:pPr>
    </w:p>
    <w:p w14:paraId="21D48405" w14:textId="77777777" w:rsidR="00A368A1" w:rsidRPr="00F96FAA" w:rsidRDefault="00A368A1" w:rsidP="0070414D"/>
    <w:p w14:paraId="167CB742" w14:textId="77777777" w:rsidR="00505539" w:rsidRPr="00E1684F" w:rsidRDefault="00505539" w:rsidP="0070414D"/>
    <w:sectPr w:rsidR="00505539" w:rsidRPr="00E16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B64DD"/>
    <w:multiLevelType w:val="hybridMultilevel"/>
    <w:tmpl w:val="857A41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1"/>
  </w:num>
  <w:num w:numId="2" w16cid:durableId="1026445243">
    <w:abstractNumId w:val="3"/>
  </w:num>
  <w:num w:numId="3" w16cid:durableId="593171272">
    <w:abstractNumId w:val="4"/>
  </w:num>
  <w:num w:numId="4" w16cid:durableId="1008337569">
    <w:abstractNumId w:val="2"/>
  </w:num>
  <w:num w:numId="5" w16cid:durableId="1200053308">
    <w:abstractNumId w:val="5"/>
  </w:num>
  <w:num w:numId="6" w16cid:durableId="2086148160">
    <w:abstractNumId w:val="2"/>
  </w:num>
  <w:num w:numId="7" w16cid:durableId="108204942">
    <w:abstractNumId w:val="1"/>
  </w:num>
  <w:num w:numId="8" w16cid:durableId="1159425561">
    <w:abstractNumId w:val="3"/>
  </w:num>
  <w:num w:numId="9" w16cid:durableId="517307843">
    <w:abstractNumId w:val="4"/>
  </w:num>
  <w:num w:numId="10" w16cid:durableId="1375159396">
    <w:abstractNumId w:val="3"/>
  </w:num>
  <w:num w:numId="11" w16cid:durableId="1855998875">
    <w:abstractNumId w:val="3"/>
  </w:num>
  <w:num w:numId="12" w16cid:durableId="888762083">
    <w:abstractNumId w:val="4"/>
  </w:num>
  <w:num w:numId="13" w16cid:durableId="1421874605">
    <w:abstractNumId w:val="4"/>
  </w:num>
  <w:num w:numId="14" w16cid:durableId="2034304253">
    <w:abstractNumId w:val="2"/>
  </w:num>
  <w:num w:numId="15" w16cid:durableId="244612863">
    <w:abstractNumId w:val="2"/>
  </w:num>
  <w:num w:numId="16" w16cid:durableId="1683697826">
    <w:abstractNumId w:val="2"/>
  </w:num>
  <w:num w:numId="17" w16cid:durableId="1427270423">
    <w:abstractNumId w:val="5"/>
  </w:num>
  <w:num w:numId="18" w16cid:durableId="1286042416">
    <w:abstractNumId w:val="1"/>
  </w:num>
  <w:num w:numId="19" w16cid:durableId="322970271">
    <w:abstractNumId w:val="3"/>
  </w:num>
  <w:num w:numId="20" w16cid:durableId="616446539">
    <w:abstractNumId w:val="4"/>
  </w:num>
  <w:num w:numId="21" w16cid:durableId="1937398501">
    <w:abstractNumId w:val="3"/>
  </w:num>
  <w:num w:numId="22" w16cid:durableId="1575697738">
    <w:abstractNumId w:val="3"/>
  </w:num>
  <w:num w:numId="23" w16cid:durableId="1820882858">
    <w:abstractNumId w:val="4"/>
  </w:num>
  <w:num w:numId="24" w16cid:durableId="517737764">
    <w:abstractNumId w:val="4"/>
  </w:num>
  <w:num w:numId="25" w16cid:durableId="1748528906">
    <w:abstractNumId w:val="2"/>
  </w:num>
  <w:num w:numId="26" w16cid:durableId="1343433185">
    <w:abstractNumId w:val="2"/>
  </w:num>
  <w:num w:numId="27" w16cid:durableId="1574968135">
    <w:abstractNumId w:val="2"/>
  </w:num>
  <w:num w:numId="28" w16cid:durableId="714815390">
    <w:abstractNumId w:val="5"/>
  </w:num>
  <w:num w:numId="29" w16cid:durableId="946811711">
    <w:abstractNumId w:val="2"/>
  </w:num>
  <w:num w:numId="30" w16cid:durableId="996882843">
    <w:abstractNumId w:val="2"/>
  </w:num>
  <w:num w:numId="31" w16cid:durableId="1606185036">
    <w:abstractNumId w:val="5"/>
  </w:num>
  <w:num w:numId="32" w16cid:durableId="1115752548">
    <w:abstractNumId w:val="2"/>
  </w:num>
  <w:num w:numId="33" w16cid:durableId="108551630">
    <w:abstractNumId w:val="2"/>
  </w:num>
  <w:num w:numId="34" w16cid:durableId="1409107347">
    <w:abstractNumId w:val="3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2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9" w16cid:durableId="150470724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8A1"/>
    <w:rsid w:val="00190250"/>
    <w:rsid w:val="001A71D9"/>
    <w:rsid w:val="00225B02"/>
    <w:rsid w:val="00260656"/>
    <w:rsid w:val="00286EA8"/>
    <w:rsid w:val="00365E9C"/>
    <w:rsid w:val="003E6D6F"/>
    <w:rsid w:val="00476272"/>
    <w:rsid w:val="004822CB"/>
    <w:rsid w:val="004E10E2"/>
    <w:rsid w:val="00505539"/>
    <w:rsid w:val="00506189"/>
    <w:rsid w:val="005147C8"/>
    <w:rsid w:val="005B2AF3"/>
    <w:rsid w:val="005E4B36"/>
    <w:rsid w:val="00672E5F"/>
    <w:rsid w:val="006D7543"/>
    <w:rsid w:val="006E1286"/>
    <w:rsid w:val="0070414D"/>
    <w:rsid w:val="007946F2"/>
    <w:rsid w:val="007D0955"/>
    <w:rsid w:val="00821D64"/>
    <w:rsid w:val="00840A00"/>
    <w:rsid w:val="00915C38"/>
    <w:rsid w:val="00944185"/>
    <w:rsid w:val="009B60D0"/>
    <w:rsid w:val="00A368A1"/>
    <w:rsid w:val="00A41115"/>
    <w:rsid w:val="00AD3036"/>
    <w:rsid w:val="00AD4DA5"/>
    <w:rsid w:val="00B1474A"/>
    <w:rsid w:val="00B42813"/>
    <w:rsid w:val="00B768F7"/>
    <w:rsid w:val="00BB0BD6"/>
    <w:rsid w:val="00CF0BFA"/>
    <w:rsid w:val="00D17CE3"/>
    <w:rsid w:val="00D66FC4"/>
    <w:rsid w:val="00DF6498"/>
    <w:rsid w:val="00E1684F"/>
    <w:rsid w:val="00E366D2"/>
    <w:rsid w:val="00E55BEF"/>
    <w:rsid w:val="00FD430C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1DB4A"/>
  <w15:chartTrackingRefBased/>
  <w15:docId w15:val="{D0EE4C9E-C843-4D7C-908A-D46680189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368A1"/>
    <w:rPr>
      <w:rFonts w:asciiTheme="minorHAnsi" w:hAnsiTheme="minorHAnsi"/>
      <w:sz w:val="22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AD4DA5"/>
    <w:pPr>
      <w:keepNext/>
      <w:pageBreakBefore/>
      <w:spacing w:before="240" w:after="6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AD4DA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AD4DA5"/>
    <w:pPr>
      <w:keepNext/>
      <w:spacing w:before="120" w:after="60"/>
      <w:contextualSpacing/>
      <w:outlineLvl w:val="2"/>
    </w:pPr>
    <w:rPr>
      <w:rFonts w:asciiTheme="majorHAnsi" w:eastAsia="Times New Roman" w:hAnsiTheme="majorHAnsi"/>
      <w:b/>
      <w:bCs/>
      <w:smallCaps/>
      <w:color w:val="365F91" w:themeColor="accent1" w:themeShade="BF"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 w:cstheme="minorBidi"/>
      <w:b/>
      <w:bCs/>
      <w:szCs w:val="28"/>
    </w:rPr>
  </w:style>
  <w:style w:type="paragraph" w:styleId="Kop5">
    <w:name w:val="heading 5"/>
    <w:basedOn w:val="Standaard"/>
    <w:next w:val="Standaard"/>
    <w:link w:val="Kop5Char"/>
    <w:uiPriority w:val="1"/>
    <w:semiHidden/>
    <w:unhideWhenUsed/>
    <w:rsid w:val="00A368A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Kop6">
    <w:name w:val="heading 6"/>
    <w:basedOn w:val="Standaard"/>
    <w:next w:val="Standaard"/>
    <w:link w:val="Kop6Char"/>
    <w:uiPriority w:val="1"/>
    <w:semiHidden/>
    <w:unhideWhenUsed/>
    <w:qFormat/>
    <w:rsid w:val="00A368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1"/>
    <w:semiHidden/>
    <w:unhideWhenUsed/>
    <w:qFormat/>
    <w:rsid w:val="00A368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1"/>
    <w:semiHidden/>
    <w:unhideWhenUsed/>
    <w:qFormat/>
    <w:rsid w:val="00A368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1"/>
    <w:semiHidden/>
    <w:unhideWhenUsed/>
    <w:qFormat/>
    <w:rsid w:val="00A368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AD4DA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Kop3Char">
    <w:name w:val="Kop 3 Char"/>
    <w:link w:val="Kop3"/>
    <w:uiPriority w:val="1"/>
    <w:rsid w:val="00AD4DA5"/>
    <w:rPr>
      <w:rFonts w:asciiTheme="majorHAnsi" w:eastAsia="Times New Roman" w:hAnsiTheme="majorHAnsi"/>
      <w:b/>
      <w:bCs/>
      <w:smallCaps/>
      <w:color w:val="365F91" w:themeColor="accent1" w:themeShade="BF"/>
      <w:sz w:val="22"/>
      <w:szCs w:val="26"/>
    </w:rPr>
  </w:style>
  <w:style w:type="character" w:customStyle="1" w:styleId="Kop1Char">
    <w:name w:val="Kop 1 Char"/>
    <w:link w:val="Kop1"/>
    <w:uiPriority w:val="1"/>
    <w:rsid w:val="00AD4DA5"/>
    <w:rPr>
      <w:rFonts w:asciiTheme="majorHAnsi" w:eastAsiaTheme="majorEastAsia" w:hAnsiTheme="majorHAnsi" w:cstheme="majorBidi"/>
      <w:b/>
      <w:bCs/>
      <w:color w:val="365F91" w:themeColor="accent1" w:themeShade="BF"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qFormat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24"/>
      </w:numPr>
      <w:spacing w:before="20" w:after="20"/>
    </w:pPr>
    <w:rPr>
      <w:szCs w:val="22"/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22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18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2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2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paragraph" w:customStyle="1" w:styleId="Nummer4">
    <w:name w:val="Nummer 4"/>
    <w:basedOn w:val="Standaard"/>
    <w:link w:val="Nummer4Char"/>
    <w:autoRedefine/>
    <w:qFormat/>
    <w:rsid w:val="00AD4DA5"/>
    <w:rPr>
      <w:rFonts w:asciiTheme="majorHAnsi" w:hAnsiTheme="majorHAnsi"/>
      <w:bCs/>
      <w:color w:val="365F91" w:themeColor="accent1" w:themeShade="BF"/>
      <w:sz w:val="20"/>
      <w:lang w:val="en-GB"/>
    </w:rPr>
  </w:style>
  <w:style w:type="character" w:customStyle="1" w:styleId="Nummer4Char">
    <w:name w:val="Nummer 4 Char"/>
    <w:basedOn w:val="Standaardalinea-lettertype"/>
    <w:link w:val="Nummer4"/>
    <w:rsid w:val="00AD4DA5"/>
    <w:rPr>
      <w:rFonts w:asciiTheme="majorHAnsi" w:hAnsiTheme="majorHAnsi"/>
      <w:bCs/>
      <w:color w:val="365F9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1"/>
    <w:semiHidden/>
    <w:rsid w:val="00A368A1"/>
    <w:rPr>
      <w:rFonts w:asciiTheme="minorHAnsi" w:eastAsiaTheme="majorEastAsia" w:hAnsiTheme="minorHAnsi" w:cstheme="majorBidi"/>
      <w:color w:val="365F91" w:themeColor="accent1" w:themeShade="BF"/>
      <w:sz w:val="22"/>
    </w:rPr>
  </w:style>
  <w:style w:type="character" w:customStyle="1" w:styleId="Kop6Char">
    <w:name w:val="Kop 6 Char"/>
    <w:basedOn w:val="Standaardalinea-lettertype"/>
    <w:link w:val="Kop6"/>
    <w:uiPriority w:val="1"/>
    <w:semiHidden/>
    <w:rsid w:val="00A368A1"/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character" w:customStyle="1" w:styleId="Kop7Char">
    <w:name w:val="Kop 7 Char"/>
    <w:basedOn w:val="Standaardalinea-lettertype"/>
    <w:link w:val="Kop7"/>
    <w:uiPriority w:val="1"/>
    <w:semiHidden/>
    <w:rsid w:val="00A368A1"/>
    <w:rPr>
      <w:rFonts w:asciiTheme="minorHAnsi" w:eastAsiaTheme="majorEastAsia" w:hAnsiTheme="minorHAnsi" w:cstheme="majorBidi"/>
      <w:color w:val="595959" w:themeColor="text1" w:themeTint="A6"/>
      <w:sz w:val="22"/>
    </w:rPr>
  </w:style>
  <w:style w:type="character" w:customStyle="1" w:styleId="Kop8Char">
    <w:name w:val="Kop 8 Char"/>
    <w:basedOn w:val="Standaardalinea-lettertype"/>
    <w:link w:val="Kop8"/>
    <w:uiPriority w:val="1"/>
    <w:semiHidden/>
    <w:rsid w:val="00A368A1"/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character" w:customStyle="1" w:styleId="Kop9Char">
    <w:name w:val="Kop 9 Char"/>
    <w:basedOn w:val="Standaardalinea-lettertype"/>
    <w:link w:val="Kop9"/>
    <w:uiPriority w:val="1"/>
    <w:semiHidden/>
    <w:rsid w:val="00A368A1"/>
    <w:rPr>
      <w:rFonts w:asciiTheme="minorHAnsi" w:eastAsiaTheme="majorEastAsia" w:hAnsiTheme="minorHAnsi" w:cstheme="majorBidi"/>
      <w:color w:val="272727" w:themeColor="text1" w:themeTint="D8"/>
      <w:sz w:val="22"/>
    </w:rPr>
  </w:style>
  <w:style w:type="character" w:styleId="Intensievebenadrukking">
    <w:name w:val="Intense Emphasis"/>
    <w:basedOn w:val="Standaardalinea-lettertype"/>
    <w:uiPriority w:val="21"/>
    <w:rsid w:val="00A368A1"/>
    <w:rPr>
      <w:i/>
      <w:iCs/>
      <w:color w:val="365F9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rsid w:val="00A368A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368A1"/>
    <w:rPr>
      <w:rFonts w:asciiTheme="minorHAnsi" w:hAnsiTheme="minorHAnsi"/>
      <w:i/>
      <w:iCs/>
      <w:color w:val="365F91" w:themeColor="accent1" w:themeShade="BF"/>
      <w:sz w:val="22"/>
    </w:rPr>
  </w:style>
  <w:style w:type="character" w:styleId="Intensieveverwijzing">
    <w:name w:val="Intense Reference"/>
    <w:basedOn w:val="Standaardalinea-lettertype"/>
    <w:uiPriority w:val="32"/>
    <w:rsid w:val="00A368A1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368A1"/>
    <w:rPr>
      <w:color w:val="0000FF"/>
      <w:u w:val="single"/>
    </w:rPr>
  </w:style>
  <w:style w:type="paragraph" w:styleId="Geenafstand">
    <w:name w:val="No Spacing"/>
    <w:uiPriority w:val="1"/>
    <w:qFormat/>
    <w:rsid w:val="00A368A1"/>
    <w:rPr>
      <w:rFonts w:asciiTheme="minorHAnsi" w:eastAsiaTheme="minorHAnsi" w:hAnsiTheme="minorHAnsi" w:cstheme="minorBidi"/>
      <w:sz w:val="22"/>
      <w:szCs w:val="22"/>
    </w:rPr>
  </w:style>
  <w:style w:type="table" w:styleId="Tabelraster">
    <w:name w:val="Table Grid"/>
    <w:basedOn w:val="Standaardtabel"/>
    <w:uiPriority w:val="59"/>
    <w:rsid w:val="00A36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nicaltrials.gov/study/NCT0239645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linicaltrials.gov/study/NCT05579327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Manders, E.A. (Evert)</dc:creator>
  <cp:keywords/>
  <dc:description/>
  <cp:lastModifiedBy>Manders, E.A. (Evert)</cp:lastModifiedBy>
  <cp:revision>4</cp:revision>
  <dcterms:created xsi:type="dcterms:W3CDTF">2025-06-04T14:12:00Z</dcterms:created>
  <dcterms:modified xsi:type="dcterms:W3CDTF">2025-06-04T14:13:00Z</dcterms:modified>
</cp:coreProperties>
</file>