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46B88" w14:textId="2081FFF8" w:rsidR="00F96FAA" w:rsidRPr="0055552D" w:rsidRDefault="00032B72" w:rsidP="0055552D">
      <w:pPr>
        <w:pStyle w:val="Geenafstand"/>
        <w:rPr>
          <w:b/>
          <w:bCs/>
          <w:lang w:val="en-GB"/>
        </w:rPr>
      </w:pPr>
      <w:r w:rsidRPr="0055552D">
        <w:rPr>
          <w:b/>
          <w:bCs/>
          <w:lang w:val="en-GB"/>
        </w:rPr>
        <w:t>Additional file</w:t>
      </w:r>
      <w:r w:rsidR="00F96FAA" w:rsidRPr="0055552D">
        <w:rPr>
          <w:b/>
          <w:bCs/>
          <w:lang w:val="en-GB"/>
        </w:rPr>
        <w:t xml:space="preserve"> 2: Drug pricing framework</w:t>
      </w:r>
    </w:p>
    <w:p w14:paraId="3ADE2EC7" w14:textId="77777777" w:rsidR="00F96FAA" w:rsidRDefault="00F96FAA" w:rsidP="0055552D">
      <w:pPr>
        <w:pStyle w:val="Geenafstand"/>
        <w:rPr>
          <w:rFonts w:cstheme="minorHAnsi"/>
          <w:lang w:val="en-GB"/>
        </w:rPr>
      </w:pPr>
      <w:r>
        <w:rPr>
          <w:rFonts w:cstheme="minorHAnsi"/>
          <w:lang w:val="en-GB"/>
        </w:rPr>
        <w:t xml:space="preserve">Manuscript: </w:t>
      </w:r>
      <w:r w:rsidRPr="00890A5E">
        <w:rPr>
          <w:rFonts w:cstheme="minorHAnsi"/>
          <w:lang w:val="en-GB"/>
        </w:rPr>
        <w:t>Guiding the willingness to pay for repurposed tiratricol in the treatment of Allan-Herndon-Dudley syndrome using a cost-based-plus pricing framework</w:t>
      </w:r>
    </w:p>
    <w:p w14:paraId="27A0D727" w14:textId="77777777" w:rsidR="00F96FAA" w:rsidRDefault="00F96FAA" w:rsidP="0055552D">
      <w:pPr>
        <w:pStyle w:val="Geenafstand"/>
        <w:rPr>
          <w:lang w:val="en-GB"/>
        </w:rPr>
      </w:pPr>
    </w:p>
    <w:p w14:paraId="7CADD3B6" w14:textId="46715296" w:rsidR="00393DDD" w:rsidRPr="00703607" w:rsidRDefault="00393DDD" w:rsidP="00393DDD">
      <w:pPr>
        <w:rPr>
          <w:lang w:val="en-GB"/>
        </w:rPr>
      </w:pPr>
      <w:r w:rsidRPr="00703607">
        <w:rPr>
          <w:lang w:val="en-GB"/>
        </w:rPr>
        <w:t xml:space="preserve">The proposed cost-based pricing approach for repurposed </w:t>
      </w:r>
      <w:r>
        <w:rPr>
          <w:lang w:val="en-GB"/>
        </w:rPr>
        <w:t>tiratricol</w:t>
      </w:r>
      <w:r w:rsidRPr="00703607">
        <w:rPr>
          <w:lang w:val="en-GB"/>
        </w:rPr>
        <w:t xml:space="preserve"> is informed by the pricing framework designed by Medicine for Society, a platform at Amsterdam University Medical Centre, and RARE-NL, a Dutch national research hub composed of multiple university medical centres. Medicine for Society aims to improve the availability and affordability of (orphan) drugs. RARE-NL focuses on accelerating therapy development for rare diseases and drug repurposing.</w:t>
      </w:r>
    </w:p>
    <w:p w14:paraId="339FEC92" w14:textId="77777777" w:rsidR="00393DDD" w:rsidRDefault="00393DDD" w:rsidP="00393DDD">
      <w:pPr>
        <w:rPr>
          <w:lang w:val="en-GB"/>
        </w:rPr>
      </w:pPr>
    </w:p>
    <w:p w14:paraId="194375D5" w14:textId="77777777" w:rsidR="00393DDD" w:rsidRPr="00703607" w:rsidRDefault="00393DDD" w:rsidP="00393DDD">
      <w:pPr>
        <w:rPr>
          <w:lang w:val="en-GB"/>
        </w:rPr>
      </w:pPr>
      <w:r w:rsidRPr="00703607">
        <w:rPr>
          <w:lang w:val="en-GB"/>
        </w:rPr>
        <w:t>The primary goal of the framework is to help develop fair, socially responsible pricing strategies for (rare disease) therapies that ensure affordability while sustaining pharmaceutical innovation. By incorporating real-world investments, financial sustainability considerations, and societal value, the framework seeks to provide a transparent and justifiable approach to pricing decisions. Additionally, the framework serves as a tool to support healthcare payers by providing a structured methodology for establishing benchmark prices and facilitating the justification of willingness-to-pay (WTP) thresholds. In doing so, this framework complements traditional Health Technology Assessments (HTAs) by offering a cost-based rationale for pricing, which can be used alongside clinical and economic evaluations.</w:t>
      </w:r>
    </w:p>
    <w:p w14:paraId="4C0C2938" w14:textId="77777777" w:rsidR="00393DDD" w:rsidRDefault="00393DDD" w:rsidP="00393DDD">
      <w:pPr>
        <w:rPr>
          <w:lang w:val="en-GB"/>
        </w:rPr>
      </w:pPr>
    </w:p>
    <w:p w14:paraId="09963611" w14:textId="77777777" w:rsidR="00393DDD" w:rsidRPr="00703607" w:rsidRDefault="00393DDD" w:rsidP="00393DDD">
      <w:pPr>
        <w:rPr>
          <w:lang w:val="en-GB"/>
        </w:rPr>
      </w:pPr>
      <w:r w:rsidRPr="00703607">
        <w:rPr>
          <w:lang w:val="en-GB"/>
        </w:rPr>
        <w:t xml:space="preserve">The proposed framework builds on established drug pricing models proposed by the International Association of Mutual Benefit Societies (AIM) [1], </w:t>
      </w:r>
      <w:proofErr w:type="spellStart"/>
      <w:r w:rsidRPr="00703607">
        <w:rPr>
          <w:lang w:val="en-GB"/>
        </w:rPr>
        <w:t>Uyl</w:t>
      </w:r>
      <w:proofErr w:type="spellEnd"/>
      <w:r w:rsidRPr="00703607">
        <w:rPr>
          <w:lang w:val="en-GB"/>
        </w:rPr>
        <w:t xml:space="preserve">-de Groot and </w:t>
      </w:r>
      <w:proofErr w:type="spellStart"/>
      <w:r w:rsidRPr="00703607">
        <w:rPr>
          <w:lang w:val="en-GB"/>
        </w:rPr>
        <w:t>Löwenberg</w:t>
      </w:r>
      <w:proofErr w:type="spellEnd"/>
      <w:r w:rsidRPr="00703607">
        <w:rPr>
          <w:lang w:val="en-GB"/>
        </w:rPr>
        <w:t xml:space="preserve"> [2], </w:t>
      </w:r>
      <w:proofErr w:type="spellStart"/>
      <w:r w:rsidRPr="00703607">
        <w:rPr>
          <w:lang w:val="en-GB"/>
        </w:rPr>
        <w:t>Nuijten</w:t>
      </w:r>
      <w:proofErr w:type="spellEnd"/>
      <w:r w:rsidRPr="00703607">
        <w:rPr>
          <w:lang w:val="en-GB"/>
        </w:rPr>
        <w:t xml:space="preserve"> and Vis [3], and van der </w:t>
      </w:r>
      <w:proofErr w:type="spellStart"/>
      <w:r w:rsidRPr="00703607">
        <w:rPr>
          <w:lang w:val="en-GB"/>
        </w:rPr>
        <w:t>Schans</w:t>
      </w:r>
      <w:proofErr w:type="spellEnd"/>
      <w:r w:rsidRPr="00703607">
        <w:rPr>
          <w:lang w:val="en-GB"/>
        </w:rPr>
        <w:t xml:space="preserve"> et al. [4]. These models were analysed in detail to identify their core pricing components [5], and four of these models were applied in the case of </w:t>
      </w:r>
      <w:proofErr w:type="spellStart"/>
      <w:r w:rsidRPr="00703607">
        <w:rPr>
          <w:lang w:val="en-GB"/>
        </w:rPr>
        <w:t>lumasiran</w:t>
      </w:r>
      <w:proofErr w:type="spellEnd"/>
      <w:r w:rsidRPr="00703607">
        <w:rPr>
          <w:lang w:val="en-GB"/>
        </w:rPr>
        <w:t xml:space="preserve"> to illustrate their use in practice [6]. Based on these studies, the framework integrates cost-based elements with optional value-based considerations, offering a structured and adaptable methodology for setting drug prices during a set recoupment period.</w:t>
      </w:r>
    </w:p>
    <w:p w14:paraId="62A4F327" w14:textId="77777777" w:rsidR="00393DDD" w:rsidRDefault="00393DDD" w:rsidP="00393DDD">
      <w:pPr>
        <w:rPr>
          <w:lang w:val="en-GB"/>
        </w:rPr>
      </w:pPr>
    </w:p>
    <w:p w14:paraId="6D111C39" w14:textId="77777777" w:rsidR="00393DDD" w:rsidRPr="00703607" w:rsidRDefault="00393DDD" w:rsidP="00393DDD">
      <w:pPr>
        <w:rPr>
          <w:lang w:val="en-GB"/>
        </w:rPr>
      </w:pPr>
      <w:r w:rsidRPr="00703607">
        <w:rPr>
          <w:lang w:val="en-GB"/>
        </w:rPr>
        <w:t>First, the out-of-pocket costs associated with the development of a new molecular entity (NME) or the repurposing of an existing drug are incorporated. These include research and development (R&amp;D) expenditures and costs incurred from unsuccessful projects (cost-of-failure). To ensure the pricing model reflects financial realities, these R&amp;D costs and cost-of-failure are first corrected for market size and the assigned recoupment period and are subsequently adjusted for inflation and cost-of-capital.</w:t>
      </w:r>
      <w:r>
        <w:rPr>
          <w:lang w:val="en-GB"/>
        </w:rPr>
        <w:t xml:space="preserve"> </w:t>
      </w:r>
      <w:r w:rsidRPr="00703607">
        <w:rPr>
          <w:lang w:val="en-GB"/>
        </w:rPr>
        <w:t>Following these adjustments, manufacturing expenses are added, along with an additional allowance for sales-related expenses. A profit margin is incorporated to ensure sufficient financial incentives for pharmaceutical companies to invest in drug development. Additionally, the framework allows for the inclusion of a value-driven innovation bonus, rewarding significant therapeutic breakthroughs that deliver substantial clinical benefits compared with existing treatments.</w:t>
      </w:r>
    </w:p>
    <w:p w14:paraId="4474969E" w14:textId="77777777" w:rsidR="00393DDD" w:rsidRDefault="00393DDD" w:rsidP="00393DDD">
      <w:pPr>
        <w:rPr>
          <w:lang w:val="en-GB"/>
        </w:rPr>
      </w:pPr>
    </w:p>
    <w:p w14:paraId="47C2F20E" w14:textId="77777777" w:rsidR="00393DDD" w:rsidRPr="00703607" w:rsidRDefault="00393DDD" w:rsidP="00393DDD">
      <w:pPr>
        <w:rPr>
          <w:lang w:val="en-GB"/>
        </w:rPr>
      </w:pPr>
      <w:r w:rsidRPr="00703607">
        <w:rPr>
          <w:lang w:val="en-GB"/>
        </w:rPr>
        <w:t>As the pricing framework moves towards a price per-patient-per-year (PPPY), all these components are quantified as the annual amount that must be recouped within a defined recoupment period, ensuring a fair and predictable pricing structure. In cases where cost transparency is limited, reference values and assumptions from the scientific literature are provided to reduce uncertainty in pricing practices and to offer additional benchmarks for assessing reasonable cost estimates.</w:t>
      </w:r>
    </w:p>
    <w:p w14:paraId="1CCCE7F1" w14:textId="77777777" w:rsidR="00393DDD" w:rsidRPr="00703607" w:rsidRDefault="00393DDD" w:rsidP="00393DDD">
      <w:pPr>
        <w:rPr>
          <w:lang w:val="en-GB"/>
        </w:rPr>
      </w:pPr>
      <w:r w:rsidRPr="00703607">
        <w:rPr>
          <w:lang w:val="en-GB"/>
        </w:rPr>
        <w:t>By explicitly integrating underlying cost components, the framework enables differential drug pricing based on factors such as the development trajectory (e.g., whether the drug is a first-in-class innovation or a repurposed therapy), the level of innovation (e.g., whether it is a first-in-class breakthrough therapy or a 'me-too' product with incremental benefits), and the regulatory route of the product. Similarly, since all components are considered individually, it becomes possible to weigh them separately and move beyond merely discussing the final price. Instead, the focus shifts to determining what is reasonably acceptable to pay per component (e.g., the extent to which one is willing to account for the cost-of-failure).</w:t>
      </w:r>
    </w:p>
    <w:p w14:paraId="7BEACEC1" w14:textId="77777777" w:rsidR="00393DDD" w:rsidRDefault="00393DDD" w:rsidP="00393DDD">
      <w:pPr>
        <w:rPr>
          <w:lang w:val="en-GB"/>
        </w:rPr>
      </w:pPr>
    </w:p>
    <w:p w14:paraId="7A0AC9E1" w14:textId="77777777" w:rsidR="00393DDD" w:rsidRPr="00703607" w:rsidRDefault="00393DDD" w:rsidP="00393DDD">
      <w:pPr>
        <w:rPr>
          <w:lang w:val="en-GB"/>
        </w:rPr>
      </w:pPr>
      <w:r w:rsidRPr="00703607">
        <w:rPr>
          <w:lang w:val="en-GB"/>
        </w:rPr>
        <w:t>For drugs with multiple or expanding indications, the price per-patient-per-year (PPPY) can be calculated as a weighted average to reflect the cumulative development and operational costs across all indications, as depicted in the equations below. For each indication (</w:t>
      </w:r>
      <w:proofErr w:type="spellStart"/>
      <w:r w:rsidRPr="00703607">
        <w:rPr>
          <w:lang w:val="en-GB"/>
        </w:rPr>
        <w:t>i</w:t>
      </w:r>
      <w:proofErr w:type="spellEnd"/>
      <w:r w:rsidRPr="00703607">
        <w:rPr>
          <w:lang w:val="en-GB"/>
        </w:rPr>
        <w:t>), associated costs are calculated separately, considering the drug’s value and the number of eligible patients. As new indications or patient groups are added, the price PPPY is recalculated to reflect updated cumulative costs and an expanded patient base. By explicitly including a profit margin—and potentially a value-driven premium—for each indication, the framework incentivises companies to pursue additional indications, as each one generates incremental revenue.</w:t>
      </w:r>
    </w:p>
    <w:p w14:paraId="0AEFC20A" w14:textId="77777777" w:rsidR="00393DDD" w:rsidRPr="004B6A6F" w:rsidRDefault="00393DDD" w:rsidP="00393DDD">
      <w:pPr>
        <w:rPr>
          <w:lang w:val="en-GB"/>
        </w:rPr>
      </w:pPr>
    </w:p>
    <w:p w14:paraId="2AF3B281" w14:textId="77777777" w:rsidR="00393DDD" w:rsidRPr="004B6A6F" w:rsidRDefault="00393DDD" w:rsidP="00393DDD">
      <w:pPr>
        <w:rPr>
          <w:b/>
          <w:bCs/>
          <w:lang w:val="en-GB" w:eastAsia="en-GB"/>
        </w:rPr>
      </w:pPr>
      <w:r w:rsidRPr="004B6A6F">
        <w:rPr>
          <w:b/>
          <w:bCs/>
          <w:lang w:val="en-GB" w:eastAsia="en-GB"/>
        </w:rPr>
        <w:t>Eq1:</w:t>
      </w:r>
    </w:p>
    <w:p w14:paraId="6213D388" w14:textId="77777777" w:rsidR="00393DDD" w:rsidRPr="004B6A6F" w:rsidRDefault="00393DDD" w:rsidP="00393DDD">
      <w:pPr>
        <w:rPr>
          <w:rFonts w:eastAsia="Times New Roman" w:cstheme="minorHAnsi"/>
          <w:i/>
          <w:kern w:val="0"/>
          <w:sz w:val="20"/>
          <w:lang w:val="en-GB" w:eastAsia="en-GB"/>
          <w14:ligatures w14:val="none"/>
        </w:rPr>
      </w:pPr>
      <w:bookmarkStart w:id="0" w:name="_Hlk189050604"/>
      <m:oMathPara>
        <m:oMath>
          <m:r>
            <w:rPr>
              <w:rFonts w:ascii="Cambria Math" w:eastAsia="Times New Roman" w:hAnsi="Cambria Math" w:cstheme="minorHAnsi"/>
              <w:kern w:val="0"/>
              <w:sz w:val="20"/>
              <w:lang w:val="en-GB" w:eastAsia="en-GB"/>
              <w14:ligatures w14:val="none"/>
            </w:rPr>
            <m:t>Price PPPY=</m:t>
          </m:r>
          <m:f>
            <m:fPr>
              <m:ctrlPr>
                <w:rPr>
                  <w:rFonts w:ascii="Cambria Math" w:eastAsia="Times New Roman" w:hAnsi="Cambria Math" w:cstheme="minorHAnsi"/>
                  <w:i/>
                  <w:kern w:val="0"/>
                  <w:sz w:val="20"/>
                  <w:lang w:val="en-GB" w:eastAsia="en-GB"/>
                  <w14:ligatures w14:val="none"/>
                </w:rPr>
              </m:ctrlPr>
            </m:fPr>
            <m:num>
              <m:nary>
                <m:naryPr>
                  <m:chr m:val="∑"/>
                  <m:limLoc m:val="undOvr"/>
                  <m:ctrlPr>
                    <w:rPr>
                      <w:rFonts w:ascii="Cambria Math" w:eastAsia="Times New Roman" w:hAnsi="Cambria Math" w:cstheme="minorHAnsi"/>
                      <w:i/>
                      <w:kern w:val="0"/>
                      <w:sz w:val="20"/>
                      <w:lang w:val="en-GB" w:eastAsia="en-GB"/>
                      <w14:ligatures w14:val="none"/>
                    </w:rPr>
                  </m:ctrlPr>
                </m:naryPr>
                <m:sub>
                  <m:r>
                    <w:rPr>
                      <w:rFonts w:ascii="Cambria Math" w:eastAsia="Times New Roman" w:hAnsi="Cambria Math" w:cstheme="minorHAnsi"/>
                      <w:kern w:val="0"/>
                      <w:sz w:val="20"/>
                      <w:lang w:val="en-GB" w:eastAsia="en-GB"/>
                      <w14:ligatures w14:val="none"/>
                    </w:rPr>
                    <m:t>i=1</m:t>
                  </m:r>
                </m:sub>
                <m:sup>
                  <m:r>
                    <w:rPr>
                      <w:rFonts w:ascii="Cambria Math" w:eastAsia="Times New Roman" w:hAnsi="Cambria Math" w:cstheme="minorHAnsi"/>
                      <w:kern w:val="0"/>
                      <w:sz w:val="20"/>
                      <w:lang w:val="en-GB" w:eastAsia="en-GB"/>
                      <w14:ligatures w14:val="none"/>
                    </w:rPr>
                    <m:t>N</m:t>
                  </m:r>
                </m:sup>
                <m:e>
                  <m:r>
                    <w:rPr>
                      <w:rFonts w:ascii="Cambria Math" w:eastAsia="Times New Roman" w:hAnsi="Cambria Math" w:cstheme="minorHAnsi"/>
                      <w:kern w:val="0"/>
                      <w:sz w:val="20"/>
                      <w:lang w:val="en-GB" w:eastAsia="en-GB"/>
                      <w14:ligatures w14:val="none"/>
                    </w:rPr>
                    <m:t>[(</m:t>
                  </m:r>
                  <m:sSub>
                    <m:sSubPr>
                      <m:ctrlPr>
                        <w:rPr>
                          <w:rFonts w:ascii="Cambria Math" w:eastAsia="Times New Roman" w:hAnsi="Cambria Math" w:cstheme="minorHAnsi"/>
                          <w:i/>
                          <w:kern w:val="0"/>
                          <w:sz w:val="20"/>
                          <w:lang w:val="en-GB" w:eastAsia="en-GB"/>
                          <w14:ligatures w14:val="none"/>
                        </w:rPr>
                      </m:ctrlPr>
                    </m:sSubPr>
                    <m:e>
                      <m:r>
                        <w:rPr>
                          <w:rFonts w:ascii="Cambria Math" w:eastAsia="Times New Roman" w:hAnsi="Cambria Math" w:cstheme="minorHAnsi"/>
                          <w:kern w:val="0"/>
                          <w:sz w:val="20"/>
                          <w:lang w:val="en-GB" w:eastAsia="en-GB"/>
                          <w14:ligatures w14:val="none"/>
                        </w:rPr>
                        <m:t>R&amp;D</m:t>
                      </m:r>
                    </m:e>
                    <m:sub>
                      <m:r>
                        <w:rPr>
                          <w:rFonts w:ascii="Cambria Math" w:eastAsia="Times New Roman" w:hAnsi="Cambria Math" w:cstheme="minorHAnsi"/>
                          <w:kern w:val="0"/>
                          <w:sz w:val="20"/>
                          <w:lang w:val="en-GB" w:eastAsia="en-GB"/>
                          <w14:ligatures w14:val="none"/>
                        </w:rPr>
                        <m:t>i</m:t>
                      </m:r>
                    </m:sub>
                  </m:sSub>
                  <m:r>
                    <w:rPr>
                      <w:rFonts w:ascii="Cambria Math" w:eastAsia="Times New Roman" w:hAnsi="Cambria Math" w:cstheme="minorHAnsi"/>
                      <w:kern w:val="0"/>
                      <w:sz w:val="20"/>
                      <w:lang w:val="en-GB" w:eastAsia="en-GB"/>
                      <w14:ligatures w14:val="none"/>
                    </w:rPr>
                    <m:t>+</m:t>
                  </m:r>
                  <m:sSub>
                    <m:sSubPr>
                      <m:ctrlPr>
                        <w:rPr>
                          <w:rFonts w:ascii="Cambria Math" w:eastAsia="Times New Roman" w:hAnsi="Cambria Math" w:cstheme="minorHAnsi"/>
                          <w:i/>
                          <w:kern w:val="0"/>
                          <w:sz w:val="20"/>
                          <w:lang w:val="en-GB" w:eastAsia="en-GB"/>
                          <w14:ligatures w14:val="none"/>
                        </w:rPr>
                      </m:ctrlPr>
                    </m:sSubPr>
                    <m:e>
                      <m:r>
                        <w:rPr>
                          <w:rFonts w:ascii="Cambria Math" w:eastAsia="Times New Roman" w:hAnsi="Cambria Math" w:cstheme="minorHAnsi"/>
                          <w:kern w:val="0"/>
                          <w:sz w:val="20"/>
                          <w:lang w:val="en-GB" w:eastAsia="en-GB"/>
                          <w14:ligatures w14:val="none"/>
                        </w:rPr>
                        <m:t>CoF</m:t>
                      </m:r>
                    </m:e>
                    <m:sub>
                      <m:r>
                        <w:rPr>
                          <w:rFonts w:ascii="Cambria Math" w:eastAsia="Times New Roman" w:hAnsi="Cambria Math" w:cstheme="minorHAnsi"/>
                          <w:kern w:val="0"/>
                          <w:sz w:val="20"/>
                          <w:lang w:val="en-GB" w:eastAsia="en-GB"/>
                          <w14:ligatures w14:val="none"/>
                        </w:rPr>
                        <m:t>i</m:t>
                      </m:r>
                    </m:sub>
                  </m:sSub>
                  <m:r>
                    <w:rPr>
                      <w:rFonts w:ascii="Cambria Math" w:eastAsia="Times New Roman" w:hAnsi="Cambria Math" w:cstheme="minorHAnsi"/>
                      <w:kern w:val="0"/>
                      <w:sz w:val="20"/>
                      <w:lang w:val="en-GB" w:eastAsia="en-GB"/>
                      <w14:ligatures w14:val="none"/>
                    </w:rPr>
                    <m:t>)×</m:t>
                  </m:r>
                </m:e>
              </m:nary>
              <m:sSup>
                <m:sSupPr>
                  <m:ctrlPr>
                    <w:rPr>
                      <w:rFonts w:ascii="Cambria Math" w:eastAsia="Times New Roman" w:hAnsi="Cambria Math" w:cstheme="minorHAnsi"/>
                      <w:i/>
                      <w:kern w:val="0"/>
                      <w:sz w:val="20"/>
                      <w:lang w:val="en-GB" w:eastAsia="en-GB"/>
                      <w14:ligatures w14:val="none"/>
                    </w:rPr>
                  </m:ctrlPr>
                </m:sSupPr>
                <m:e>
                  <m:r>
                    <w:rPr>
                      <w:rFonts w:ascii="Cambria Math" w:eastAsia="Times New Roman" w:hAnsi="Cambria Math" w:cstheme="minorHAnsi"/>
                      <w:kern w:val="0"/>
                      <w:sz w:val="20"/>
                      <w:lang w:val="en-GB" w:eastAsia="en-GB"/>
                      <w14:ligatures w14:val="none"/>
                    </w:rPr>
                    <m:t>(1+</m:t>
                  </m:r>
                  <m:sSub>
                    <m:sSubPr>
                      <m:ctrlPr>
                        <w:rPr>
                          <w:rFonts w:ascii="Cambria Math" w:eastAsia="Times New Roman" w:hAnsi="Cambria Math" w:cstheme="minorHAnsi"/>
                          <w:i/>
                          <w:kern w:val="0"/>
                          <w:sz w:val="20"/>
                          <w:lang w:val="en-GB" w:eastAsia="en-GB"/>
                          <w14:ligatures w14:val="none"/>
                        </w:rPr>
                      </m:ctrlPr>
                    </m:sSubPr>
                    <m:e>
                      <m:r>
                        <w:rPr>
                          <w:rFonts w:ascii="Cambria Math" w:eastAsia="Times New Roman" w:hAnsi="Cambria Math" w:cstheme="minorHAnsi"/>
                          <w:kern w:val="0"/>
                          <w:sz w:val="20"/>
                          <w:lang w:val="en-GB" w:eastAsia="en-GB"/>
                          <w14:ligatures w14:val="none"/>
                        </w:rPr>
                        <m:t>CoC</m:t>
                      </m:r>
                    </m:e>
                    <m:sub>
                      <m:r>
                        <w:rPr>
                          <w:rFonts w:ascii="Cambria Math" w:eastAsia="Times New Roman" w:hAnsi="Cambria Math" w:cstheme="minorHAnsi"/>
                          <w:kern w:val="0"/>
                          <w:sz w:val="20"/>
                          <w:lang w:val="en-GB" w:eastAsia="en-GB"/>
                          <w14:ligatures w14:val="none"/>
                        </w:rPr>
                        <m:t>i</m:t>
                      </m:r>
                    </m:sub>
                  </m:sSub>
                  <m:r>
                    <w:rPr>
                      <w:rFonts w:ascii="Cambria Math" w:eastAsia="Times New Roman" w:hAnsi="Cambria Math" w:cstheme="minorHAnsi"/>
                      <w:kern w:val="0"/>
                      <w:sz w:val="20"/>
                      <w:lang w:val="en-GB" w:eastAsia="en-GB"/>
                      <w14:ligatures w14:val="none"/>
                    </w:rPr>
                    <m:t>)</m:t>
                  </m:r>
                </m:e>
                <m:sup>
                  <m:sSub>
                    <m:sSubPr>
                      <m:ctrlPr>
                        <w:rPr>
                          <w:rFonts w:ascii="Cambria Math" w:eastAsia="Times New Roman" w:hAnsi="Cambria Math" w:cstheme="minorHAnsi"/>
                          <w:i/>
                          <w:kern w:val="0"/>
                          <w:sz w:val="20"/>
                          <w:lang w:val="en-GB" w:eastAsia="en-GB"/>
                          <w14:ligatures w14:val="none"/>
                        </w:rPr>
                      </m:ctrlPr>
                    </m:sSubPr>
                    <m:e>
                      <m:r>
                        <w:rPr>
                          <w:rFonts w:ascii="Cambria Math" w:eastAsia="Times New Roman" w:hAnsi="Cambria Math" w:cstheme="minorHAnsi"/>
                          <w:kern w:val="0"/>
                          <w:sz w:val="20"/>
                          <w:lang w:val="en-GB" w:eastAsia="en-GB"/>
                          <w14:ligatures w14:val="none"/>
                        </w:rPr>
                        <m:t>D</m:t>
                      </m:r>
                    </m:e>
                    <m:sub>
                      <m:r>
                        <w:rPr>
                          <w:rFonts w:ascii="Cambria Math" w:eastAsia="Times New Roman" w:hAnsi="Cambria Math" w:cstheme="minorHAnsi"/>
                          <w:kern w:val="0"/>
                          <w:sz w:val="20"/>
                          <w:lang w:val="en-GB" w:eastAsia="en-GB"/>
                          <w14:ligatures w14:val="none"/>
                        </w:rPr>
                        <m:t>i</m:t>
                      </m:r>
                    </m:sub>
                  </m:sSub>
                </m:sup>
              </m:sSup>
              <m:r>
                <w:rPr>
                  <w:rFonts w:ascii="Cambria Math" w:eastAsia="Times New Roman" w:hAnsi="Cambria Math" w:cstheme="minorHAnsi"/>
                  <w:kern w:val="0"/>
                  <w:sz w:val="20"/>
                  <w:lang w:val="en-GB" w:eastAsia="en-GB"/>
                  <w14:ligatures w14:val="none"/>
                </w:rPr>
                <m:t>×</m:t>
              </m:r>
              <m:sSup>
                <m:sSupPr>
                  <m:ctrlPr>
                    <w:rPr>
                      <w:rFonts w:ascii="Cambria Math" w:eastAsia="Times New Roman" w:hAnsi="Cambria Math" w:cstheme="minorHAnsi"/>
                      <w:i/>
                      <w:kern w:val="0"/>
                      <w:sz w:val="20"/>
                      <w:lang w:val="en-GB" w:eastAsia="en-GB"/>
                      <w14:ligatures w14:val="none"/>
                    </w:rPr>
                  </m:ctrlPr>
                </m:sSupPr>
                <m:e>
                  <m:r>
                    <w:rPr>
                      <w:rFonts w:ascii="Cambria Math" w:eastAsia="Times New Roman" w:hAnsi="Cambria Math" w:cstheme="minorHAnsi"/>
                      <w:kern w:val="0"/>
                      <w:sz w:val="20"/>
                      <w:lang w:val="en-GB" w:eastAsia="en-GB"/>
                      <w14:ligatures w14:val="none"/>
                    </w:rPr>
                    <m:t>(1-</m:t>
                  </m:r>
                  <m:sSub>
                    <m:sSubPr>
                      <m:ctrlPr>
                        <w:rPr>
                          <w:rFonts w:ascii="Cambria Math" w:eastAsia="Times New Roman" w:hAnsi="Cambria Math" w:cstheme="minorHAnsi"/>
                          <w:i/>
                          <w:kern w:val="0"/>
                          <w:sz w:val="20"/>
                          <w:lang w:val="en-GB" w:eastAsia="en-GB"/>
                          <w14:ligatures w14:val="none"/>
                        </w:rPr>
                      </m:ctrlPr>
                    </m:sSubPr>
                    <m:e>
                      <m:r>
                        <w:rPr>
                          <w:rFonts w:ascii="Cambria Math" w:eastAsia="Times New Roman" w:hAnsi="Cambria Math" w:cstheme="minorHAnsi"/>
                          <w:kern w:val="0"/>
                          <w:sz w:val="20"/>
                          <w:lang w:val="en-GB" w:eastAsia="en-GB"/>
                          <w14:ligatures w14:val="none"/>
                        </w:rPr>
                        <m:t>GDP</m:t>
                      </m:r>
                    </m:e>
                    <m:sub>
                      <m:r>
                        <w:rPr>
                          <w:rFonts w:ascii="Cambria Math" w:eastAsia="Times New Roman" w:hAnsi="Cambria Math" w:cstheme="minorHAnsi"/>
                          <w:kern w:val="0"/>
                          <w:sz w:val="20"/>
                          <w:lang w:val="en-GB" w:eastAsia="en-GB"/>
                          <w14:ligatures w14:val="none"/>
                        </w:rPr>
                        <m:t>i</m:t>
                      </m:r>
                    </m:sub>
                  </m:sSub>
                  <m:r>
                    <w:rPr>
                      <w:rFonts w:ascii="Cambria Math" w:eastAsia="Times New Roman" w:hAnsi="Cambria Math" w:cstheme="minorHAnsi"/>
                      <w:kern w:val="0"/>
                      <w:sz w:val="20"/>
                      <w:lang w:val="en-GB" w:eastAsia="en-GB"/>
                      <w14:ligatures w14:val="none"/>
                    </w:rPr>
                    <m:t>)</m:t>
                  </m:r>
                </m:e>
                <m:sup>
                  <m:sSub>
                    <m:sSubPr>
                      <m:ctrlPr>
                        <w:rPr>
                          <w:rFonts w:ascii="Cambria Math" w:eastAsia="Times New Roman" w:hAnsi="Cambria Math" w:cstheme="minorHAnsi"/>
                          <w:i/>
                          <w:kern w:val="0"/>
                          <w:sz w:val="20"/>
                          <w:lang w:val="en-GB" w:eastAsia="en-GB"/>
                          <w14:ligatures w14:val="none"/>
                        </w:rPr>
                      </m:ctrlPr>
                    </m:sSubPr>
                    <m:e>
                      <m:r>
                        <w:rPr>
                          <w:rFonts w:ascii="Cambria Math" w:eastAsia="Times New Roman" w:hAnsi="Cambria Math" w:cstheme="minorHAnsi"/>
                          <w:kern w:val="0"/>
                          <w:sz w:val="20"/>
                          <w:lang w:val="en-GB" w:eastAsia="en-GB"/>
                          <w14:ligatures w14:val="none"/>
                        </w:rPr>
                        <m:t>D</m:t>
                      </m:r>
                    </m:e>
                    <m:sub>
                      <m:r>
                        <w:rPr>
                          <w:rFonts w:ascii="Cambria Math" w:eastAsia="Times New Roman" w:hAnsi="Cambria Math" w:cstheme="minorHAnsi"/>
                          <w:kern w:val="0"/>
                          <w:sz w:val="20"/>
                          <w:lang w:val="en-GB" w:eastAsia="en-GB"/>
                          <w14:ligatures w14:val="none"/>
                        </w:rPr>
                        <m:t>i</m:t>
                      </m:r>
                    </m:sub>
                  </m:sSub>
                </m:sup>
              </m:sSup>
              <m:r>
                <w:rPr>
                  <w:rFonts w:ascii="Cambria Math" w:eastAsia="Times New Roman" w:hAnsi="Cambria Math" w:cstheme="minorHAnsi"/>
                  <w:kern w:val="0"/>
                  <w:sz w:val="20"/>
                  <w:lang w:val="en-GB" w:eastAsia="en-GB"/>
                  <w14:ligatures w14:val="none"/>
                </w:rPr>
                <m:t>+</m:t>
              </m:r>
              <m:sSub>
                <m:sSubPr>
                  <m:ctrlPr>
                    <w:rPr>
                      <w:rFonts w:ascii="Cambria Math" w:eastAsia="Times New Roman" w:hAnsi="Cambria Math" w:cstheme="minorHAnsi"/>
                      <w:i/>
                      <w:kern w:val="0"/>
                      <w:sz w:val="20"/>
                      <w:lang w:val="en-GB" w:eastAsia="en-GB"/>
                      <w14:ligatures w14:val="none"/>
                    </w:rPr>
                  </m:ctrlPr>
                </m:sSubPr>
                <m:e>
                  <m:r>
                    <w:rPr>
                      <w:rFonts w:ascii="Cambria Math" w:eastAsia="Times New Roman" w:hAnsi="Cambria Math" w:cstheme="minorHAnsi"/>
                      <w:kern w:val="0"/>
                      <w:sz w:val="20"/>
                      <w:lang w:val="en-GB" w:eastAsia="en-GB"/>
                      <w14:ligatures w14:val="none"/>
                    </w:rPr>
                    <m:t>MC</m:t>
                  </m:r>
                </m:e>
                <m:sub>
                  <m:r>
                    <w:rPr>
                      <w:rFonts w:ascii="Cambria Math" w:eastAsia="Times New Roman" w:hAnsi="Cambria Math" w:cstheme="minorHAnsi"/>
                      <w:kern w:val="0"/>
                      <w:sz w:val="20"/>
                      <w:lang w:val="en-GB" w:eastAsia="en-GB"/>
                      <w14:ligatures w14:val="none"/>
                    </w:rPr>
                    <m:t>i</m:t>
                  </m:r>
                </m:sub>
              </m:sSub>
              <m:r>
                <w:rPr>
                  <w:rFonts w:ascii="Cambria Math" w:eastAsia="Times New Roman" w:hAnsi="Cambria Math" w:cstheme="minorHAnsi"/>
                  <w:kern w:val="0"/>
                  <w:sz w:val="20"/>
                  <w:lang w:val="en-GB" w:eastAsia="en-GB"/>
                  <w14:ligatures w14:val="none"/>
                </w:rPr>
                <m:t>+</m:t>
              </m:r>
              <m:sSub>
                <m:sSubPr>
                  <m:ctrlPr>
                    <w:rPr>
                      <w:rFonts w:ascii="Cambria Math" w:eastAsia="Times New Roman" w:hAnsi="Cambria Math" w:cstheme="minorHAnsi"/>
                      <w:i/>
                      <w:kern w:val="0"/>
                      <w:sz w:val="20"/>
                      <w:lang w:val="en-GB" w:eastAsia="en-GB"/>
                      <w14:ligatures w14:val="none"/>
                    </w:rPr>
                  </m:ctrlPr>
                </m:sSubPr>
                <m:e>
                  <m:r>
                    <w:rPr>
                      <w:rFonts w:ascii="Cambria Math" w:eastAsia="Times New Roman" w:hAnsi="Cambria Math" w:cstheme="minorHAnsi"/>
                      <w:kern w:val="0"/>
                      <w:sz w:val="20"/>
                      <w:lang w:val="en-GB" w:eastAsia="en-GB"/>
                      <w14:ligatures w14:val="none"/>
                    </w:rPr>
                    <m:t>CoS</m:t>
                  </m:r>
                </m:e>
                <m:sub>
                  <m:r>
                    <w:rPr>
                      <w:rFonts w:ascii="Cambria Math" w:eastAsia="Times New Roman" w:hAnsi="Cambria Math" w:cstheme="minorHAnsi"/>
                      <w:kern w:val="0"/>
                      <w:sz w:val="20"/>
                      <w:lang w:val="en-GB" w:eastAsia="en-GB"/>
                      <w14:ligatures w14:val="none"/>
                    </w:rPr>
                    <m:t>i</m:t>
                  </m:r>
                </m:sub>
              </m:sSub>
              <m:r>
                <w:rPr>
                  <w:rFonts w:ascii="Cambria Math" w:eastAsia="Times New Roman" w:hAnsi="Cambria Math" w:cstheme="minorHAnsi"/>
                  <w:kern w:val="0"/>
                  <w:sz w:val="20"/>
                  <w:lang w:val="en-GB" w:eastAsia="en-GB"/>
                  <w14:ligatures w14:val="none"/>
                </w:rPr>
                <m:t>+</m:t>
              </m:r>
              <m:sSub>
                <m:sSubPr>
                  <m:ctrlPr>
                    <w:rPr>
                      <w:rFonts w:ascii="Cambria Math" w:eastAsia="Times New Roman" w:hAnsi="Cambria Math" w:cstheme="minorHAnsi"/>
                      <w:i/>
                      <w:kern w:val="0"/>
                      <w:sz w:val="20"/>
                      <w:lang w:val="en-GB" w:eastAsia="en-GB"/>
                      <w14:ligatures w14:val="none"/>
                    </w:rPr>
                  </m:ctrlPr>
                </m:sSubPr>
                <m:e>
                  <m:r>
                    <w:rPr>
                      <w:rFonts w:ascii="Cambria Math" w:eastAsia="Times New Roman" w:hAnsi="Cambria Math" w:cstheme="minorHAnsi"/>
                      <w:kern w:val="0"/>
                      <w:sz w:val="20"/>
                      <w:lang w:val="en-GB" w:eastAsia="en-GB"/>
                      <w14:ligatures w14:val="none"/>
                    </w:rPr>
                    <m:t>P</m:t>
                  </m:r>
                </m:e>
                <m:sub>
                  <m:r>
                    <w:rPr>
                      <w:rFonts w:ascii="Cambria Math" w:eastAsia="Times New Roman" w:hAnsi="Cambria Math" w:cstheme="minorHAnsi"/>
                      <w:kern w:val="0"/>
                      <w:sz w:val="20"/>
                      <w:lang w:val="en-GB" w:eastAsia="en-GB"/>
                      <w14:ligatures w14:val="none"/>
                    </w:rPr>
                    <m:t>i</m:t>
                  </m:r>
                </m:sub>
              </m:sSub>
              <m:r>
                <w:rPr>
                  <w:rFonts w:ascii="Cambria Math" w:eastAsia="Times New Roman" w:hAnsi="Cambria Math" w:cstheme="minorHAnsi"/>
                  <w:kern w:val="0"/>
                  <w:sz w:val="20"/>
                  <w:lang w:val="en-GB" w:eastAsia="en-GB"/>
                  <w14:ligatures w14:val="none"/>
                </w:rPr>
                <m:t>+</m:t>
              </m:r>
              <m:sSub>
                <m:sSubPr>
                  <m:ctrlPr>
                    <w:rPr>
                      <w:rFonts w:ascii="Cambria Math" w:eastAsia="Times New Roman" w:hAnsi="Cambria Math" w:cstheme="minorHAnsi"/>
                      <w:i/>
                      <w:kern w:val="0"/>
                      <w:sz w:val="20"/>
                      <w:lang w:val="en-GB" w:eastAsia="en-GB"/>
                      <w14:ligatures w14:val="none"/>
                    </w:rPr>
                  </m:ctrlPr>
                </m:sSubPr>
                <m:e>
                  <m:r>
                    <w:rPr>
                      <w:rFonts w:ascii="Cambria Math" w:eastAsia="Times New Roman" w:hAnsi="Cambria Math" w:cstheme="minorHAnsi"/>
                      <w:kern w:val="0"/>
                      <w:sz w:val="20"/>
                      <w:lang w:val="en-GB" w:eastAsia="en-GB"/>
                      <w14:ligatures w14:val="none"/>
                    </w:rPr>
                    <m:t>IB</m:t>
                  </m:r>
                </m:e>
                <m:sub>
                  <m:r>
                    <w:rPr>
                      <w:rFonts w:ascii="Cambria Math" w:eastAsia="Times New Roman" w:hAnsi="Cambria Math" w:cstheme="minorHAnsi"/>
                      <w:kern w:val="0"/>
                      <w:sz w:val="20"/>
                      <w:lang w:val="en-GB" w:eastAsia="en-GB"/>
                      <w14:ligatures w14:val="none"/>
                    </w:rPr>
                    <m:t>i</m:t>
                  </m:r>
                </m:sub>
              </m:sSub>
              <m:r>
                <w:rPr>
                  <w:rFonts w:ascii="Cambria Math" w:eastAsia="Times New Roman" w:hAnsi="Cambria Math" w:cstheme="minorHAnsi"/>
                  <w:kern w:val="0"/>
                  <w:sz w:val="20"/>
                  <w:lang w:val="en-GB" w:eastAsia="en-GB"/>
                  <w14:ligatures w14:val="none"/>
                </w:rPr>
                <m:t>]</m:t>
              </m:r>
            </m:num>
            <m:den>
              <m:nary>
                <m:naryPr>
                  <m:chr m:val="∑"/>
                  <m:limLoc m:val="undOvr"/>
                  <m:ctrlPr>
                    <w:rPr>
                      <w:rFonts w:ascii="Cambria Math" w:eastAsia="Times New Roman" w:hAnsi="Cambria Math" w:cstheme="minorHAnsi"/>
                      <w:i/>
                      <w:kern w:val="0"/>
                      <w:sz w:val="20"/>
                      <w:lang w:val="en-GB" w:eastAsia="en-GB"/>
                      <w14:ligatures w14:val="none"/>
                    </w:rPr>
                  </m:ctrlPr>
                </m:naryPr>
                <m:sub>
                  <m:r>
                    <w:rPr>
                      <w:rFonts w:ascii="Cambria Math" w:eastAsia="Times New Roman" w:hAnsi="Cambria Math" w:cstheme="minorHAnsi"/>
                      <w:kern w:val="0"/>
                      <w:sz w:val="20"/>
                      <w:lang w:val="en-GB" w:eastAsia="en-GB"/>
                      <w14:ligatures w14:val="none"/>
                    </w:rPr>
                    <m:t>i=1</m:t>
                  </m:r>
                </m:sub>
                <m:sup>
                  <m:r>
                    <w:rPr>
                      <w:rFonts w:ascii="Cambria Math" w:eastAsia="Times New Roman" w:hAnsi="Cambria Math" w:cstheme="minorHAnsi"/>
                      <w:kern w:val="0"/>
                      <w:sz w:val="20"/>
                      <w:lang w:val="en-GB" w:eastAsia="en-GB"/>
                      <w14:ligatures w14:val="none"/>
                    </w:rPr>
                    <m:t>N</m:t>
                  </m:r>
                </m:sup>
                <m:e>
                  <m:sSub>
                    <m:sSubPr>
                      <m:ctrlPr>
                        <w:rPr>
                          <w:rFonts w:ascii="Cambria Math" w:eastAsia="Times New Roman" w:hAnsi="Cambria Math" w:cstheme="minorHAnsi"/>
                          <w:i/>
                          <w:kern w:val="0"/>
                          <w:sz w:val="20"/>
                          <w:lang w:val="en-GB" w:eastAsia="en-GB"/>
                          <w14:ligatures w14:val="none"/>
                        </w:rPr>
                      </m:ctrlPr>
                    </m:sSubPr>
                    <m:e>
                      <m:r>
                        <w:rPr>
                          <w:rFonts w:ascii="Cambria Math" w:eastAsia="Times New Roman" w:hAnsi="Cambria Math" w:cstheme="minorHAnsi"/>
                          <w:kern w:val="0"/>
                          <w:sz w:val="20"/>
                          <w:lang w:val="en-GB" w:eastAsia="en-GB"/>
                          <w14:ligatures w14:val="none"/>
                        </w:rPr>
                        <m:t>Patients</m:t>
                      </m:r>
                    </m:e>
                    <m:sub>
                      <m:r>
                        <w:rPr>
                          <w:rFonts w:ascii="Cambria Math" w:eastAsia="Times New Roman" w:hAnsi="Cambria Math" w:cstheme="minorHAnsi"/>
                          <w:kern w:val="0"/>
                          <w:sz w:val="20"/>
                          <w:lang w:val="en-GB" w:eastAsia="en-GB"/>
                          <w14:ligatures w14:val="none"/>
                        </w:rPr>
                        <m:t>i</m:t>
                      </m:r>
                    </m:sub>
                  </m:sSub>
                </m:e>
              </m:nary>
            </m:den>
          </m:f>
        </m:oMath>
      </m:oMathPara>
    </w:p>
    <w:p w14:paraId="2DA6EBFD" w14:textId="77777777" w:rsidR="00393DDD" w:rsidRPr="004B6A6F" w:rsidRDefault="00393DDD" w:rsidP="00393DDD">
      <w:pPr>
        <w:rPr>
          <w:rFonts w:eastAsia="Times New Roman" w:cstheme="minorHAnsi"/>
          <w:kern w:val="0"/>
          <w:sz w:val="20"/>
          <w:lang w:val="en-GB" w:eastAsia="en-GB"/>
          <w14:ligatures w14:val="none"/>
        </w:rPr>
      </w:pPr>
    </w:p>
    <w:p w14:paraId="77B80BBE" w14:textId="77777777" w:rsidR="00393DDD" w:rsidRPr="004B6A6F" w:rsidRDefault="00393DDD" w:rsidP="00393DDD">
      <w:pPr>
        <w:rPr>
          <w:rFonts w:cstheme="minorHAnsi"/>
          <w:szCs w:val="22"/>
          <w:lang w:val="en-GB" w:eastAsia="en-GB"/>
        </w:rPr>
      </w:pPr>
      <w:r w:rsidRPr="004B6A6F">
        <w:rPr>
          <w:rFonts w:cstheme="minorHAnsi"/>
          <w:szCs w:val="22"/>
          <w:lang w:val="en-GB" w:eastAsia="en-GB"/>
        </w:rPr>
        <w:t>Where,</w:t>
      </w:r>
    </w:p>
    <w:p w14:paraId="6AA7791F" w14:textId="77777777" w:rsidR="00393DDD" w:rsidRPr="004B6A6F" w:rsidRDefault="00393DDD" w:rsidP="00393DDD">
      <w:pPr>
        <w:rPr>
          <w:rFonts w:cstheme="minorHAnsi"/>
          <w:szCs w:val="22"/>
          <w:lang w:val="en-GB" w:eastAsia="en-GB"/>
        </w:rPr>
      </w:pPr>
      <w:r w:rsidRPr="004B6A6F">
        <w:rPr>
          <w:rFonts w:cstheme="minorHAnsi"/>
          <w:szCs w:val="22"/>
          <w:lang w:val="en-GB" w:eastAsia="en-GB"/>
        </w:rPr>
        <w:t>N: the total number of indications</w:t>
      </w:r>
      <w:r w:rsidRPr="004B6A6F">
        <w:rPr>
          <w:rFonts w:cstheme="minorHAnsi"/>
          <w:szCs w:val="22"/>
          <w:lang w:val="en-GB" w:eastAsia="en-GB"/>
        </w:rPr>
        <w:br/>
      </w:r>
      <m:oMath>
        <m:sSub>
          <m:sSubPr>
            <m:ctrlPr>
              <w:rPr>
                <w:rFonts w:ascii="Cambria Math" w:eastAsia="Times New Roman" w:hAnsi="Cambria Math" w:cstheme="minorHAnsi"/>
                <w:i/>
                <w:kern w:val="0"/>
                <w:szCs w:val="22"/>
                <w:lang w:val="en-GB" w:eastAsia="en-GB"/>
                <w14:ligatures w14:val="none"/>
              </w:rPr>
            </m:ctrlPr>
          </m:sSubPr>
          <m:e>
            <m:r>
              <w:rPr>
                <w:rFonts w:ascii="Cambria Math" w:eastAsia="Times New Roman" w:hAnsi="Cambria Math" w:cstheme="minorHAnsi"/>
                <w:kern w:val="0"/>
                <w:szCs w:val="22"/>
                <w:lang w:val="en-GB" w:eastAsia="en-GB"/>
                <w14:ligatures w14:val="none"/>
              </w:rPr>
              <m:t>R&amp;D</m:t>
            </m:r>
          </m:e>
          <m:sub>
            <m:r>
              <w:rPr>
                <w:rFonts w:ascii="Cambria Math" w:eastAsia="Times New Roman" w:hAnsi="Cambria Math" w:cstheme="minorHAnsi"/>
                <w:kern w:val="0"/>
                <w:szCs w:val="22"/>
                <w:lang w:val="en-GB" w:eastAsia="en-GB"/>
                <w14:ligatures w14:val="none"/>
              </w:rPr>
              <m:t>i</m:t>
            </m:r>
          </m:sub>
        </m:sSub>
      </m:oMath>
      <w:r w:rsidRPr="004B6A6F">
        <w:rPr>
          <w:rFonts w:cstheme="minorHAnsi"/>
          <w:kern w:val="0"/>
          <w:szCs w:val="22"/>
          <w:lang w:val="en-GB" w:eastAsia="en-GB"/>
          <w14:ligatures w14:val="none"/>
        </w:rPr>
        <w:t xml:space="preserve">: </w:t>
      </w:r>
      <w:r w:rsidRPr="004B6A6F">
        <w:rPr>
          <w:rFonts w:eastAsia="Times New Roman" w:cstheme="minorHAnsi"/>
          <w:kern w:val="0"/>
          <w:szCs w:val="22"/>
          <w:lang w:val="en-GB" w:eastAsia="en-GB"/>
          <w14:ligatures w14:val="none"/>
        </w:rPr>
        <w:t xml:space="preserve">Research &amp; Development costs for indication </w:t>
      </w:r>
      <w:proofErr w:type="spellStart"/>
      <w:r w:rsidRPr="004B6A6F">
        <w:rPr>
          <w:rFonts w:eastAsia="Times New Roman" w:cstheme="minorHAnsi"/>
          <w:kern w:val="0"/>
          <w:szCs w:val="22"/>
          <w:lang w:val="en-GB" w:eastAsia="en-GB"/>
          <w14:ligatures w14:val="none"/>
        </w:rPr>
        <w:t>i</w:t>
      </w:r>
      <w:proofErr w:type="spellEnd"/>
    </w:p>
    <w:p w14:paraId="35DE9944" w14:textId="77777777" w:rsidR="00393DDD" w:rsidRPr="004B6A6F" w:rsidRDefault="00393DDD" w:rsidP="00393DDD">
      <w:pPr>
        <w:rPr>
          <w:rFonts w:cstheme="minorHAnsi"/>
          <w:kern w:val="0"/>
          <w:szCs w:val="22"/>
          <w:lang w:val="en-GB" w:eastAsia="en-GB"/>
          <w14:ligatures w14:val="none"/>
        </w:rPr>
      </w:pPr>
      <m:oMath>
        <m:sSub>
          <m:sSubPr>
            <m:ctrlPr>
              <w:rPr>
                <w:rFonts w:ascii="Cambria Math" w:eastAsia="Times New Roman" w:hAnsi="Cambria Math" w:cstheme="minorHAnsi"/>
                <w:i/>
                <w:kern w:val="0"/>
                <w:szCs w:val="22"/>
                <w:lang w:val="en-GB" w:eastAsia="en-GB"/>
                <w14:ligatures w14:val="none"/>
              </w:rPr>
            </m:ctrlPr>
          </m:sSubPr>
          <m:e>
            <m:r>
              <w:rPr>
                <w:rFonts w:ascii="Cambria Math" w:eastAsia="Times New Roman" w:hAnsi="Cambria Math" w:cstheme="minorHAnsi"/>
                <w:kern w:val="0"/>
                <w:szCs w:val="22"/>
                <w:lang w:val="en-GB" w:eastAsia="en-GB"/>
                <w14:ligatures w14:val="none"/>
              </w:rPr>
              <m:t>CoF</m:t>
            </m:r>
          </m:e>
          <m:sub>
            <m:r>
              <w:rPr>
                <w:rFonts w:ascii="Cambria Math" w:eastAsia="Times New Roman" w:hAnsi="Cambria Math" w:cstheme="minorHAnsi"/>
                <w:kern w:val="0"/>
                <w:szCs w:val="22"/>
                <w:lang w:val="en-GB" w:eastAsia="en-GB"/>
                <w14:ligatures w14:val="none"/>
              </w:rPr>
              <m:t>i</m:t>
            </m:r>
          </m:sub>
        </m:sSub>
      </m:oMath>
      <w:r w:rsidRPr="004B6A6F">
        <w:rPr>
          <w:rFonts w:cstheme="minorHAnsi"/>
          <w:kern w:val="0"/>
          <w:szCs w:val="22"/>
          <w:lang w:val="en-GB" w:eastAsia="en-GB"/>
          <w14:ligatures w14:val="none"/>
        </w:rPr>
        <w:t>: Cost-of-failure for indication i</w:t>
      </w:r>
    </w:p>
    <w:p w14:paraId="37AA9AF9" w14:textId="77777777" w:rsidR="00393DDD" w:rsidRPr="004B6A6F" w:rsidRDefault="00393DDD" w:rsidP="00393DDD">
      <w:pPr>
        <w:rPr>
          <w:rFonts w:cstheme="minorHAnsi"/>
          <w:kern w:val="0"/>
          <w:szCs w:val="22"/>
          <w:lang w:val="en-GB" w:eastAsia="en-GB"/>
          <w14:ligatures w14:val="none"/>
        </w:rPr>
      </w:pPr>
      <m:oMath>
        <m:sSub>
          <m:sSubPr>
            <m:ctrlPr>
              <w:rPr>
                <w:rFonts w:ascii="Cambria Math" w:eastAsia="Times New Roman" w:hAnsi="Cambria Math" w:cstheme="minorHAnsi"/>
                <w:i/>
                <w:kern w:val="0"/>
                <w:szCs w:val="22"/>
                <w:lang w:val="en-GB" w:eastAsia="en-GB"/>
                <w14:ligatures w14:val="none"/>
              </w:rPr>
            </m:ctrlPr>
          </m:sSubPr>
          <m:e>
            <m:r>
              <w:rPr>
                <w:rFonts w:ascii="Cambria Math" w:eastAsia="Times New Roman" w:hAnsi="Cambria Math" w:cstheme="minorHAnsi"/>
                <w:kern w:val="0"/>
                <w:szCs w:val="22"/>
                <w:lang w:val="en-GB" w:eastAsia="en-GB"/>
                <w14:ligatures w14:val="none"/>
              </w:rPr>
              <m:t>CoC</m:t>
            </m:r>
          </m:e>
          <m:sub>
            <m:r>
              <w:rPr>
                <w:rFonts w:ascii="Cambria Math" w:eastAsia="Times New Roman" w:hAnsi="Cambria Math" w:cstheme="minorHAnsi"/>
                <w:kern w:val="0"/>
                <w:szCs w:val="22"/>
                <w:lang w:val="en-GB" w:eastAsia="en-GB"/>
                <w14:ligatures w14:val="none"/>
              </w:rPr>
              <m:t>i</m:t>
            </m:r>
          </m:sub>
        </m:sSub>
      </m:oMath>
      <w:r w:rsidRPr="004B6A6F">
        <w:rPr>
          <w:rFonts w:cstheme="minorHAnsi"/>
          <w:kern w:val="0"/>
          <w:szCs w:val="22"/>
          <w:lang w:val="en-GB" w:eastAsia="en-GB"/>
          <w14:ligatures w14:val="none"/>
        </w:rPr>
        <w:t>: Weighted average cost-of-capital for indication i</w:t>
      </w:r>
    </w:p>
    <w:p w14:paraId="2708110F" w14:textId="77777777" w:rsidR="00393DDD" w:rsidRPr="004B6A6F" w:rsidRDefault="00393DDD" w:rsidP="00393DDD">
      <w:pPr>
        <w:rPr>
          <w:rFonts w:cstheme="minorHAnsi"/>
          <w:kern w:val="0"/>
          <w:szCs w:val="22"/>
          <w:lang w:val="en-GB" w:eastAsia="en-GB"/>
          <w14:ligatures w14:val="none"/>
        </w:rPr>
      </w:pPr>
      <m:oMath>
        <m:sSub>
          <m:sSubPr>
            <m:ctrlPr>
              <w:rPr>
                <w:rFonts w:ascii="Cambria Math" w:eastAsia="Times New Roman" w:hAnsi="Cambria Math" w:cstheme="minorHAnsi"/>
                <w:i/>
                <w:kern w:val="0"/>
                <w:szCs w:val="22"/>
                <w:lang w:val="en-GB" w:eastAsia="en-GB"/>
                <w14:ligatures w14:val="none"/>
              </w:rPr>
            </m:ctrlPr>
          </m:sSubPr>
          <m:e>
            <m:r>
              <w:rPr>
                <w:rFonts w:ascii="Cambria Math" w:eastAsia="Times New Roman" w:hAnsi="Cambria Math" w:cstheme="minorHAnsi"/>
                <w:kern w:val="0"/>
                <w:szCs w:val="22"/>
                <w:lang w:val="en-GB" w:eastAsia="en-GB"/>
                <w14:ligatures w14:val="none"/>
              </w:rPr>
              <m:t>D</m:t>
            </m:r>
          </m:e>
          <m:sub>
            <m:r>
              <w:rPr>
                <w:rFonts w:ascii="Cambria Math" w:eastAsia="Times New Roman" w:hAnsi="Cambria Math" w:cstheme="minorHAnsi"/>
                <w:kern w:val="0"/>
                <w:szCs w:val="22"/>
                <w:lang w:val="en-GB" w:eastAsia="en-GB"/>
                <w14:ligatures w14:val="none"/>
              </w:rPr>
              <m:t>i</m:t>
            </m:r>
          </m:sub>
        </m:sSub>
      </m:oMath>
      <w:r w:rsidRPr="004B6A6F">
        <w:rPr>
          <w:rFonts w:cstheme="minorHAnsi"/>
          <w:kern w:val="0"/>
          <w:szCs w:val="22"/>
          <w:lang w:val="en-GB" w:eastAsia="en-GB"/>
          <w14:ligatures w14:val="none"/>
        </w:rPr>
        <w:t>: Time of development for indication i</w:t>
      </w:r>
    </w:p>
    <w:p w14:paraId="7B8334AD" w14:textId="77777777" w:rsidR="00393DDD" w:rsidRPr="004B6A6F" w:rsidRDefault="00393DDD" w:rsidP="00393DDD">
      <w:pPr>
        <w:rPr>
          <w:rFonts w:cstheme="minorHAnsi"/>
          <w:kern w:val="0"/>
          <w:szCs w:val="22"/>
          <w:lang w:val="en-GB" w:eastAsia="en-GB"/>
          <w14:ligatures w14:val="none"/>
        </w:rPr>
      </w:pPr>
      <m:oMath>
        <m:sSub>
          <m:sSubPr>
            <m:ctrlPr>
              <w:rPr>
                <w:rFonts w:ascii="Cambria Math" w:eastAsia="Times New Roman" w:hAnsi="Cambria Math" w:cstheme="minorHAnsi"/>
                <w:i/>
                <w:kern w:val="0"/>
                <w:szCs w:val="22"/>
                <w:lang w:val="en-GB" w:eastAsia="en-GB"/>
                <w14:ligatures w14:val="none"/>
              </w:rPr>
            </m:ctrlPr>
          </m:sSubPr>
          <m:e>
            <m:r>
              <w:rPr>
                <w:rFonts w:ascii="Cambria Math" w:eastAsia="Times New Roman" w:hAnsi="Cambria Math" w:cstheme="minorHAnsi"/>
                <w:kern w:val="0"/>
                <w:szCs w:val="22"/>
                <w:lang w:val="en-GB" w:eastAsia="en-GB"/>
                <w14:ligatures w14:val="none"/>
              </w:rPr>
              <m:t>GDP</m:t>
            </m:r>
          </m:e>
          <m:sub>
            <m:r>
              <w:rPr>
                <w:rFonts w:ascii="Cambria Math" w:eastAsia="Times New Roman" w:hAnsi="Cambria Math" w:cstheme="minorHAnsi"/>
                <w:kern w:val="0"/>
                <w:szCs w:val="22"/>
                <w:lang w:val="en-GB" w:eastAsia="en-GB"/>
                <w14:ligatures w14:val="none"/>
              </w:rPr>
              <m:t>i</m:t>
            </m:r>
          </m:sub>
        </m:sSub>
      </m:oMath>
      <w:r w:rsidRPr="004B6A6F">
        <w:rPr>
          <w:rFonts w:cstheme="minorHAnsi"/>
          <w:kern w:val="0"/>
          <w:szCs w:val="22"/>
          <w:lang w:val="en-GB" w:eastAsia="en-GB"/>
          <w14:ligatures w14:val="none"/>
        </w:rPr>
        <w:t>: Inflation index for indication i</w:t>
      </w:r>
    </w:p>
    <w:p w14:paraId="7388D4F2" w14:textId="77777777" w:rsidR="00393DDD" w:rsidRPr="004B6A6F" w:rsidRDefault="00393DDD" w:rsidP="00393DDD">
      <w:pPr>
        <w:rPr>
          <w:rFonts w:cstheme="minorHAnsi"/>
          <w:kern w:val="0"/>
          <w:szCs w:val="22"/>
          <w:lang w:val="en-GB" w:eastAsia="en-GB"/>
          <w14:ligatures w14:val="none"/>
        </w:rPr>
      </w:pPr>
      <m:oMath>
        <m:sSub>
          <m:sSubPr>
            <m:ctrlPr>
              <w:rPr>
                <w:rFonts w:ascii="Cambria Math" w:eastAsia="Times New Roman" w:hAnsi="Cambria Math" w:cstheme="minorHAnsi"/>
                <w:i/>
                <w:kern w:val="0"/>
                <w:szCs w:val="22"/>
                <w:lang w:val="en-GB" w:eastAsia="en-GB"/>
                <w14:ligatures w14:val="none"/>
              </w:rPr>
            </m:ctrlPr>
          </m:sSubPr>
          <m:e>
            <m:r>
              <w:rPr>
                <w:rFonts w:ascii="Cambria Math" w:eastAsia="Times New Roman" w:hAnsi="Cambria Math" w:cstheme="minorHAnsi"/>
                <w:kern w:val="0"/>
                <w:szCs w:val="22"/>
                <w:lang w:val="en-GB" w:eastAsia="en-GB"/>
                <w14:ligatures w14:val="none"/>
              </w:rPr>
              <m:t>MC</m:t>
            </m:r>
          </m:e>
          <m:sub>
            <m:r>
              <w:rPr>
                <w:rFonts w:ascii="Cambria Math" w:eastAsia="Times New Roman" w:hAnsi="Cambria Math" w:cstheme="minorHAnsi"/>
                <w:kern w:val="0"/>
                <w:szCs w:val="22"/>
                <w:lang w:val="en-GB" w:eastAsia="en-GB"/>
                <w14:ligatures w14:val="none"/>
              </w:rPr>
              <m:t>i</m:t>
            </m:r>
          </m:sub>
        </m:sSub>
      </m:oMath>
      <w:r w:rsidRPr="004B6A6F">
        <w:rPr>
          <w:rFonts w:cstheme="minorHAnsi"/>
          <w:kern w:val="0"/>
          <w:szCs w:val="22"/>
          <w:lang w:val="en-GB" w:eastAsia="en-GB"/>
          <w14:ligatures w14:val="none"/>
        </w:rPr>
        <w:t>: Manfacturing costs for indication i</w:t>
      </w:r>
    </w:p>
    <w:p w14:paraId="635E2ABE" w14:textId="77777777" w:rsidR="00393DDD" w:rsidRPr="004B6A6F" w:rsidRDefault="00393DDD" w:rsidP="00393DDD">
      <w:pPr>
        <w:rPr>
          <w:rFonts w:cstheme="minorHAnsi"/>
          <w:kern w:val="0"/>
          <w:szCs w:val="22"/>
          <w:lang w:val="en-GB" w:eastAsia="en-GB"/>
          <w14:ligatures w14:val="none"/>
        </w:rPr>
      </w:pPr>
      <m:oMath>
        <m:sSub>
          <m:sSubPr>
            <m:ctrlPr>
              <w:rPr>
                <w:rFonts w:ascii="Cambria Math" w:eastAsia="Times New Roman" w:hAnsi="Cambria Math" w:cstheme="minorHAnsi"/>
                <w:i/>
                <w:kern w:val="0"/>
                <w:szCs w:val="22"/>
                <w:lang w:val="en-GB" w:eastAsia="en-GB"/>
                <w14:ligatures w14:val="none"/>
              </w:rPr>
            </m:ctrlPr>
          </m:sSubPr>
          <m:e>
            <m:r>
              <w:rPr>
                <w:rFonts w:ascii="Cambria Math" w:eastAsia="Times New Roman" w:hAnsi="Cambria Math" w:cstheme="minorHAnsi"/>
                <w:kern w:val="0"/>
                <w:szCs w:val="22"/>
                <w:lang w:val="en-GB" w:eastAsia="en-GB"/>
                <w14:ligatures w14:val="none"/>
              </w:rPr>
              <m:t>CoS</m:t>
            </m:r>
          </m:e>
          <m:sub>
            <m:r>
              <w:rPr>
                <w:rFonts w:ascii="Cambria Math" w:eastAsia="Times New Roman" w:hAnsi="Cambria Math" w:cstheme="minorHAnsi"/>
                <w:kern w:val="0"/>
                <w:szCs w:val="22"/>
                <w:lang w:val="en-GB" w:eastAsia="en-GB"/>
                <w14:ligatures w14:val="none"/>
              </w:rPr>
              <m:t>i</m:t>
            </m:r>
          </m:sub>
        </m:sSub>
      </m:oMath>
      <w:r w:rsidRPr="004B6A6F">
        <w:rPr>
          <w:rFonts w:cstheme="minorHAnsi"/>
          <w:kern w:val="0"/>
          <w:szCs w:val="22"/>
          <w:lang w:val="en-GB" w:eastAsia="en-GB"/>
          <w14:ligatures w14:val="none"/>
        </w:rPr>
        <w:t>: Cost-of-sales for indication i</w:t>
      </w:r>
    </w:p>
    <w:p w14:paraId="2E9AAB58" w14:textId="77777777" w:rsidR="00393DDD" w:rsidRPr="004B6A6F" w:rsidRDefault="00393DDD" w:rsidP="00393DDD">
      <w:pPr>
        <w:rPr>
          <w:rFonts w:cstheme="minorHAnsi"/>
          <w:kern w:val="0"/>
          <w:szCs w:val="22"/>
          <w:lang w:val="en-GB" w:eastAsia="en-GB"/>
          <w14:ligatures w14:val="none"/>
        </w:rPr>
      </w:pPr>
      <m:oMath>
        <m:sSub>
          <m:sSubPr>
            <m:ctrlPr>
              <w:rPr>
                <w:rFonts w:ascii="Cambria Math" w:eastAsia="Times New Roman" w:hAnsi="Cambria Math" w:cstheme="minorHAnsi"/>
                <w:i/>
                <w:kern w:val="0"/>
                <w:szCs w:val="22"/>
                <w:lang w:val="en-GB" w:eastAsia="en-GB"/>
                <w14:ligatures w14:val="none"/>
              </w:rPr>
            </m:ctrlPr>
          </m:sSubPr>
          <m:e>
            <m:r>
              <w:rPr>
                <w:rFonts w:ascii="Cambria Math" w:eastAsia="Times New Roman" w:hAnsi="Cambria Math" w:cstheme="minorHAnsi"/>
                <w:kern w:val="0"/>
                <w:szCs w:val="22"/>
                <w:lang w:val="en-GB" w:eastAsia="en-GB"/>
                <w14:ligatures w14:val="none"/>
              </w:rPr>
              <m:t>P</m:t>
            </m:r>
          </m:e>
          <m:sub>
            <m:r>
              <w:rPr>
                <w:rFonts w:ascii="Cambria Math" w:eastAsia="Times New Roman" w:hAnsi="Cambria Math" w:cstheme="minorHAnsi"/>
                <w:kern w:val="0"/>
                <w:szCs w:val="22"/>
                <w:lang w:val="en-GB" w:eastAsia="en-GB"/>
                <w14:ligatures w14:val="none"/>
              </w:rPr>
              <m:t>i</m:t>
            </m:r>
          </m:sub>
        </m:sSub>
      </m:oMath>
      <w:r w:rsidRPr="004B6A6F">
        <w:rPr>
          <w:rFonts w:cstheme="minorHAnsi"/>
          <w:kern w:val="0"/>
          <w:szCs w:val="22"/>
          <w:lang w:val="en-GB" w:eastAsia="en-GB"/>
          <w14:ligatures w14:val="none"/>
        </w:rPr>
        <w:t>: Profit for indication i</w:t>
      </w:r>
      <w:r w:rsidRPr="004B6A6F">
        <w:rPr>
          <w:rFonts w:cstheme="minorHAnsi"/>
          <w:kern w:val="0"/>
          <w:szCs w:val="22"/>
          <w:lang w:val="en-GB" w:eastAsia="en-GB"/>
          <w14:ligatures w14:val="none"/>
        </w:rPr>
        <w:br/>
      </w:r>
      <m:oMath>
        <m:sSub>
          <m:sSubPr>
            <m:ctrlPr>
              <w:rPr>
                <w:rFonts w:ascii="Cambria Math" w:eastAsia="Times New Roman" w:hAnsi="Cambria Math" w:cstheme="minorHAnsi"/>
                <w:i/>
                <w:kern w:val="0"/>
                <w:szCs w:val="22"/>
                <w:lang w:val="en-GB" w:eastAsia="en-GB"/>
                <w14:ligatures w14:val="none"/>
              </w:rPr>
            </m:ctrlPr>
          </m:sSubPr>
          <m:e>
            <m:r>
              <w:rPr>
                <w:rFonts w:ascii="Cambria Math" w:eastAsia="Times New Roman" w:hAnsi="Cambria Math" w:cstheme="minorHAnsi"/>
                <w:kern w:val="0"/>
                <w:szCs w:val="22"/>
                <w:lang w:val="en-GB" w:eastAsia="en-GB"/>
                <w14:ligatures w14:val="none"/>
              </w:rPr>
              <m:t>IB</m:t>
            </m:r>
          </m:e>
          <m:sub>
            <m:r>
              <w:rPr>
                <w:rFonts w:ascii="Cambria Math" w:eastAsia="Times New Roman" w:hAnsi="Cambria Math" w:cstheme="minorHAnsi"/>
                <w:kern w:val="0"/>
                <w:szCs w:val="22"/>
                <w:lang w:val="en-GB" w:eastAsia="en-GB"/>
                <w14:ligatures w14:val="none"/>
              </w:rPr>
              <m:t>i</m:t>
            </m:r>
          </m:sub>
        </m:sSub>
      </m:oMath>
      <w:r w:rsidRPr="004B6A6F">
        <w:rPr>
          <w:rFonts w:cstheme="minorHAnsi"/>
          <w:kern w:val="0"/>
          <w:szCs w:val="22"/>
          <w:lang w:val="en-GB" w:eastAsia="en-GB"/>
          <w14:ligatures w14:val="none"/>
        </w:rPr>
        <w:t>: Innovation bonus for indication i</w:t>
      </w:r>
    </w:p>
    <w:p w14:paraId="7EAC0D28" w14:textId="77777777" w:rsidR="00393DDD" w:rsidRPr="004B6A6F" w:rsidRDefault="00393DDD" w:rsidP="00393DDD">
      <w:pPr>
        <w:rPr>
          <w:rFonts w:cstheme="minorHAnsi"/>
          <w:kern w:val="0"/>
          <w:szCs w:val="22"/>
          <w:lang w:val="en-GB" w:eastAsia="en-GB"/>
          <w14:ligatures w14:val="none"/>
        </w:rPr>
      </w:pPr>
      <m:oMath>
        <m:sSub>
          <m:sSubPr>
            <m:ctrlPr>
              <w:rPr>
                <w:rFonts w:ascii="Cambria Math" w:hAnsi="Cambria Math" w:cstheme="minorHAnsi"/>
                <w:i/>
                <w:kern w:val="0"/>
                <w:szCs w:val="22"/>
                <w:lang w:val="en-GB" w:eastAsia="en-GB"/>
                <w14:ligatures w14:val="none"/>
              </w:rPr>
            </m:ctrlPr>
          </m:sSubPr>
          <m:e>
            <m:r>
              <w:rPr>
                <w:rFonts w:ascii="Cambria Math" w:hAnsi="Cambria Math" w:cstheme="minorHAnsi"/>
                <w:kern w:val="0"/>
                <w:szCs w:val="22"/>
                <w:lang w:val="en-GB" w:eastAsia="en-GB"/>
                <w14:ligatures w14:val="none"/>
              </w:rPr>
              <m:t>Patiens</m:t>
            </m:r>
          </m:e>
          <m:sub>
            <m:r>
              <w:rPr>
                <w:rFonts w:ascii="Cambria Math" w:hAnsi="Cambria Math" w:cstheme="minorHAnsi"/>
                <w:kern w:val="0"/>
                <w:szCs w:val="22"/>
                <w:lang w:val="en-GB" w:eastAsia="en-GB"/>
                <w14:ligatures w14:val="none"/>
              </w:rPr>
              <m:t>i</m:t>
            </m:r>
          </m:sub>
        </m:sSub>
      </m:oMath>
      <w:r w:rsidRPr="004B6A6F">
        <w:rPr>
          <w:rFonts w:cstheme="minorHAnsi"/>
          <w:kern w:val="0"/>
          <w:szCs w:val="22"/>
          <w:lang w:val="en-GB" w:eastAsia="en-GB"/>
          <w14:ligatures w14:val="none"/>
        </w:rPr>
        <w:t>: Number of patients for indication i</w:t>
      </w:r>
      <w:bookmarkEnd w:id="0"/>
      <w:r w:rsidRPr="004B6A6F">
        <w:rPr>
          <w:rFonts w:cstheme="minorHAnsi"/>
          <w:kern w:val="0"/>
          <w:szCs w:val="22"/>
          <w:lang w:val="en-GB" w:eastAsia="en-GB"/>
          <w14:ligatures w14:val="none"/>
        </w:rPr>
        <w:br/>
      </w:r>
      <w:r w:rsidRPr="004B6A6F">
        <w:rPr>
          <w:rFonts w:cstheme="minorHAnsi"/>
          <w:kern w:val="0"/>
          <w:szCs w:val="22"/>
          <w:lang w:val="en-GB" w:eastAsia="en-GB"/>
          <w14:ligatures w14:val="none"/>
        </w:rPr>
        <w:br/>
        <w:t>And for each indication (i),</w:t>
      </w:r>
      <w:r w:rsidRPr="004B6A6F">
        <w:rPr>
          <w:rFonts w:cstheme="minorHAnsi"/>
          <w:szCs w:val="22"/>
          <w:lang w:val="en-GB"/>
        </w:rPr>
        <w:br/>
      </w:r>
      <w:r w:rsidRPr="004B6A6F">
        <w:rPr>
          <w:rFonts w:cstheme="minorHAnsi"/>
          <w:b/>
          <w:bCs/>
          <w:szCs w:val="22"/>
          <w:lang w:val="en-GB"/>
        </w:rPr>
        <w:t>Eq2:</w:t>
      </w:r>
      <w:r w:rsidRPr="004B6A6F">
        <w:rPr>
          <w:rFonts w:cstheme="minorHAnsi"/>
          <w:szCs w:val="22"/>
          <w:lang w:val="en-GB"/>
        </w:rPr>
        <w:t xml:space="preserve"> R&amp;D costs=(R&amp;D-expenditure </w:t>
      </w:r>
      <m:oMath>
        <m:r>
          <w:rPr>
            <w:rFonts w:ascii="Cambria Math" w:hAnsi="Cambria Math" w:cstheme="minorHAnsi"/>
            <w:szCs w:val="22"/>
            <w:lang w:val="en-GB"/>
          </w:rPr>
          <m:t>×</m:t>
        </m:r>
      </m:oMath>
      <w:r w:rsidRPr="004B6A6F">
        <w:rPr>
          <w:rFonts w:cstheme="minorHAnsi"/>
          <w:szCs w:val="22"/>
          <w:lang w:val="en-GB"/>
        </w:rPr>
        <w:t xml:space="preserve"> market size adjustment)/recoupment period (years)</w:t>
      </w:r>
    </w:p>
    <w:p w14:paraId="2981AE98" w14:textId="77777777" w:rsidR="00393DDD" w:rsidRPr="004B6A6F" w:rsidRDefault="00393DDD" w:rsidP="00393DDD">
      <w:pPr>
        <w:rPr>
          <w:rFonts w:cstheme="minorHAnsi"/>
          <w:szCs w:val="22"/>
          <w:lang w:val="en-GB"/>
        </w:rPr>
      </w:pPr>
      <w:r w:rsidRPr="004B6A6F">
        <w:rPr>
          <w:rFonts w:cstheme="minorHAnsi"/>
          <w:b/>
          <w:bCs/>
          <w:szCs w:val="22"/>
          <w:lang w:val="en-GB"/>
        </w:rPr>
        <w:t>Eq3:</w:t>
      </w:r>
      <w:r w:rsidRPr="004B6A6F">
        <w:rPr>
          <w:rFonts w:cstheme="minorHAnsi"/>
          <w:szCs w:val="22"/>
          <w:lang w:val="en-GB"/>
        </w:rPr>
        <w:t xml:space="preserve"> Cost-of-failure=Cost-of-failure correction factor </w:t>
      </w:r>
      <m:oMath>
        <m:r>
          <w:rPr>
            <w:rFonts w:ascii="Cambria Math" w:hAnsi="Cambria Math" w:cstheme="minorHAnsi"/>
            <w:szCs w:val="22"/>
            <w:lang w:val="en-GB"/>
          </w:rPr>
          <m:t>×</m:t>
        </m:r>
      </m:oMath>
      <w:r w:rsidRPr="004B6A6F">
        <w:rPr>
          <w:rFonts w:cstheme="minorHAnsi"/>
          <w:szCs w:val="22"/>
          <w:lang w:val="en-GB"/>
        </w:rPr>
        <w:t xml:space="preserve"> R&amp;D costs</w:t>
      </w:r>
    </w:p>
    <w:p w14:paraId="6F13C8D2" w14:textId="77777777" w:rsidR="00393DDD" w:rsidRPr="004B6A6F" w:rsidRDefault="00393DDD" w:rsidP="00393DDD">
      <w:pPr>
        <w:rPr>
          <w:rFonts w:cstheme="minorHAnsi"/>
          <w:szCs w:val="22"/>
          <w:lang w:val="en-GB"/>
        </w:rPr>
      </w:pPr>
      <w:r w:rsidRPr="004B6A6F">
        <w:rPr>
          <w:rFonts w:cstheme="minorHAnsi"/>
          <w:b/>
          <w:bCs/>
          <w:szCs w:val="22"/>
          <w:lang w:val="en-GB"/>
        </w:rPr>
        <w:t>Eq4:</w:t>
      </w:r>
      <w:r w:rsidRPr="004B6A6F">
        <w:rPr>
          <w:rFonts w:cstheme="minorHAnsi"/>
          <w:szCs w:val="22"/>
          <w:lang w:val="en-GB"/>
        </w:rPr>
        <w:t xml:space="preserve"> Manufacturing costs=Production cost per treatment </w:t>
      </w:r>
      <m:oMath>
        <m:r>
          <w:rPr>
            <w:rFonts w:ascii="Cambria Math" w:hAnsi="Cambria Math" w:cstheme="minorHAnsi"/>
            <w:szCs w:val="22"/>
            <w:lang w:val="en-GB"/>
          </w:rPr>
          <m:t>×</m:t>
        </m:r>
      </m:oMath>
      <w:r w:rsidRPr="004B6A6F">
        <w:rPr>
          <w:rFonts w:cstheme="minorHAnsi"/>
          <w:szCs w:val="22"/>
          <w:lang w:val="en-GB"/>
        </w:rPr>
        <w:t xml:space="preserve"> number of treatments required per-patient-per-year </w:t>
      </w:r>
      <m:oMath>
        <m:r>
          <w:rPr>
            <w:rFonts w:ascii="Cambria Math" w:hAnsi="Cambria Math" w:cstheme="minorHAnsi"/>
            <w:szCs w:val="22"/>
            <w:lang w:val="en-GB"/>
          </w:rPr>
          <m:t>×</m:t>
        </m:r>
      </m:oMath>
      <w:r w:rsidRPr="004B6A6F">
        <w:rPr>
          <w:rFonts w:cstheme="minorHAnsi"/>
          <w:szCs w:val="22"/>
          <w:lang w:val="en-GB"/>
        </w:rPr>
        <w:t xml:space="preserve"> number of patients</w:t>
      </w:r>
    </w:p>
    <w:p w14:paraId="650C04B1" w14:textId="77777777" w:rsidR="00393DDD" w:rsidRPr="004B6A6F" w:rsidRDefault="00393DDD" w:rsidP="00393DDD">
      <w:pPr>
        <w:rPr>
          <w:rFonts w:cstheme="minorHAnsi"/>
          <w:szCs w:val="22"/>
          <w:lang w:val="en-GB"/>
        </w:rPr>
      </w:pPr>
      <w:r w:rsidRPr="004B6A6F">
        <w:rPr>
          <w:rFonts w:cstheme="minorHAnsi"/>
          <w:b/>
          <w:bCs/>
          <w:szCs w:val="22"/>
          <w:lang w:val="en-GB"/>
        </w:rPr>
        <w:t xml:space="preserve">Eq5: </w:t>
      </w:r>
      <w:r w:rsidRPr="004B6A6F">
        <w:rPr>
          <w:rFonts w:cstheme="minorHAnsi"/>
          <w:szCs w:val="22"/>
          <w:lang w:val="en-GB"/>
        </w:rPr>
        <w:t xml:space="preserve">Cost-of-sales=cost-of-sales allowance </w:t>
      </w:r>
      <m:oMath>
        <m:r>
          <w:rPr>
            <w:rFonts w:ascii="Cambria Math" w:hAnsi="Cambria Math" w:cstheme="minorHAnsi"/>
            <w:szCs w:val="22"/>
            <w:lang w:val="en-GB"/>
          </w:rPr>
          <m:t>×</m:t>
        </m:r>
      </m:oMath>
      <w:r w:rsidRPr="004B6A6F">
        <w:rPr>
          <w:rFonts w:cstheme="minorHAnsi"/>
          <w:szCs w:val="22"/>
          <w:lang w:val="en-GB"/>
        </w:rPr>
        <w:t xml:space="preserve"> manufacturing costs</w:t>
      </w:r>
    </w:p>
    <w:p w14:paraId="191CE36E" w14:textId="77777777" w:rsidR="00393DDD" w:rsidRPr="004B6A6F" w:rsidRDefault="00393DDD" w:rsidP="00393DDD">
      <w:pPr>
        <w:rPr>
          <w:lang w:val="en-GB"/>
        </w:rPr>
      </w:pPr>
      <w:r w:rsidRPr="004B6A6F">
        <w:rPr>
          <w:rFonts w:cstheme="minorHAnsi"/>
          <w:b/>
          <w:bCs/>
          <w:szCs w:val="22"/>
          <w:lang w:val="en-GB"/>
        </w:rPr>
        <w:t xml:space="preserve">Eq6: </w:t>
      </w:r>
      <w:r w:rsidRPr="004B6A6F">
        <w:rPr>
          <w:rFonts w:cstheme="minorHAnsi"/>
          <w:szCs w:val="22"/>
          <w:lang w:val="en-GB"/>
        </w:rPr>
        <w:t xml:space="preserve">Profit=profit margin </w:t>
      </w:r>
      <m:oMath>
        <m:r>
          <w:rPr>
            <w:rFonts w:ascii="Cambria Math" w:hAnsi="Cambria Math" w:cstheme="minorHAnsi"/>
            <w:szCs w:val="22"/>
            <w:lang w:val="en-GB"/>
          </w:rPr>
          <m:t>×</m:t>
        </m:r>
      </m:oMath>
      <w:r w:rsidRPr="004B6A6F">
        <w:rPr>
          <w:rFonts w:cstheme="minorHAnsi"/>
          <w:szCs w:val="22"/>
          <w:lang w:val="en-GB"/>
        </w:rPr>
        <w:t xml:space="preserve"> (R&amp;D costs + Cost-of-failure + Manufacturing costs)</w:t>
      </w:r>
      <w:r w:rsidRPr="004B6A6F">
        <w:rPr>
          <w:rFonts w:cstheme="minorHAnsi"/>
          <w:szCs w:val="22"/>
          <w:lang w:val="en-GB"/>
        </w:rPr>
        <w:br/>
      </w:r>
      <w:r w:rsidRPr="004B6A6F">
        <w:rPr>
          <w:rFonts w:cstheme="minorHAnsi"/>
          <w:b/>
          <w:bCs/>
          <w:szCs w:val="22"/>
          <w:lang w:val="en-GB"/>
        </w:rPr>
        <w:t xml:space="preserve">Eq7: </w:t>
      </w:r>
      <w:r w:rsidRPr="004B6A6F">
        <w:rPr>
          <w:rFonts w:cstheme="minorHAnsi"/>
          <w:szCs w:val="22"/>
          <w:lang w:val="en-GB"/>
        </w:rPr>
        <w:t xml:space="preserve">Innovation bonus=value-driven premium </w:t>
      </w:r>
      <m:oMath>
        <m:r>
          <w:rPr>
            <w:rFonts w:ascii="Cambria Math" w:hAnsi="Cambria Math" w:cstheme="minorHAnsi"/>
            <w:szCs w:val="22"/>
            <w:lang w:val="en-GB"/>
          </w:rPr>
          <m:t>×</m:t>
        </m:r>
      </m:oMath>
      <w:r w:rsidRPr="004B6A6F">
        <w:rPr>
          <w:rFonts w:cstheme="minorHAnsi"/>
          <w:szCs w:val="22"/>
          <w:lang w:val="en-GB"/>
        </w:rPr>
        <w:t xml:space="preserve"> (R&amp;D costs + Cost-of-failure + Manufacturing costs)</w:t>
      </w:r>
    </w:p>
    <w:p w14:paraId="044DA05F" w14:textId="77777777" w:rsidR="00393DDD" w:rsidRPr="004B6A6F" w:rsidRDefault="00393DDD" w:rsidP="00393DDD">
      <w:pPr>
        <w:rPr>
          <w:rFonts w:cstheme="minorHAnsi"/>
          <w:szCs w:val="22"/>
          <w:lang w:val="en-GB"/>
        </w:rPr>
      </w:pPr>
    </w:p>
    <w:p w14:paraId="310E12D6" w14:textId="77777777" w:rsidR="00393DDD" w:rsidRPr="00F52AAE" w:rsidRDefault="00393DDD" w:rsidP="00393DDD">
      <w:pPr>
        <w:rPr>
          <w:rFonts w:cstheme="minorHAnsi"/>
          <w:szCs w:val="22"/>
          <w:lang w:val="en-GB"/>
        </w:rPr>
      </w:pPr>
      <w:r w:rsidRPr="00F52AAE">
        <w:rPr>
          <w:rFonts w:cstheme="minorHAnsi"/>
          <w:szCs w:val="22"/>
          <w:lang w:val="en-GB"/>
        </w:rPr>
        <w:t>This pricing structure allows for adjustments over time, enabling more dynamic pricing approaches. As more patients gain access to the treatment or additional information on its clinical evidence becomes available, specific pricing components can be modified within the framework. Moreover, by explicitly incorporating the recoupment period, healthcare payers gain greater predictability regarding presumed cost recovery timelines. If no competing products—such as more effective alternatives—enter the market during this period, the initial investment may be recovered well before patent expiration. This creates an opportunity to establish agreements that limit the duration of higher pricing, ensuring prices reflect actual cost recovery rather than relying solely on patent exclusivity. In a similar manner, the framework allows for the application of a two-part tariff structure—an approach proposed in various pharmaceutical policy contexts to enhance accessibility and affordability while ensuring financial sustainability [7–9]. This separates the recovery of sunk development costs, covered by a fixed fee, from the marginal costs of treatment delivery, reflected in a variable fee per use.</w:t>
      </w:r>
    </w:p>
    <w:p w14:paraId="75483C69" w14:textId="77777777" w:rsidR="00393DDD" w:rsidRDefault="00393DDD" w:rsidP="00393DDD">
      <w:pPr>
        <w:rPr>
          <w:rFonts w:cstheme="minorHAnsi"/>
          <w:szCs w:val="22"/>
          <w:lang w:val="en-GB"/>
        </w:rPr>
        <w:sectPr w:rsidR="00393DDD" w:rsidSect="00393DDD">
          <w:headerReference w:type="default" r:id="rId10"/>
          <w:pgSz w:w="11906" w:h="16838"/>
          <w:pgMar w:top="1417" w:right="1417" w:bottom="1417" w:left="1417" w:header="708" w:footer="708" w:gutter="0"/>
          <w:cols w:space="708"/>
          <w:docGrid w:linePitch="360"/>
        </w:sectPr>
      </w:pPr>
    </w:p>
    <w:p w14:paraId="6F42819A" w14:textId="77777777" w:rsidR="00393DDD" w:rsidRPr="004B6A6F" w:rsidRDefault="00393DDD" w:rsidP="00393DDD">
      <w:pPr>
        <w:rPr>
          <w:rFonts w:cstheme="minorHAnsi"/>
          <w:szCs w:val="22"/>
          <w:lang w:val="en-GB"/>
        </w:rPr>
      </w:pPr>
      <w:r w:rsidRPr="004B6A6F">
        <w:rPr>
          <w:rFonts w:cstheme="minorHAnsi"/>
          <w:b/>
          <w:bCs/>
          <w:szCs w:val="22"/>
          <w:lang w:val="en-GB"/>
        </w:rPr>
        <w:lastRenderedPageBreak/>
        <w:t xml:space="preserve">Table 1: </w:t>
      </w:r>
      <w:r w:rsidRPr="004B6A6F">
        <w:rPr>
          <w:rFonts w:cstheme="minorHAnsi"/>
          <w:szCs w:val="22"/>
          <w:lang w:val="en-GB"/>
        </w:rPr>
        <w:t xml:space="preserve">Overview of the frameworks’ components </w:t>
      </w:r>
    </w:p>
    <w:tbl>
      <w:tblPr>
        <w:tblStyle w:val="Tabelraster"/>
        <w:tblW w:w="0" w:type="auto"/>
        <w:tblLook w:val="04A0" w:firstRow="1" w:lastRow="0" w:firstColumn="1" w:lastColumn="0" w:noHBand="0" w:noVBand="1"/>
      </w:tblPr>
      <w:tblGrid>
        <w:gridCol w:w="2640"/>
        <w:gridCol w:w="2715"/>
        <w:gridCol w:w="2651"/>
        <w:gridCol w:w="5881"/>
      </w:tblGrid>
      <w:tr w:rsidR="00393DDD" w:rsidRPr="004B6A6F" w14:paraId="158D4466" w14:textId="77777777" w:rsidTr="000F198F">
        <w:tc>
          <w:tcPr>
            <w:tcW w:w="2640" w:type="dxa"/>
            <w:shd w:val="clear" w:color="auto" w:fill="F2F2F2" w:themeFill="background1" w:themeFillShade="F2"/>
          </w:tcPr>
          <w:p w14:paraId="6572DBB7" w14:textId="77777777" w:rsidR="00393DDD" w:rsidRPr="004B6A6F" w:rsidRDefault="00393DDD" w:rsidP="000F198F">
            <w:pPr>
              <w:rPr>
                <w:rFonts w:cstheme="minorHAnsi"/>
                <w:b/>
                <w:bCs/>
                <w:i/>
                <w:iCs/>
                <w:szCs w:val="22"/>
                <w:lang w:val="en-GB"/>
              </w:rPr>
            </w:pPr>
            <w:r w:rsidRPr="004B6A6F">
              <w:rPr>
                <w:rFonts w:cstheme="minorHAnsi"/>
                <w:b/>
                <w:bCs/>
                <w:i/>
                <w:iCs/>
                <w:szCs w:val="22"/>
                <w:lang w:val="en-GB"/>
              </w:rPr>
              <w:t>Category:</w:t>
            </w:r>
          </w:p>
        </w:tc>
        <w:tc>
          <w:tcPr>
            <w:tcW w:w="2715" w:type="dxa"/>
            <w:shd w:val="clear" w:color="auto" w:fill="F2F2F2" w:themeFill="background1" w:themeFillShade="F2"/>
          </w:tcPr>
          <w:p w14:paraId="0263F58B" w14:textId="77777777" w:rsidR="00393DDD" w:rsidRPr="004B6A6F" w:rsidRDefault="00393DDD" w:rsidP="000F198F">
            <w:pPr>
              <w:rPr>
                <w:rFonts w:cstheme="minorHAnsi"/>
                <w:b/>
                <w:bCs/>
                <w:i/>
                <w:iCs/>
                <w:szCs w:val="22"/>
                <w:lang w:val="en-GB"/>
              </w:rPr>
            </w:pPr>
            <w:r w:rsidRPr="004B6A6F">
              <w:rPr>
                <w:rFonts w:cstheme="minorHAnsi"/>
                <w:b/>
                <w:bCs/>
                <w:i/>
                <w:iCs/>
                <w:szCs w:val="22"/>
                <w:lang w:val="en-GB"/>
              </w:rPr>
              <w:t>Components:</w:t>
            </w:r>
          </w:p>
        </w:tc>
        <w:tc>
          <w:tcPr>
            <w:tcW w:w="2651" w:type="dxa"/>
            <w:shd w:val="clear" w:color="auto" w:fill="F2F2F2" w:themeFill="background1" w:themeFillShade="F2"/>
          </w:tcPr>
          <w:p w14:paraId="4FCF84DA" w14:textId="77777777" w:rsidR="00393DDD" w:rsidRPr="004B6A6F" w:rsidRDefault="00393DDD" w:rsidP="000F198F">
            <w:pPr>
              <w:rPr>
                <w:rFonts w:cstheme="minorHAnsi"/>
                <w:b/>
                <w:bCs/>
                <w:i/>
                <w:iCs/>
                <w:szCs w:val="22"/>
                <w:lang w:val="en-GB"/>
              </w:rPr>
            </w:pPr>
            <w:r w:rsidRPr="004B6A6F">
              <w:rPr>
                <w:rFonts w:cstheme="minorHAnsi"/>
                <w:b/>
                <w:bCs/>
                <w:i/>
                <w:iCs/>
                <w:szCs w:val="22"/>
                <w:lang w:val="en-GB"/>
              </w:rPr>
              <w:t>Parameters:</w:t>
            </w:r>
          </w:p>
        </w:tc>
        <w:tc>
          <w:tcPr>
            <w:tcW w:w="5881" w:type="dxa"/>
            <w:shd w:val="clear" w:color="auto" w:fill="F2F2F2" w:themeFill="background1" w:themeFillShade="F2"/>
          </w:tcPr>
          <w:p w14:paraId="6728713E" w14:textId="77777777" w:rsidR="00393DDD" w:rsidRPr="004B6A6F" w:rsidRDefault="00393DDD" w:rsidP="000F198F">
            <w:pPr>
              <w:rPr>
                <w:rFonts w:cstheme="minorHAnsi"/>
                <w:b/>
                <w:bCs/>
                <w:i/>
                <w:iCs/>
                <w:szCs w:val="22"/>
                <w:lang w:val="en-GB"/>
              </w:rPr>
            </w:pPr>
            <w:r w:rsidRPr="004B6A6F">
              <w:rPr>
                <w:rFonts w:cstheme="minorHAnsi"/>
                <w:b/>
                <w:bCs/>
                <w:i/>
                <w:iCs/>
                <w:szCs w:val="22"/>
                <w:lang w:val="en-GB"/>
              </w:rPr>
              <w:t>Definition:</w:t>
            </w:r>
          </w:p>
        </w:tc>
      </w:tr>
      <w:tr w:rsidR="00393DDD" w:rsidRPr="006A0D71" w14:paraId="00FF5658" w14:textId="77777777" w:rsidTr="000F198F">
        <w:tc>
          <w:tcPr>
            <w:tcW w:w="2640" w:type="dxa"/>
            <w:vMerge w:val="restart"/>
          </w:tcPr>
          <w:p w14:paraId="6785AD9B" w14:textId="77777777" w:rsidR="00393DDD" w:rsidRPr="004B6A6F" w:rsidRDefault="00393DDD" w:rsidP="000F198F">
            <w:pPr>
              <w:rPr>
                <w:rFonts w:cstheme="minorHAnsi"/>
                <w:szCs w:val="22"/>
                <w:lang w:val="en-GB"/>
              </w:rPr>
            </w:pPr>
            <w:r w:rsidRPr="004B6A6F">
              <w:rPr>
                <w:rFonts w:cstheme="minorHAnsi"/>
                <w:szCs w:val="22"/>
                <w:lang w:val="en-GB"/>
              </w:rPr>
              <w:t>Out-of-pocket development costs</w:t>
            </w:r>
          </w:p>
        </w:tc>
        <w:tc>
          <w:tcPr>
            <w:tcW w:w="2715" w:type="dxa"/>
            <w:vMerge w:val="restart"/>
          </w:tcPr>
          <w:p w14:paraId="0E620820" w14:textId="77777777" w:rsidR="00393DDD" w:rsidRPr="004B6A6F" w:rsidRDefault="00393DDD" w:rsidP="000F198F">
            <w:pPr>
              <w:rPr>
                <w:rFonts w:cstheme="minorHAnsi"/>
                <w:szCs w:val="22"/>
                <w:lang w:val="en-GB"/>
              </w:rPr>
            </w:pPr>
            <w:r w:rsidRPr="004B6A6F">
              <w:rPr>
                <w:rFonts w:cstheme="minorHAnsi"/>
                <w:szCs w:val="22"/>
                <w:lang w:val="en-GB"/>
              </w:rPr>
              <w:t>Research and development (R&amp;D) costs</w:t>
            </w:r>
          </w:p>
        </w:tc>
        <w:tc>
          <w:tcPr>
            <w:tcW w:w="2651" w:type="dxa"/>
          </w:tcPr>
          <w:p w14:paraId="61DE6DEB" w14:textId="77777777" w:rsidR="00393DDD" w:rsidRPr="004B6A6F" w:rsidRDefault="00393DDD" w:rsidP="000F198F">
            <w:pPr>
              <w:rPr>
                <w:rFonts w:cstheme="minorHAnsi"/>
                <w:szCs w:val="22"/>
                <w:lang w:val="en-GB"/>
              </w:rPr>
            </w:pPr>
            <w:r w:rsidRPr="004B6A6F">
              <w:rPr>
                <w:rFonts w:cstheme="minorHAnsi"/>
                <w:szCs w:val="22"/>
                <w:lang w:val="en-GB"/>
              </w:rPr>
              <w:t>R&amp;D-expenditure</w:t>
            </w:r>
          </w:p>
        </w:tc>
        <w:tc>
          <w:tcPr>
            <w:tcW w:w="5881" w:type="dxa"/>
          </w:tcPr>
          <w:p w14:paraId="2D2BB65A" w14:textId="77777777" w:rsidR="00393DDD" w:rsidRPr="00073C22" w:rsidRDefault="00393DDD" w:rsidP="000F198F">
            <w:pPr>
              <w:rPr>
                <w:rFonts w:ascii="Times New Roman" w:hAnsi="Times New Roman"/>
                <w:sz w:val="24"/>
                <w:lang w:val="en-GB"/>
              </w:rPr>
            </w:pPr>
            <w:r w:rsidRPr="00073C22">
              <w:rPr>
                <w:lang w:val="en-GB"/>
              </w:rPr>
              <w:t>Direct expenditures incurred by a pharmaceutical company for the research and development of a new drug. This includes costs such as researcher salaries, clinical trial expenses, laboratory supplies, API development, formulation, and regulatory approval fees.</w:t>
            </w:r>
          </w:p>
        </w:tc>
      </w:tr>
      <w:tr w:rsidR="00393DDD" w:rsidRPr="006A0D71" w14:paraId="50A769D0" w14:textId="77777777" w:rsidTr="000F198F">
        <w:tc>
          <w:tcPr>
            <w:tcW w:w="2640" w:type="dxa"/>
            <w:vMerge/>
          </w:tcPr>
          <w:p w14:paraId="5EA0118F" w14:textId="77777777" w:rsidR="00393DDD" w:rsidRPr="004B6A6F" w:rsidRDefault="00393DDD" w:rsidP="000F198F">
            <w:pPr>
              <w:rPr>
                <w:rFonts w:cstheme="minorHAnsi"/>
                <w:szCs w:val="22"/>
                <w:lang w:val="en-GB"/>
              </w:rPr>
            </w:pPr>
          </w:p>
        </w:tc>
        <w:tc>
          <w:tcPr>
            <w:tcW w:w="2715" w:type="dxa"/>
            <w:vMerge/>
          </w:tcPr>
          <w:p w14:paraId="3DCE7F81" w14:textId="77777777" w:rsidR="00393DDD" w:rsidRPr="004B6A6F" w:rsidRDefault="00393DDD" w:rsidP="000F198F">
            <w:pPr>
              <w:rPr>
                <w:rFonts w:cstheme="minorHAnsi"/>
                <w:szCs w:val="22"/>
                <w:lang w:val="en-GB"/>
              </w:rPr>
            </w:pPr>
          </w:p>
        </w:tc>
        <w:tc>
          <w:tcPr>
            <w:tcW w:w="2651" w:type="dxa"/>
          </w:tcPr>
          <w:p w14:paraId="35FE5407" w14:textId="77777777" w:rsidR="00393DDD" w:rsidRPr="004B6A6F" w:rsidRDefault="00393DDD" w:rsidP="000F198F">
            <w:pPr>
              <w:rPr>
                <w:rFonts w:cstheme="minorHAnsi"/>
                <w:szCs w:val="22"/>
                <w:lang w:val="en-GB"/>
              </w:rPr>
            </w:pPr>
            <w:r w:rsidRPr="004B6A6F">
              <w:rPr>
                <w:rFonts w:cstheme="minorHAnsi"/>
                <w:szCs w:val="22"/>
                <w:lang w:val="en-GB"/>
              </w:rPr>
              <w:t>Market size adjustment (%)</w:t>
            </w:r>
          </w:p>
        </w:tc>
        <w:tc>
          <w:tcPr>
            <w:tcW w:w="5881" w:type="dxa"/>
          </w:tcPr>
          <w:p w14:paraId="78EA540D" w14:textId="77777777" w:rsidR="00393DDD" w:rsidRPr="004B6A6F" w:rsidRDefault="00393DDD" w:rsidP="000F198F">
            <w:pPr>
              <w:rPr>
                <w:rFonts w:cstheme="minorHAnsi"/>
                <w:szCs w:val="22"/>
                <w:lang w:val="en-GB"/>
              </w:rPr>
            </w:pPr>
            <w:r w:rsidRPr="004B6A6F">
              <w:rPr>
                <w:rFonts w:cstheme="minorHAnsi"/>
                <w:szCs w:val="22"/>
                <w:lang w:val="en-GB"/>
              </w:rPr>
              <w:t xml:space="preserve">The proportion of the total market that the drug is expected to </w:t>
            </w:r>
            <w:r>
              <w:rPr>
                <w:rFonts w:cstheme="minorHAnsi"/>
                <w:szCs w:val="22"/>
                <w:lang w:val="en-GB"/>
              </w:rPr>
              <w:t>target</w:t>
            </w:r>
            <w:r w:rsidRPr="004B6A6F">
              <w:rPr>
                <w:rFonts w:cstheme="minorHAnsi"/>
                <w:szCs w:val="22"/>
                <w:lang w:val="en-GB"/>
              </w:rPr>
              <w:t>.</w:t>
            </w:r>
          </w:p>
        </w:tc>
      </w:tr>
      <w:tr w:rsidR="00393DDD" w:rsidRPr="006A0D71" w14:paraId="07E95DCB" w14:textId="77777777" w:rsidTr="000F198F">
        <w:tc>
          <w:tcPr>
            <w:tcW w:w="2640" w:type="dxa"/>
            <w:vMerge/>
          </w:tcPr>
          <w:p w14:paraId="41932A67" w14:textId="77777777" w:rsidR="00393DDD" w:rsidRPr="004B6A6F" w:rsidRDefault="00393DDD" w:rsidP="000F198F">
            <w:pPr>
              <w:rPr>
                <w:rFonts w:cstheme="minorHAnsi"/>
                <w:szCs w:val="22"/>
                <w:lang w:val="en-GB"/>
              </w:rPr>
            </w:pPr>
          </w:p>
        </w:tc>
        <w:tc>
          <w:tcPr>
            <w:tcW w:w="2715" w:type="dxa"/>
            <w:vMerge/>
          </w:tcPr>
          <w:p w14:paraId="45CE8317" w14:textId="77777777" w:rsidR="00393DDD" w:rsidRPr="004B6A6F" w:rsidRDefault="00393DDD" w:rsidP="000F198F">
            <w:pPr>
              <w:rPr>
                <w:rFonts w:cstheme="minorHAnsi"/>
                <w:szCs w:val="22"/>
                <w:lang w:val="en-GB"/>
              </w:rPr>
            </w:pPr>
          </w:p>
        </w:tc>
        <w:tc>
          <w:tcPr>
            <w:tcW w:w="2651" w:type="dxa"/>
          </w:tcPr>
          <w:p w14:paraId="1E87E2BF" w14:textId="77777777" w:rsidR="00393DDD" w:rsidRPr="004B6A6F" w:rsidRDefault="00393DDD" w:rsidP="000F198F">
            <w:pPr>
              <w:rPr>
                <w:rFonts w:cstheme="minorHAnsi"/>
                <w:szCs w:val="22"/>
                <w:lang w:val="en-GB"/>
              </w:rPr>
            </w:pPr>
            <w:r w:rsidRPr="004B6A6F">
              <w:rPr>
                <w:rFonts w:cstheme="minorHAnsi"/>
                <w:szCs w:val="22"/>
                <w:lang w:val="en-GB"/>
              </w:rPr>
              <w:t>Recoupment period (years)</w:t>
            </w:r>
          </w:p>
        </w:tc>
        <w:tc>
          <w:tcPr>
            <w:tcW w:w="5881" w:type="dxa"/>
          </w:tcPr>
          <w:p w14:paraId="5E12879C" w14:textId="77777777" w:rsidR="00393DDD" w:rsidRPr="004B6A6F" w:rsidRDefault="00393DDD" w:rsidP="000F198F">
            <w:pPr>
              <w:rPr>
                <w:rFonts w:cstheme="minorHAnsi"/>
                <w:szCs w:val="22"/>
                <w:lang w:val="en-GB"/>
              </w:rPr>
            </w:pPr>
            <w:r w:rsidRPr="004B6A6F">
              <w:rPr>
                <w:rFonts w:cstheme="minorHAnsi"/>
                <w:szCs w:val="22"/>
                <w:lang w:val="en-GB"/>
              </w:rPr>
              <w:t>The timeframe within which the company aims to recover its initial investment costs through sales revenue.</w:t>
            </w:r>
          </w:p>
        </w:tc>
      </w:tr>
      <w:tr w:rsidR="00393DDD" w:rsidRPr="006A0D71" w14:paraId="22D430F9" w14:textId="77777777" w:rsidTr="000F198F">
        <w:tc>
          <w:tcPr>
            <w:tcW w:w="2640" w:type="dxa"/>
            <w:vMerge/>
          </w:tcPr>
          <w:p w14:paraId="1EBFDA5D" w14:textId="77777777" w:rsidR="00393DDD" w:rsidRPr="004B6A6F" w:rsidRDefault="00393DDD" w:rsidP="000F198F">
            <w:pPr>
              <w:rPr>
                <w:rFonts w:cstheme="minorHAnsi"/>
                <w:szCs w:val="22"/>
                <w:lang w:val="en-GB"/>
              </w:rPr>
            </w:pPr>
          </w:p>
        </w:tc>
        <w:tc>
          <w:tcPr>
            <w:tcW w:w="2715" w:type="dxa"/>
          </w:tcPr>
          <w:p w14:paraId="4128DC4E" w14:textId="77777777" w:rsidR="00393DDD" w:rsidRPr="004B6A6F" w:rsidRDefault="00393DDD" w:rsidP="000F198F">
            <w:pPr>
              <w:rPr>
                <w:rFonts w:cstheme="minorHAnsi"/>
                <w:szCs w:val="22"/>
                <w:lang w:val="en-GB"/>
              </w:rPr>
            </w:pPr>
            <w:r w:rsidRPr="004B6A6F">
              <w:rPr>
                <w:rFonts w:cstheme="minorHAnsi"/>
                <w:szCs w:val="22"/>
                <w:lang w:val="en-GB"/>
              </w:rPr>
              <w:t>Cost-of-failure</w:t>
            </w:r>
          </w:p>
        </w:tc>
        <w:tc>
          <w:tcPr>
            <w:tcW w:w="2651" w:type="dxa"/>
          </w:tcPr>
          <w:p w14:paraId="579870DB" w14:textId="77777777" w:rsidR="00393DDD" w:rsidRPr="004B6A6F" w:rsidRDefault="00393DDD" w:rsidP="000F198F">
            <w:pPr>
              <w:rPr>
                <w:rFonts w:cstheme="minorHAnsi"/>
                <w:szCs w:val="22"/>
                <w:lang w:val="en-GB"/>
              </w:rPr>
            </w:pPr>
            <w:r w:rsidRPr="004B6A6F">
              <w:rPr>
                <w:rFonts w:cstheme="minorHAnsi"/>
                <w:szCs w:val="22"/>
                <w:lang w:val="en-GB"/>
              </w:rPr>
              <w:t>Cost-of-failure correction factor</w:t>
            </w:r>
          </w:p>
        </w:tc>
        <w:tc>
          <w:tcPr>
            <w:tcW w:w="5881" w:type="dxa"/>
          </w:tcPr>
          <w:p w14:paraId="0E2E5734" w14:textId="77777777" w:rsidR="00393DDD" w:rsidRPr="004B6A6F" w:rsidRDefault="00393DDD" w:rsidP="000F198F">
            <w:pPr>
              <w:rPr>
                <w:rFonts w:cstheme="minorHAnsi"/>
                <w:szCs w:val="22"/>
                <w:lang w:val="en-GB"/>
              </w:rPr>
            </w:pPr>
            <w:r w:rsidRPr="004B6A6F">
              <w:rPr>
                <w:rFonts w:cstheme="minorHAnsi"/>
                <w:szCs w:val="22"/>
                <w:lang w:val="en-GB"/>
              </w:rPr>
              <w:t>A factor representing the ratio of cost-of-failure to R&amp;D costs, used to account for expenses incurred during the R&amp;D process for drugs that ultimately do not reach the market due to failure at any stage. By distributing these costs across successful products, this factor reflects the inherent financial risk of pharmaceutical innovation</w:t>
            </w:r>
            <w:r>
              <w:rPr>
                <w:rFonts w:cstheme="minorHAnsi"/>
                <w:szCs w:val="22"/>
                <w:lang w:val="en-GB"/>
              </w:rPr>
              <w:t>.</w:t>
            </w:r>
          </w:p>
        </w:tc>
      </w:tr>
      <w:tr w:rsidR="00393DDD" w:rsidRPr="004B6A6F" w14:paraId="1010CC8F" w14:textId="77777777" w:rsidTr="000F198F">
        <w:tc>
          <w:tcPr>
            <w:tcW w:w="2640" w:type="dxa"/>
            <w:vMerge w:val="restart"/>
          </w:tcPr>
          <w:p w14:paraId="41677415" w14:textId="77777777" w:rsidR="00393DDD" w:rsidRPr="004B6A6F" w:rsidRDefault="00393DDD" w:rsidP="000F198F">
            <w:pPr>
              <w:rPr>
                <w:rFonts w:cstheme="minorHAnsi"/>
                <w:szCs w:val="22"/>
                <w:lang w:val="en-GB"/>
              </w:rPr>
            </w:pPr>
            <w:r w:rsidRPr="004B6A6F">
              <w:rPr>
                <w:rFonts w:cstheme="minorHAnsi"/>
                <w:szCs w:val="22"/>
                <w:lang w:val="en-GB"/>
              </w:rPr>
              <w:t>Financial correction factors</w:t>
            </w:r>
          </w:p>
        </w:tc>
        <w:tc>
          <w:tcPr>
            <w:tcW w:w="2715" w:type="dxa"/>
          </w:tcPr>
          <w:p w14:paraId="38DD293D" w14:textId="77777777" w:rsidR="00393DDD" w:rsidRPr="004B6A6F" w:rsidRDefault="00393DDD" w:rsidP="000F198F">
            <w:pPr>
              <w:rPr>
                <w:rFonts w:cstheme="minorHAnsi"/>
                <w:szCs w:val="22"/>
                <w:lang w:val="en-GB"/>
              </w:rPr>
            </w:pPr>
            <w:r w:rsidRPr="004B6A6F">
              <w:rPr>
                <w:rFonts w:cstheme="minorHAnsi"/>
                <w:szCs w:val="22"/>
                <w:lang w:val="en-GB"/>
              </w:rPr>
              <w:t>Cost-of-capital (CoC)</w:t>
            </w:r>
          </w:p>
        </w:tc>
        <w:tc>
          <w:tcPr>
            <w:tcW w:w="2651" w:type="dxa"/>
          </w:tcPr>
          <w:p w14:paraId="1783DA4F" w14:textId="77777777" w:rsidR="00393DDD" w:rsidRPr="004B6A6F" w:rsidRDefault="00393DDD" w:rsidP="000F198F">
            <w:pPr>
              <w:rPr>
                <w:rFonts w:cstheme="minorHAnsi"/>
                <w:szCs w:val="22"/>
                <w:lang w:val="en-GB"/>
              </w:rPr>
            </w:pPr>
            <w:r w:rsidRPr="004B6A6F">
              <w:rPr>
                <w:rFonts w:cstheme="minorHAnsi"/>
                <w:szCs w:val="22"/>
                <w:lang w:val="en-GB"/>
              </w:rPr>
              <w:t>(Weighted average) cost-of-capital (WACC) (%)</w:t>
            </w:r>
          </w:p>
        </w:tc>
        <w:tc>
          <w:tcPr>
            <w:tcW w:w="5881" w:type="dxa"/>
          </w:tcPr>
          <w:p w14:paraId="385AD7AD" w14:textId="77777777" w:rsidR="00393DDD" w:rsidRPr="00A337EB" w:rsidRDefault="00393DDD" w:rsidP="000F198F">
            <w:pPr>
              <w:rPr>
                <w:rFonts w:ascii="Times New Roman" w:hAnsi="Times New Roman"/>
                <w:sz w:val="24"/>
              </w:rPr>
            </w:pPr>
            <w:r w:rsidRPr="00A337EB">
              <w:rPr>
                <w:lang w:val="en-GB"/>
              </w:rPr>
              <w:t xml:space="preserve">A metric representing the average cost a company incurs to finance its operations through a combination of equity and debt. Expressed as a percentage of invested capital, it reflects the blended cost of raising funds from equity investors and creditors. </w:t>
            </w:r>
            <w:proofErr w:type="spellStart"/>
            <w:r>
              <w:t>Often</w:t>
            </w:r>
            <w:proofErr w:type="spellEnd"/>
            <w:r>
              <w:t xml:space="preserve"> </w:t>
            </w:r>
            <w:proofErr w:type="spellStart"/>
            <w:r>
              <w:t>used</w:t>
            </w:r>
            <w:proofErr w:type="spellEnd"/>
            <w:r>
              <w:t xml:space="preserve"> as a discount factor in financial </w:t>
            </w:r>
            <w:proofErr w:type="spellStart"/>
            <w:r>
              <w:t>evaluations</w:t>
            </w:r>
            <w:proofErr w:type="spellEnd"/>
            <w:r>
              <w:t>.</w:t>
            </w:r>
          </w:p>
        </w:tc>
      </w:tr>
      <w:tr w:rsidR="00393DDD" w:rsidRPr="006A0D71" w14:paraId="65FADB5D" w14:textId="77777777" w:rsidTr="000F198F">
        <w:tc>
          <w:tcPr>
            <w:tcW w:w="2640" w:type="dxa"/>
            <w:vMerge/>
          </w:tcPr>
          <w:p w14:paraId="6F845314" w14:textId="77777777" w:rsidR="00393DDD" w:rsidRPr="004B6A6F" w:rsidRDefault="00393DDD" w:rsidP="000F198F">
            <w:pPr>
              <w:rPr>
                <w:rFonts w:cstheme="minorHAnsi"/>
                <w:szCs w:val="22"/>
                <w:lang w:val="en-GB"/>
              </w:rPr>
            </w:pPr>
          </w:p>
        </w:tc>
        <w:tc>
          <w:tcPr>
            <w:tcW w:w="2715" w:type="dxa"/>
          </w:tcPr>
          <w:p w14:paraId="42740AE5" w14:textId="77777777" w:rsidR="00393DDD" w:rsidRPr="004B6A6F" w:rsidRDefault="00393DDD" w:rsidP="000F198F">
            <w:pPr>
              <w:rPr>
                <w:rFonts w:cstheme="minorHAnsi"/>
                <w:szCs w:val="22"/>
                <w:lang w:val="en-GB"/>
              </w:rPr>
            </w:pPr>
            <w:r w:rsidRPr="004B6A6F">
              <w:rPr>
                <w:rFonts w:cstheme="minorHAnsi"/>
                <w:szCs w:val="22"/>
                <w:lang w:val="en-GB"/>
              </w:rPr>
              <w:t>Inflation index</w:t>
            </w:r>
          </w:p>
        </w:tc>
        <w:tc>
          <w:tcPr>
            <w:tcW w:w="2651" w:type="dxa"/>
          </w:tcPr>
          <w:p w14:paraId="78D2CAEE" w14:textId="77777777" w:rsidR="00393DDD" w:rsidRPr="004B6A6F" w:rsidRDefault="00393DDD" w:rsidP="000F198F">
            <w:pPr>
              <w:rPr>
                <w:rFonts w:cstheme="minorHAnsi"/>
                <w:szCs w:val="22"/>
                <w:lang w:val="en-GB"/>
              </w:rPr>
            </w:pPr>
            <w:r w:rsidRPr="004B6A6F">
              <w:rPr>
                <w:rFonts w:cstheme="minorHAnsi"/>
                <w:szCs w:val="22"/>
                <w:lang w:val="en-GB"/>
              </w:rPr>
              <w:t>GDP (Gross domestic product) deflator (%)</w:t>
            </w:r>
          </w:p>
        </w:tc>
        <w:tc>
          <w:tcPr>
            <w:tcW w:w="5881" w:type="dxa"/>
          </w:tcPr>
          <w:p w14:paraId="49C00133" w14:textId="77777777" w:rsidR="00393DDD" w:rsidRPr="004B6A6F" w:rsidRDefault="00393DDD" w:rsidP="000F198F">
            <w:pPr>
              <w:rPr>
                <w:rFonts w:cstheme="minorHAnsi"/>
                <w:szCs w:val="22"/>
                <w:lang w:val="en-GB"/>
              </w:rPr>
            </w:pPr>
            <w:r w:rsidRPr="004B6A6F">
              <w:rPr>
                <w:rFonts w:cstheme="minorHAnsi"/>
                <w:szCs w:val="22"/>
                <w:lang w:val="en-GB"/>
              </w:rPr>
              <w:t>A measure used to adjust nominal GDP to reflect inflation rates, thereby accounting for inflation when setting or evaluating costs.</w:t>
            </w:r>
          </w:p>
        </w:tc>
      </w:tr>
      <w:tr w:rsidR="00393DDD" w:rsidRPr="006A0D71" w14:paraId="77961306" w14:textId="77777777" w:rsidTr="000F198F">
        <w:tc>
          <w:tcPr>
            <w:tcW w:w="2640" w:type="dxa"/>
            <w:vMerge/>
          </w:tcPr>
          <w:p w14:paraId="63BE76D2" w14:textId="77777777" w:rsidR="00393DDD" w:rsidRPr="004B6A6F" w:rsidRDefault="00393DDD" w:rsidP="000F198F">
            <w:pPr>
              <w:rPr>
                <w:rFonts w:cstheme="minorHAnsi"/>
                <w:szCs w:val="22"/>
                <w:lang w:val="en-GB"/>
              </w:rPr>
            </w:pPr>
          </w:p>
        </w:tc>
        <w:tc>
          <w:tcPr>
            <w:tcW w:w="2715" w:type="dxa"/>
          </w:tcPr>
          <w:p w14:paraId="1CE12FAE" w14:textId="77777777" w:rsidR="00393DDD" w:rsidRPr="004B6A6F" w:rsidRDefault="00393DDD" w:rsidP="000F198F">
            <w:pPr>
              <w:rPr>
                <w:rFonts w:cstheme="minorHAnsi"/>
                <w:szCs w:val="22"/>
                <w:lang w:val="en-GB"/>
              </w:rPr>
            </w:pPr>
            <w:r w:rsidRPr="004B6A6F">
              <w:rPr>
                <w:rFonts w:cstheme="minorHAnsi"/>
                <w:szCs w:val="22"/>
                <w:lang w:val="en-GB"/>
              </w:rPr>
              <w:t>Time of development</w:t>
            </w:r>
          </w:p>
        </w:tc>
        <w:tc>
          <w:tcPr>
            <w:tcW w:w="2651" w:type="dxa"/>
          </w:tcPr>
          <w:p w14:paraId="05EEF471" w14:textId="77777777" w:rsidR="00393DDD" w:rsidRPr="004B6A6F" w:rsidRDefault="00393DDD" w:rsidP="000F198F">
            <w:pPr>
              <w:rPr>
                <w:rFonts w:cstheme="minorHAnsi"/>
                <w:szCs w:val="22"/>
                <w:lang w:val="en-GB"/>
              </w:rPr>
            </w:pPr>
            <w:r w:rsidRPr="004B6A6F">
              <w:rPr>
                <w:rFonts w:cstheme="minorHAnsi"/>
                <w:szCs w:val="22"/>
                <w:lang w:val="en-GB"/>
              </w:rPr>
              <w:t>Development period (years)</w:t>
            </w:r>
          </w:p>
        </w:tc>
        <w:tc>
          <w:tcPr>
            <w:tcW w:w="5881" w:type="dxa"/>
          </w:tcPr>
          <w:p w14:paraId="3B243871" w14:textId="77777777" w:rsidR="00393DDD" w:rsidRPr="004B6A6F" w:rsidRDefault="00393DDD" w:rsidP="000F198F">
            <w:pPr>
              <w:rPr>
                <w:rFonts w:cstheme="minorHAnsi"/>
                <w:szCs w:val="22"/>
                <w:lang w:val="en-GB"/>
              </w:rPr>
            </w:pPr>
            <w:r w:rsidRPr="004B6A6F">
              <w:rPr>
                <w:rFonts w:cstheme="minorHAnsi"/>
                <w:szCs w:val="22"/>
                <w:lang w:val="en-GB"/>
              </w:rPr>
              <w:t>The duration from the initial research phase to obtaining market authorization for a new drug. This period is significant as longer development times increase financial risk and capital requirements.</w:t>
            </w:r>
          </w:p>
        </w:tc>
      </w:tr>
      <w:tr w:rsidR="00393DDD" w:rsidRPr="006A0D71" w14:paraId="43DDCE98" w14:textId="77777777" w:rsidTr="000F198F">
        <w:tc>
          <w:tcPr>
            <w:tcW w:w="2640" w:type="dxa"/>
            <w:vMerge w:val="restart"/>
          </w:tcPr>
          <w:p w14:paraId="5364D46D" w14:textId="77777777" w:rsidR="00393DDD" w:rsidRPr="004B6A6F" w:rsidRDefault="00393DDD" w:rsidP="000F198F">
            <w:pPr>
              <w:rPr>
                <w:rFonts w:cstheme="minorHAnsi"/>
                <w:szCs w:val="22"/>
                <w:lang w:val="en-GB"/>
              </w:rPr>
            </w:pPr>
            <w:r w:rsidRPr="004B6A6F">
              <w:rPr>
                <w:rFonts w:cstheme="minorHAnsi"/>
                <w:szCs w:val="22"/>
                <w:lang w:val="en-GB"/>
              </w:rPr>
              <w:t>Production and sales elements:</w:t>
            </w:r>
          </w:p>
        </w:tc>
        <w:tc>
          <w:tcPr>
            <w:tcW w:w="2715" w:type="dxa"/>
            <w:vMerge w:val="restart"/>
          </w:tcPr>
          <w:p w14:paraId="5E362E31" w14:textId="77777777" w:rsidR="00393DDD" w:rsidRPr="004B6A6F" w:rsidRDefault="00393DDD" w:rsidP="000F198F">
            <w:pPr>
              <w:rPr>
                <w:rFonts w:cstheme="minorHAnsi"/>
                <w:szCs w:val="22"/>
                <w:lang w:val="en-GB"/>
              </w:rPr>
            </w:pPr>
            <w:r w:rsidRPr="004B6A6F">
              <w:rPr>
                <w:rFonts w:cstheme="minorHAnsi"/>
                <w:szCs w:val="22"/>
                <w:lang w:val="en-GB"/>
              </w:rPr>
              <w:t>Manufacturing costs (out-of-pocket)</w:t>
            </w:r>
          </w:p>
        </w:tc>
        <w:tc>
          <w:tcPr>
            <w:tcW w:w="2651" w:type="dxa"/>
          </w:tcPr>
          <w:p w14:paraId="5F96EA69" w14:textId="77777777" w:rsidR="00393DDD" w:rsidRPr="004B6A6F" w:rsidRDefault="00393DDD" w:rsidP="000F198F">
            <w:pPr>
              <w:rPr>
                <w:rFonts w:cstheme="minorHAnsi"/>
                <w:szCs w:val="22"/>
                <w:lang w:val="en-GB"/>
              </w:rPr>
            </w:pPr>
            <w:r w:rsidRPr="004B6A6F">
              <w:rPr>
                <w:rFonts w:cstheme="minorHAnsi"/>
                <w:szCs w:val="22"/>
                <w:lang w:val="en-GB"/>
              </w:rPr>
              <w:t xml:space="preserve">Production cost per treatment </w:t>
            </w:r>
          </w:p>
        </w:tc>
        <w:tc>
          <w:tcPr>
            <w:tcW w:w="5881" w:type="dxa"/>
          </w:tcPr>
          <w:p w14:paraId="3BABAB77" w14:textId="77777777" w:rsidR="00393DDD" w:rsidRPr="004B6A6F" w:rsidRDefault="00393DDD" w:rsidP="000F198F">
            <w:pPr>
              <w:rPr>
                <w:rFonts w:cstheme="minorHAnsi"/>
                <w:szCs w:val="22"/>
                <w:lang w:val="en-GB"/>
              </w:rPr>
            </w:pPr>
            <w:r w:rsidRPr="004B6A6F">
              <w:rPr>
                <w:rFonts w:cstheme="minorHAnsi"/>
                <w:szCs w:val="22"/>
                <w:lang w:val="en-GB"/>
              </w:rPr>
              <w:t>The cost associated with manufacturing each individual unit of the product, including raw materials, labour, and overhead expenses directly tied to production.</w:t>
            </w:r>
          </w:p>
        </w:tc>
      </w:tr>
      <w:tr w:rsidR="00393DDD" w:rsidRPr="006A0D71" w14:paraId="3213A7E3" w14:textId="77777777" w:rsidTr="000F198F">
        <w:tc>
          <w:tcPr>
            <w:tcW w:w="2640" w:type="dxa"/>
            <w:vMerge/>
          </w:tcPr>
          <w:p w14:paraId="2F4B794F" w14:textId="77777777" w:rsidR="00393DDD" w:rsidRPr="004B6A6F" w:rsidRDefault="00393DDD" w:rsidP="000F198F">
            <w:pPr>
              <w:rPr>
                <w:rFonts w:cstheme="minorHAnsi"/>
                <w:szCs w:val="22"/>
                <w:lang w:val="en-GB"/>
              </w:rPr>
            </w:pPr>
          </w:p>
        </w:tc>
        <w:tc>
          <w:tcPr>
            <w:tcW w:w="2715" w:type="dxa"/>
            <w:vMerge/>
          </w:tcPr>
          <w:p w14:paraId="7D79883D" w14:textId="77777777" w:rsidR="00393DDD" w:rsidRPr="004B6A6F" w:rsidRDefault="00393DDD" w:rsidP="000F198F">
            <w:pPr>
              <w:rPr>
                <w:rFonts w:cstheme="minorHAnsi"/>
                <w:szCs w:val="22"/>
                <w:lang w:val="en-GB"/>
              </w:rPr>
            </w:pPr>
          </w:p>
        </w:tc>
        <w:tc>
          <w:tcPr>
            <w:tcW w:w="2651" w:type="dxa"/>
          </w:tcPr>
          <w:p w14:paraId="3A6C835F" w14:textId="77777777" w:rsidR="00393DDD" w:rsidRPr="004B6A6F" w:rsidRDefault="00393DDD" w:rsidP="000F198F">
            <w:pPr>
              <w:rPr>
                <w:rFonts w:cstheme="minorHAnsi"/>
                <w:szCs w:val="22"/>
                <w:lang w:val="en-GB"/>
              </w:rPr>
            </w:pPr>
            <w:r w:rsidRPr="004B6A6F">
              <w:rPr>
                <w:rFonts w:cstheme="minorHAnsi"/>
                <w:szCs w:val="22"/>
                <w:lang w:val="en-GB"/>
              </w:rPr>
              <w:t>Production volume</w:t>
            </w:r>
          </w:p>
        </w:tc>
        <w:tc>
          <w:tcPr>
            <w:tcW w:w="5881" w:type="dxa"/>
          </w:tcPr>
          <w:p w14:paraId="6FF8AD0C" w14:textId="77777777" w:rsidR="00393DDD" w:rsidRPr="004B6A6F" w:rsidRDefault="00393DDD" w:rsidP="000F198F">
            <w:pPr>
              <w:rPr>
                <w:rFonts w:cstheme="minorHAnsi"/>
                <w:szCs w:val="22"/>
                <w:lang w:val="en-GB"/>
              </w:rPr>
            </w:pPr>
            <w:r w:rsidRPr="004B6A6F">
              <w:rPr>
                <w:rFonts w:cstheme="minorHAnsi"/>
                <w:szCs w:val="22"/>
                <w:lang w:val="en-GB"/>
              </w:rPr>
              <w:t>The quantity of the product that needs to be produced annually to meet market demand. Influenced by number of treatments required per-patient-per-year and the number of patients</w:t>
            </w:r>
          </w:p>
        </w:tc>
      </w:tr>
      <w:tr w:rsidR="00393DDD" w:rsidRPr="006A0D71" w14:paraId="10A5C428" w14:textId="77777777" w:rsidTr="000F198F">
        <w:tc>
          <w:tcPr>
            <w:tcW w:w="2640" w:type="dxa"/>
            <w:vMerge/>
          </w:tcPr>
          <w:p w14:paraId="371C7320" w14:textId="77777777" w:rsidR="00393DDD" w:rsidRPr="004B6A6F" w:rsidRDefault="00393DDD" w:rsidP="000F198F">
            <w:pPr>
              <w:rPr>
                <w:rFonts w:cstheme="minorHAnsi"/>
                <w:szCs w:val="22"/>
                <w:lang w:val="en-GB"/>
              </w:rPr>
            </w:pPr>
          </w:p>
        </w:tc>
        <w:tc>
          <w:tcPr>
            <w:tcW w:w="2715" w:type="dxa"/>
          </w:tcPr>
          <w:p w14:paraId="59796D49" w14:textId="77777777" w:rsidR="00393DDD" w:rsidRPr="004B6A6F" w:rsidRDefault="00393DDD" w:rsidP="000F198F">
            <w:pPr>
              <w:rPr>
                <w:rFonts w:cstheme="minorHAnsi"/>
                <w:szCs w:val="22"/>
                <w:lang w:val="en-GB"/>
              </w:rPr>
            </w:pPr>
            <w:r w:rsidRPr="004B6A6F">
              <w:rPr>
                <w:rFonts w:cstheme="minorHAnsi"/>
                <w:szCs w:val="22"/>
                <w:lang w:val="en-GB"/>
              </w:rPr>
              <w:t>Cost-of-sales</w:t>
            </w:r>
          </w:p>
        </w:tc>
        <w:tc>
          <w:tcPr>
            <w:tcW w:w="2651" w:type="dxa"/>
          </w:tcPr>
          <w:p w14:paraId="2262817B" w14:textId="77777777" w:rsidR="00393DDD" w:rsidRPr="004B6A6F" w:rsidRDefault="00393DDD" w:rsidP="000F198F">
            <w:pPr>
              <w:rPr>
                <w:rFonts w:cstheme="minorHAnsi"/>
                <w:szCs w:val="22"/>
                <w:lang w:val="en-GB"/>
              </w:rPr>
            </w:pPr>
            <w:r w:rsidRPr="004B6A6F">
              <w:rPr>
                <w:rFonts w:cstheme="minorHAnsi"/>
                <w:szCs w:val="22"/>
                <w:lang w:val="en-GB"/>
              </w:rPr>
              <w:t xml:space="preserve">Cost-of-sales allowance </w:t>
            </w:r>
          </w:p>
        </w:tc>
        <w:tc>
          <w:tcPr>
            <w:tcW w:w="5881" w:type="dxa"/>
          </w:tcPr>
          <w:p w14:paraId="380E1E1B" w14:textId="77777777" w:rsidR="00393DDD" w:rsidRPr="004B6A6F" w:rsidRDefault="00393DDD" w:rsidP="000F198F">
            <w:pPr>
              <w:rPr>
                <w:rFonts w:cstheme="minorHAnsi"/>
                <w:szCs w:val="22"/>
                <w:lang w:val="en-GB"/>
              </w:rPr>
            </w:pPr>
            <w:r w:rsidRPr="004B6A6F">
              <w:rPr>
                <w:rFonts w:cstheme="minorHAnsi"/>
                <w:szCs w:val="22"/>
                <w:lang w:val="en-GB"/>
              </w:rPr>
              <w:t>The proportion of production costs allocated as an allowance for sales-related expenses, such as distribution, marketing, and sales force efforts.</w:t>
            </w:r>
          </w:p>
        </w:tc>
      </w:tr>
      <w:tr w:rsidR="00393DDD" w:rsidRPr="006A0D71" w14:paraId="5149430A" w14:textId="77777777" w:rsidTr="000F198F">
        <w:trPr>
          <w:trHeight w:val="174"/>
        </w:trPr>
        <w:tc>
          <w:tcPr>
            <w:tcW w:w="2640" w:type="dxa"/>
            <w:vMerge w:val="restart"/>
          </w:tcPr>
          <w:p w14:paraId="4262FDE9" w14:textId="77777777" w:rsidR="00393DDD" w:rsidRPr="004B6A6F" w:rsidRDefault="00393DDD" w:rsidP="000F198F">
            <w:pPr>
              <w:rPr>
                <w:rFonts w:cstheme="minorHAnsi"/>
                <w:szCs w:val="22"/>
                <w:lang w:val="en-GB"/>
              </w:rPr>
            </w:pPr>
            <w:r w:rsidRPr="004B6A6F">
              <w:rPr>
                <w:rFonts w:cstheme="minorHAnsi"/>
                <w:szCs w:val="22"/>
                <w:lang w:val="en-GB"/>
              </w:rPr>
              <w:t>Profit elements</w:t>
            </w:r>
          </w:p>
        </w:tc>
        <w:tc>
          <w:tcPr>
            <w:tcW w:w="2715" w:type="dxa"/>
          </w:tcPr>
          <w:p w14:paraId="6AB3A324" w14:textId="77777777" w:rsidR="00393DDD" w:rsidRPr="004B6A6F" w:rsidRDefault="00393DDD" w:rsidP="000F198F">
            <w:pPr>
              <w:rPr>
                <w:rFonts w:cstheme="minorHAnsi"/>
                <w:szCs w:val="22"/>
                <w:lang w:val="en-GB"/>
              </w:rPr>
            </w:pPr>
            <w:r w:rsidRPr="004B6A6F">
              <w:rPr>
                <w:rFonts w:cstheme="minorHAnsi"/>
                <w:szCs w:val="22"/>
                <w:lang w:val="en-GB"/>
              </w:rPr>
              <w:t>Profit</w:t>
            </w:r>
          </w:p>
        </w:tc>
        <w:tc>
          <w:tcPr>
            <w:tcW w:w="2651" w:type="dxa"/>
          </w:tcPr>
          <w:p w14:paraId="08869192" w14:textId="77777777" w:rsidR="00393DDD" w:rsidRPr="004B6A6F" w:rsidRDefault="00393DDD" w:rsidP="000F198F">
            <w:pPr>
              <w:rPr>
                <w:rFonts w:cstheme="minorHAnsi"/>
                <w:szCs w:val="22"/>
                <w:lang w:val="en-GB"/>
              </w:rPr>
            </w:pPr>
            <w:r w:rsidRPr="004B6A6F">
              <w:rPr>
                <w:rFonts w:cstheme="minorHAnsi"/>
                <w:szCs w:val="22"/>
                <w:lang w:val="en-GB"/>
              </w:rPr>
              <w:t>Profit margin (%)</w:t>
            </w:r>
          </w:p>
        </w:tc>
        <w:tc>
          <w:tcPr>
            <w:tcW w:w="5881" w:type="dxa"/>
          </w:tcPr>
          <w:p w14:paraId="2D8B3A53" w14:textId="77777777" w:rsidR="00393DDD" w:rsidRPr="004B6A6F" w:rsidRDefault="00393DDD" w:rsidP="000F198F">
            <w:pPr>
              <w:rPr>
                <w:rFonts w:cstheme="minorHAnsi"/>
                <w:szCs w:val="22"/>
                <w:lang w:val="en-GB"/>
              </w:rPr>
            </w:pPr>
            <w:r w:rsidRPr="004B6A6F">
              <w:rPr>
                <w:rFonts w:cstheme="minorHAnsi"/>
                <w:szCs w:val="22"/>
                <w:lang w:val="en-GB"/>
              </w:rPr>
              <w:t>The percentage of out-of-pocket costs added as profit to ensure a baseline level of profitability, supporting financial stability and continued investment.</w:t>
            </w:r>
          </w:p>
        </w:tc>
      </w:tr>
      <w:tr w:rsidR="00393DDD" w:rsidRPr="006A0D71" w14:paraId="58E6179B" w14:textId="77777777" w:rsidTr="000F198F">
        <w:tc>
          <w:tcPr>
            <w:tcW w:w="2640" w:type="dxa"/>
            <w:vMerge/>
          </w:tcPr>
          <w:p w14:paraId="029DBC04" w14:textId="77777777" w:rsidR="00393DDD" w:rsidRPr="004B6A6F" w:rsidRDefault="00393DDD" w:rsidP="000F198F">
            <w:pPr>
              <w:rPr>
                <w:rFonts w:cstheme="minorHAnsi"/>
                <w:szCs w:val="22"/>
                <w:lang w:val="en-GB"/>
              </w:rPr>
            </w:pPr>
          </w:p>
        </w:tc>
        <w:tc>
          <w:tcPr>
            <w:tcW w:w="2715" w:type="dxa"/>
          </w:tcPr>
          <w:p w14:paraId="78428FB6" w14:textId="77777777" w:rsidR="00393DDD" w:rsidRPr="004B6A6F" w:rsidRDefault="00393DDD" w:rsidP="000F198F">
            <w:pPr>
              <w:rPr>
                <w:rFonts w:cstheme="minorHAnsi"/>
                <w:szCs w:val="22"/>
                <w:lang w:val="en-GB"/>
              </w:rPr>
            </w:pPr>
            <w:r w:rsidRPr="004B6A6F">
              <w:rPr>
                <w:rFonts w:cstheme="minorHAnsi"/>
                <w:szCs w:val="22"/>
                <w:lang w:val="en-GB"/>
              </w:rPr>
              <w:t>Innovation bonus*</w:t>
            </w:r>
          </w:p>
        </w:tc>
        <w:tc>
          <w:tcPr>
            <w:tcW w:w="2651" w:type="dxa"/>
          </w:tcPr>
          <w:p w14:paraId="2C90240B" w14:textId="77777777" w:rsidR="00393DDD" w:rsidRPr="004B6A6F" w:rsidRDefault="00393DDD" w:rsidP="000F198F">
            <w:pPr>
              <w:rPr>
                <w:rFonts w:cstheme="minorHAnsi"/>
                <w:szCs w:val="22"/>
                <w:lang w:val="en-GB"/>
              </w:rPr>
            </w:pPr>
            <w:r w:rsidRPr="004B6A6F">
              <w:rPr>
                <w:rFonts w:cstheme="minorHAnsi"/>
                <w:szCs w:val="22"/>
                <w:lang w:val="en-GB"/>
              </w:rPr>
              <w:t>Value-driven premium (%)</w:t>
            </w:r>
          </w:p>
        </w:tc>
        <w:tc>
          <w:tcPr>
            <w:tcW w:w="5881" w:type="dxa"/>
          </w:tcPr>
          <w:p w14:paraId="30C38C32" w14:textId="77777777" w:rsidR="00393DDD" w:rsidRPr="004B6A6F" w:rsidRDefault="00393DDD" w:rsidP="000F198F">
            <w:pPr>
              <w:rPr>
                <w:rFonts w:cstheme="minorHAnsi"/>
                <w:szCs w:val="22"/>
                <w:lang w:val="en-GB"/>
              </w:rPr>
            </w:pPr>
            <w:r w:rsidRPr="004B6A6F">
              <w:rPr>
                <w:rFonts w:cstheme="minorHAnsi"/>
                <w:szCs w:val="22"/>
                <w:lang w:val="en-GB"/>
              </w:rPr>
              <w:t>An additional pricing bonus, expressed as a percentage of out-of-pocket costs, granted based on the drug’s clinical effectiveness and innovation, reflecting its added therapeutic value and novelty</w:t>
            </w:r>
          </w:p>
        </w:tc>
      </w:tr>
      <w:tr w:rsidR="00393DDD" w:rsidRPr="006A0D71" w14:paraId="22F3C864" w14:textId="77777777" w:rsidTr="000F198F">
        <w:tc>
          <w:tcPr>
            <w:tcW w:w="2640" w:type="dxa"/>
          </w:tcPr>
          <w:p w14:paraId="0E246D0E" w14:textId="77777777" w:rsidR="00393DDD" w:rsidRPr="004B6A6F" w:rsidRDefault="00393DDD" w:rsidP="000F198F">
            <w:pPr>
              <w:rPr>
                <w:rFonts w:cstheme="minorHAnsi"/>
                <w:szCs w:val="22"/>
                <w:lang w:val="en-GB"/>
              </w:rPr>
            </w:pPr>
            <w:r w:rsidRPr="004B6A6F">
              <w:rPr>
                <w:rFonts w:cstheme="minorHAnsi"/>
                <w:szCs w:val="22"/>
                <w:lang w:val="en-GB"/>
              </w:rPr>
              <w:t>Patient population</w:t>
            </w:r>
          </w:p>
        </w:tc>
        <w:tc>
          <w:tcPr>
            <w:tcW w:w="2715" w:type="dxa"/>
          </w:tcPr>
          <w:p w14:paraId="26785A19" w14:textId="77777777" w:rsidR="00393DDD" w:rsidRPr="004B6A6F" w:rsidRDefault="00393DDD" w:rsidP="000F198F">
            <w:pPr>
              <w:rPr>
                <w:rFonts w:cstheme="minorHAnsi"/>
                <w:szCs w:val="22"/>
                <w:lang w:val="en-GB"/>
              </w:rPr>
            </w:pPr>
            <w:r w:rsidRPr="004B6A6F">
              <w:rPr>
                <w:rFonts w:cstheme="minorHAnsi"/>
                <w:szCs w:val="22"/>
                <w:lang w:val="en-GB"/>
              </w:rPr>
              <w:t>Number of patients*</w:t>
            </w:r>
          </w:p>
        </w:tc>
        <w:tc>
          <w:tcPr>
            <w:tcW w:w="2651" w:type="dxa"/>
          </w:tcPr>
          <w:p w14:paraId="72254AC5" w14:textId="77777777" w:rsidR="00393DDD" w:rsidRPr="004B6A6F" w:rsidRDefault="00393DDD" w:rsidP="000F198F">
            <w:pPr>
              <w:rPr>
                <w:rFonts w:cstheme="minorHAnsi"/>
                <w:szCs w:val="22"/>
                <w:lang w:val="en-GB"/>
              </w:rPr>
            </w:pPr>
            <w:r w:rsidRPr="004B6A6F">
              <w:rPr>
                <w:rFonts w:cstheme="minorHAnsi"/>
                <w:szCs w:val="22"/>
                <w:lang w:val="en-GB"/>
              </w:rPr>
              <w:t>Number of patients eligible for treatment</w:t>
            </w:r>
          </w:p>
        </w:tc>
        <w:tc>
          <w:tcPr>
            <w:tcW w:w="5881" w:type="dxa"/>
          </w:tcPr>
          <w:p w14:paraId="1BB251AB" w14:textId="77777777" w:rsidR="00393DDD" w:rsidRPr="004B6A6F" w:rsidRDefault="00393DDD" w:rsidP="000F198F">
            <w:pPr>
              <w:rPr>
                <w:rFonts w:cstheme="minorHAnsi"/>
                <w:szCs w:val="22"/>
                <w:lang w:val="en-GB"/>
              </w:rPr>
            </w:pPr>
            <w:r w:rsidRPr="004B6A6F">
              <w:rPr>
                <w:rFonts w:cstheme="minorHAnsi"/>
                <w:szCs w:val="22"/>
                <w:lang w:val="en-GB"/>
              </w:rPr>
              <w:t>The total number of patients eligible for the drug treatment, which directly impacts pricing by defining the market size and influencing the ability to recoup investment costs. This figure is shaped by factors such as disease incidence, prevalence, mortality rates, competition, and market penetration</w:t>
            </w:r>
          </w:p>
        </w:tc>
      </w:tr>
    </w:tbl>
    <w:p w14:paraId="7D5B71CD" w14:textId="77777777" w:rsidR="00393DDD" w:rsidRDefault="00393DDD" w:rsidP="00393DDD">
      <w:pPr>
        <w:rPr>
          <w:rFonts w:cstheme="minorHAnsi"/>
          <w:szCs w:val="22"/>
          <w:lang w:val="en-GB"/>
        </w:rPr>
      </w:pPr>
      <w:r w:rsidRPr="004B6A6F">
        <w:rPr>
          <w:rFonts w:cstheme="minorHAnsi"/>
          <w:szCs w:val="22"/>
          <w:lang w:val="en-GB"/>
        </w:rPr>
        <w:t>* Dynamically adjustable based on emerging (clinical) dat</w:t>
      </w:r>
      <w:r>
        <w:rPr>
          <w:rFonts w:cstheme="minorHAnsi"/>
          <w:szCs w:val="22"/>
          <w:lang w:val="en-GB"/>
        </w:rPr>
        <w:t>a</w:t>
      </w:r>
    </w:p>
    <w:p w14:paraId="3829BEA2" w14:textId="77777777" w:rsidR="00393DDD" w:rsidRDefault="00393DDD" w:rsidP="00393DDD">
      <w:pPr>
        <w:rPr>
          <w:rFonts w:cstheme="minorHAnsi"/>
          <w:szCs w:val="22"/>
          <w:lang w:val="en-GB"/>
        </w:rPr>
      </w:pPr>
    </w:p>
    <w:p w14:paraId="34831BC1" w14:textId="77777777" w:rsidR="00393DDD" w:rsidRDefault="00393DDD" w:rsidP="00393DDD">
      <w:pPr>
        <w:rPr>
          <w:rFonts w:cstheme="minorHAnsi"/>
          <w:szCs w:val="22"/>
          <w:lang w:val="en-GB"/>
        </w:rPr>
      </w:pPr>
    </w:p>
    <w:p w14:paraId="24CC78DB" w14:textId="77777777" w:rsidR="00393DDD" w:rsidRDefault="00393DDD" w:rsidP="00393DDD">
      <w:pPr>
        <w:rPr>
          <w:rFonts w:cstheme="minorHAnsi"/>
          <w:szCs w:val="22"/>
          <w:lang w:val="en-GB"/>
        </w:rPr>
      </w:pPr>
    </w:p>
    <w:p w14:paraId="534536CF" w14:textId="77777777" w:rsidR="00393DDD" w:rsidRDefault="00393DDD" w:rsidP="00393DDD">
      <w:pPr>
        <w:rPr>
          <w:rFonts w:cstheme="minorHAnsi"/>
          <w:szCs w:val="22"/>
          <w:lang w:val="en-GB"/>
        </w:rPr>
      </w:pPr>
    </w:p>
    <w:p w14:paraId="21548775" w14:textId="77777777" w:rsidR="00393DDD" w:rsidRDefault="00393DDD" w:rsidP="00393DDD">
      <w:pPr>
        <w:rPr>
          <w:rFonts w:cstheme="minorHAnsi"/>
          <w:szCs w:val="22"/>
          <w:lang w:val="en-GB"/>
        </w:rPr>
      </w:pPr>
    </w:p>
    <w:p w14:paraId="42DD4854" w14:textId="77777777" w:rsidR="00393DDD" w:rsidRDefault="00393DDD" w:rsidP="00393DDD">
      <w:pPr>
        <w:rPr>
          <w:rFonts w:cstheme="minorHAnsi"/>
          <w:szCs w:val="22"/>
          <w:lang w:val="en-GB"/>
        </w:rPr>
      </w:pPr>
    </w:p>
    <w:p w14:paraId="3E2C9A87" w14:textId="77777777" w:rsidR="00393DDD" w:rsidRDefault="00393DDD" w:rsidP="00393DDD">
      <w:pPr>
        <w:rPr>
          <w:rFonts w:cstheme="minorHAnsi"/>
          <w:szCs w:val="22"/>
          <w:lang w:val="en-GB"/>
        </w:rPr>
      </w:pPr>
    </w:p>
    <w:p w14:paraId="503108FB" w14:textId="77777777" w:rsidR="00393DDD" w:rsidRDefault="00393DDD" w:rsidP="00393DDD">
      <w:pPr>
        <w:rPr>
          <w:rFonts w:cstheme="minorHAnsi"/>
          <w:szCs w:val="22"/>
          <w:lang w:val="en-GB"/>
        </w:rPr>
      </w:pPr>
    </w:p>
    <w:p w14:paraId="04325A28" w14:textId="77777777" w:rsidR="00393DDD" w:rsidRDefault="00393DDD" w:rsidP="00393DDD">
      <w:pPr>
        <w:rPr>
          <w:rFonts w:cstheme="minorHAnsi"/>
          <w:szCs w:val="22"/>
          <w:lang w:val="en-GB"/>
        </w:rPr>
      </w:pPr>
    </w:p>
    <w:p w14:paraId="1AB96343" w14:textId="77777777" w:rsidR="00393DDD" w:rsidRDefault="00393DDD" w:rsidP="00393DDD">
      <w:pPr>
        <w:rPr>
          <w:rFonts w:cstheme="minorHAnsi"/>
          <w:szCs w:val="22"/>
          <w:lang w:val="en-GB"/>
        </w:rPr>
      </w:pPr>
    </w:p>
    <w:p w14:paraId="5521B3B1" w14:textId="77777777" w:rsidR="00393DDD" w:rsidRDefault="00393DDD" w:rsidP="00393DDD">
      <w:pPr>
        <w:rPr>
          <w:rFonts w:cstheme="minorHAnsi"/>
          <w:szCs w:val="22"/>
          <w:lang w:val="en-GB"/>
        </w:rPr>
        <w:sectPr w:rsidR="00393DDD" w:rsidSect="00393DDD">
          <w:pgSz w:w="16838" w:h="11906" w:orient="landscape"/>
          <w:pgMar w:top="1418" w:right="1418" w:bottom="1418" w:left="1418" w:header="709" w:footer="709" w:gutter="0"/>
          <w:cols w:space="708"/>
          <w:docGrid w:linePitch="360"/>
        </w:sectPr>
      </w:pPr>
    </w:p>
    <w:p w14:paraId="08F7698B" w14:textId="77777777" w:rsidR="00393DDD" w:rsidRDefault="00393DDD" w:rsidP="00393DDD">
      <w:pPr>
        <w:rPr>
          <w:rFonts w:cstheme="minorHAnsi"/>
          <w:szCs w:val="22"/>
          <w:lang w:val="en-GB"/>
        </w:rPr>
      </w:pPr>
    </w:p>
    <w:p w14:paraId="16989D9D" w14:textId="77777777" w:rsidR="00393DDD" w:rsidRPr="00CD185B" w:rsidRDefault="00393DDD" w:rsidP="00393DDD">
      <w:pPr>
        <w:rPr>
          <w:rFonts w:cstheme="minorHAnsi"/>
          <w:szCs w:val="22"/>
          <w:lang w:val="en-GB"/>
        </w:rPr>
      </w:pPr>
      <w:r w:rsidRPr="00CD185B">
        <w:rPr>
          <w:rFonts w:cstheme="minorHAnsi"/>
          <w:b/>
          <w:bCs/>
          <w:szCs w:val="22"/>
          <w:lang w:val="en-GB"/>
        </w:rPr>
        <w:t xml:space="preserve">R&amp;D costs, market size, and recoupment period: </w:t>
      </w:r>
      <w:r w:rsidRPr="00CD185B">
        <w:rPr>
          <w:rFonts w:cstheme="minorHAnsi"/>
          <w:szCs w:val="22"/>
          <w:lang w:val="en-GB"/>
        </w:rPr>
        <w:t>Following the AIM model, R&amp;D costs are adjusted based on the target region’s market share and the expected recoupment period [1]. This method ensures that pricing reflects investment scales relative to each region’s market size and revenue potential, while also accounting for the time required to recover costs. For this initial adjustment, the population share of the target region relative to the total population of OECD (Organisation for Economic Co-operation and Development) countries—estimated at approximately 1.38 billion people as of 2023 [10]—can be considered. This follows the premise that OECD countries serve as primary markets for innovative pharmaceuticals due to their advanced economies, high healthcare expenditures, and strong adoption of new pharmaceutical products [11].</w:t>
      </w:r>
    </w:p>
    <w:p w14:paraId="77E358A3" w14:textId="77777777" w:rsidR="00393DDD" w:rsidRDefault="00393DDD" w:rsidP="00393DDD">
      <w:pPr>
        <w:rPr>
          <w:rFonts w:cstheme="minorHAnsi"/>
          <w:szCs w:val="22"/>
          <w:lang w:val="en-GB"/>
        </w:rPr>
      </w:pPr>
    </w:p>
    <w:p w14:paraId="67CC65CA" w14:textId="77777777" w:rsidR="00393DDD" w:rsidRPr="00CD185B" w:rsidRDefault="00393DDD" w:rsidP="00393DDD">
      <w:pPr>
        <w:rPr>
          <w:rFonts w:cstheme="minorHAnsi"/>
          <w:szCs w:val="22"/>
          <w:lang w:val="en-GB"/>
        </w:rPr>
      </w:pPr>
      <w:r w:rsidRPr="00CD185B">
        <w:rPr>
          <w:rFonts w:cstheme="minorHAnsi"/>
          <w:szCs w:val="22"/>
          <w:lang w:val="en-GB"/>
        </w:rPr>
        <w:t>From the perspective of healthcare payers, the recoupment period can be aligned with the average treatment duration, as suggested by the AIM model [1], reflecting the period during which patients consistently use the drug and costs can realistically be recovered. Alternatively, one could consider the on-patent market period. Although pharmaceutical patents generally provide 20 years of protection from the filing date, effective market exclusivity is often shorter—typically between 12 and 16 years [12–14]—due to the time of development and regulatory approval processes. This period can be viewed as the window in which manufacturers are best positioned to recoup their investments before generic competition emerges.</w:t>
      </w:r>
    </w:p>
    <w:p w14:paraId="2769EAE6" w14:textId="77777777" w:rsidR="00393DDD" w:rsidRDefault="00393DDD" w:rsidP="00393DDD">
      <w:pPr>
        <w:rPr>
          <w:rFonts w:cstheme="minorHAnsi"/>
          <w:szCs w:val="22"/>
          <w:lang w:val="en-GB"/>
        </w:rPr>
      </w:pPr>
    </w:p>
    <w:p w14:paraId="25653E57" w14:textId="77777777" w:rsidR="00393DDD" w:rsidRPr="00CD185B" w:rsidRDefault="00393DDD" w:rsidP="00393DDD">
      <w:pPr>
        <w:rPr>
          <w:rFonts w:cstheme="minorHAnsi"/>
          <w:szCs w:val="22"/>
          <w:lang w:val="en-GB"/>
        </w:rPr>
      </w:pPr>
      <w:r w:rsidRPr="00CD185B">
        <w:rPr>
          <w:rFonts w:cstheme="minorHAnsi"/>
          <w:szCs w:val="22"/>
          <w:lang w:val="en-GB"/>
        </w:rPr>
        <w:t>R&amp;D costs can be estimated based on published figures for bringing an NME to market, which must be adjusted according to the product's development trajectory. However, these estimates vary widely due to methodological differences (Table 2). Some studies include capital costs and failure costs—addressed separately in this framework—while others exclude them [15–22]. R&amp;D costs also vary depending on the product type and therapeutic area [19]. Orphan drug development, for instance, is generally considered less expensive since these treatments target smaller patient populations and typically require fewer and smaller clinical trials, reducing overall R&amp;D costs [16,23–25].</w:t>
      </w:r>
    </w:p>
    <w:p w14:paraId="38155FB4" w14:textId="77777777" w:rsidR="00393DDD" w:rsidRPr="00CD185B" w:rsidRDefault="00393DDD" w:rsidP="00393DDD">
      <w:pPr>
        <w:rPr>
          <w:rFonts w:cstheme="minorHAnsi"/>
          <w:szCs w:val="22"/>
          <w:lang w:val="en-GB"/>
        </w:rPr>
      </w:pPr>
    </w:p>
    <w:p w14:paraId="27055CE6" w14:textId="77777777" w:rsidR="00393DDD" w:rsidRPr="00CD185B" w:rsidRDefault="00393DDD" w:rsidP="00393DDD">
      <w:pPr>
        <w:rPr>
          <w:rFonts w:cstheme="minorHAnsi"/>
          <w:szCs w:val="22"/>
          <w:lang w:val="en-GB"/>
        </w:rPr>
      </w:pPr>
    </w:p>
    <w:p w14:paraId="13C9BB99" w14:textId="77777777" w:rsidR="00393DDD" w:rsidRPr="00CD185B" w:rsidRDefault="00393DDD" w:rsidP="00393DDD">
      <w:pPr>
        <w:rPr>
          <w:rFonts w:cstheme="minorHAnsi"/>
          <w:szCs w:val="22"/>
          <w:lang w:val="en-GB"/>
        </w:rPr>
      </w:pPr>
    </w:p>
    <w:p w14:paraId="3D2EA078" w14:textId="77777777" w:rsidR="00393DDD" w:rsidRPr="00CD185B" w:rsidRDefault="00393DDD" w:rsidP="00393DDD">
      <w:pPr>
        <w:rPr>
          <w:rFonts w:cstheme="minorHAnsi"/>
          <w:szCs w:val="22"/>
          <w:lang w:val="en-GB"/>
        </w:rPr>
      </w:pPr>
    </w:p>
    <w:p w14:paraId="40CEE4CD" w14:textId="77777777" w:rsidR="00393DDD" w:rsidRPr="00CD185B" w:rsidRDefault="00393DDD" w:rsidP="00393DDD">
      <w:pPr>
        <w:rPr>
          <w:rFonts w:cstheme="minorHAnsi"/>
          <w:szCs w:val="22"/>
          <w:lang w:val="en-GB"/>
        </w:rPr>
      </w:pPr>
    </w:p>
    <w:p w14:paraId="5C2C51B4" w14:textId="77777777" w:rsidR="00393DDD" w:rsidRPr="00CD185B" w:rsidRDefault="00393DDD" w:rsidP="00393DDD">
      <w:pPr>
        <w:rPr>
          <w:rFonts w:cstheme="minorHAnsi"/>
          <w:szCs w:val="22"/>
          <w:lang w:val="en-GB"/>
        </w:rPr>
      </w:pPr>
    </w:p>
    <w:p w14:paraId="2B47604D" w14:textId="77777777" w:rsidR="00393DDD" w:rsidRPr="00CD185B" w:rsidRDefault="00393DDD" w:rsidP="00393DDD">
      <w:pPr>
        <w:rPr>
          <w:rFonts w:cstheme="minorHAnsi"/>
          <w:szCs w:val="22"/>
          <w:lang w:val="en-GB"/>
        </w:rPr>
      </w:pPr>
    </w:p>
    <w:p w14:paraId="6C4631C0" w14:textId="77777777" w:rsidR="00393DDD" w:rsidRPr="00CD185B" w:rsidRDefault="00393DDD" w:rsidP="00393DDD">
      <w:pPr>
        <w:rPr>
          <w:rFonts w:cstheme="minorHAnsi"/>
          <w:szCs w:val="22"/>
          <w:lang w:val="en-GB"/>
        </w:rPr>
      </w:pPr>
    </w:p>
    <w:p w14:paraId="5BEF9367" w14:textId="77777777" w:rsidR="00393DDD" w:rsidRPr="00CD185B" w:rsidRDefault="00393DDD" w:rsidP="00393DDD">
      <w:pPr>
        <w:rPr>
          <w:rFonts w:cstheme="minorHAnsi"/>
          <w:szCs w:val="22"/>
          <w:lang w:val="en-GB"/>
        </w:rPr>
      </w:pPr>
    </w:p>
    <w:p w14:paraId="10F6AB9D" w14:textId="77777777" w:rsidR="00393DDD" w:rsidRPr="00CD185B" w:rsidRDefault="00393DDD" w:rsidP="00393DDD">
      <w:pPr>
        <w:rPr>
          <w:rFonts w:cstheme="minorHAnsi"/>
          <w:szCs w:val="22"/>
          <w:lang w:val="en-GB"/>
        </w:rPr>
      </w:pPr>
    </w:p>
    <w:p w14:paraId="62226DAA" w14:textId="77777777" w:rsidR="00393DDD" w:rsidRPr="00CD185B" w:rsidRDefault="00393DDD" w:rsidP="00393DDD">
      <w:pPr>
        <w:rPr>
          <w:rFonts w:cstheme="minorHAnsi"/>
          <w:szCs w:val="22"/>
          <w:lang w:val="en-GB"/>
        </w:rPr>
      </w:pPr>
    </w:p>
    <w:p w14:paraId="5DD60579" w14:textId="77777777" w:rsidR="00393DDD" w:rsidRPr="00CD185B" w:rsidRDefault="00393DDD" w:rsidP="00393DDD">
      <w:pPr>
        <w:rPr>
          <w:rFonts w:cstheme="minorHAnsi"/>
          <w:szCs w:val="22"/>
          <w:lang w:val="en-GB"/>
        </w:rPr>
      </w:pPr>
    </w:p>
    <w:p w14:paraId="769CD051" w14:textId="77777777" w:rsidR="00393DDD" w:rsidRPr="00CD185B" w:rsidRDefault="00393DDD" w:rsidP="00393DDD">
      <w:pPr>
        <w:rPr>
          <w:rFonts w:cstheme="minorHAnsi"/>
          <w:szCs w:val="22"/>
          <w:lang w:val="en-GB"/>
        </w:rPr>
      </w:pPr>
    </w:p>
    <w:p w14:paraId="78F099B3" w14:textId="77777777" w:rsidR="00393DDD" w:rsidRPr="00CD185B" w:rsidRDefault="00393DDD" w:rsidP="00393DDD">
      <w:pPr>
        <w:rPr>
          <w:rFonts w:cstheme="minorHAnsi"/>
          <w:szCs w:val="22"/>
          <w:lang w:val="en-GB"/>
        </w:rPr>
      </w:pPr>
    </w:p>
    <w:p w14:paraId="414565FB" w14:textId="77777777" w:rsidR="00393DDD" w:rsidRPr="00CD185B" w:rsidRDefault="00393DDD" w:rsidP="00393DDD">
      <w:pPr>
        <w:rPr>
          <w:rFonts w:cstheme="minorHAnsi"/>
          <w:szCs w:val="22"/>
          <w:lang w:val="en-GB"/>
        </w:rPr>
      </w:pPr>
    </w:p>
    <w:p w14:paraId="1E663510" w14:textId="77777777" w:rsidR="00393DDD" w:rsidRPr="00CD185B" w:rsidRDefault="00393DDD" w:rsidP="00393DDD">
      <w:pPr>
        <w:rPr>
          <w:rFonts w:cstheme="minorHAnsi"/>
          <w:szCs w:val="22"/>
          <w:lang w:val="en-GB"/>
        </w:rPr>
      </w:pPr>
    </w:p>
    <w:p w14:paraId="520E6959" w14:textId="77777777" w:rsidR="00393DDD" w:rsidRPr="00CD185B" w:rsidRDefault="00393DDD" w:rsidP="00393DDD">
      <w:pPr>
        <w:rPr>
          <w:rFonts w:cstheme="minorHAnsi"/>
          <w:szCs w:val="22"/>
          <w:lang w:val="en-GB"/>
        </w:rPr>
      </w:pPr>
    </w:p>
    <w:p w14:paraId="0DEC6090" w14:textId="77777777" w:rsidR="00393DDD" w:rsidRPr="00CD185B" w:rsidRDefault="00393DDD" w:rsidP="00393DDD">
      <w:pPr>
        <w:rPr>
          <w:rFonts w:cstheme="minorHAnsi"/>
          <w:szCs w:val="22"/>
          <w:lang w:val="en-GB"/>
        </w:rPr>
      </w:pPr>
    </w:p>
    <w:p w14:paraId="40413700" w14:textId="77777777" w:rsidR="00393DDD" w:rsidRPr="00CD185B" w:rsidRDefault="00393DDD" w:rsidP="00393DDD">
      <w:pPr>
        <w:rPr>
          <w:rFonts w:cstheme="minorHAnsi"/>
          <w:szCs w:val="22"/>
          <w:lang w:val="en-GB"/>
        </w:rPr>
      </w:pPr>
    </w:p>
    <w:p w14:paraId="20E7C7CE" w14:textId="77777777" w:rsidR="00393DDD" w:rsidRPr="00CD185B" w:rsidRDefault="00393DDD" w:rsidP="00393DDD">
      <w:pPr>
        <w:rPr>
          <w:rFonts w:cstheme="minorHAnsi"/>
          <w:szCs w:val="22"/>
          <w:lang w:val="en-GB"/>
        </w:rPr>
      </w:pPr>
    </w:p>
    <w:p w14:paraId="76E8E447" w14:textId="77777777" w:rsidR="00393DDD" w:rsidRDefault="00393DDD" w:rsidP="00393DDD">
      <w:pPr>
        <w:rPr>
          <w:rFonts w:cstheme="minorHAnsi"/>
          <w:szCs w:val="22"/>
          <w:lang w:val="en-GB"/>
        </w:rPr>
      </w:pPr>
    </w:p>
    <w:p w14:paraId="5F8A6BB5" w14:textId="77777777" w:rsidR="00393DDD" w:rsidRDefault="00393DDD" w:rsidP="00393DDD">
      <w:pPr>
        <w:rPr>
          <w:rFonts w:cstheme="minorHAnsi"/>
          <w:szCs w:val="22"/>
          <w:lang w:val="en-GB"/>
        </w:rPr>
      </w:pPr>
    </w:p>
    <w:p w14:paraId="5C52D897" w14:textId="77777777" w:rsidR="00393DDD" w:rsidRDefault="00393DDD" w:rsidP="00393DDD">
      <w:pPr>
        <w:rPr>
          <w:rFonts w:cstheme="minorHAnsi"/>
          <w:szCs w:val="22"/>
          <w:lang w:val="en-GB"/>
        </w:rPr>
      </w:pPr>
    </w:p>
    <w:p w14:paraId="714C10E3" w14:textId="77777777" w:rsidR="00393DDD" w:rsidRDefault="00393DDD" w:rsidP="00393DDD">
      <w:pPr>
        <w:rPr>
          <w:rFonts w:cstheme="minorHAnsi"/>
          <w:szCs w:val="22"/>
          <w:lang w:val="en-GB"/>
        </w:rPr>
      </w:pPr>
    </w:p>
    <w:p w14:paraId="0E30D439" w14:textId="77777777" w:rsidR="00393DDD" w:rsidRPr="00CD185B" w:rsidRDefault="00393DDD" w:rsidP="00393DDD">
      <w:pPr>
        <w:rPr>
          <w:rFonts w:cstheme="minorHAnsi"/>
          <w:szCs w:val="22"/>
          <w:lang w:val="en-GB"/>
        </w:rPr>
      </w:pPr>
    </w:p>
    <w:p w14:paraId="024A36A6" w14:textId="77777777" w:rsidR="00393DDD" w:rsidRPr="004B6A6F" w:rsidRDefault="00393DDD" w:rsidP="00393DDD">
      <w:pPr>
        <w:pStyle w:val="Geenafstand"/>
        <w:rPr>
          <w:rFonts w:cstheme="minorHAnsi"/>
          <w:lang w:val="en-GB"/>
        </w:rPr>
      </w:pPr>
      <w:r w:rsidRPr="004B6A6F">
        <w:rPr>
          <w:rFonts w:cstheme="minorHAnsi"/>
          <w:b/>
          <w:bCs/>
          <w:lang w:val="en-GB"/>
        </w:rPr>
        <w:lastRenderedPageBreak/>
        <w:t xml:space="preserve">Table 2: </w:t>
      </w:r>
      <w:r w:rsidRPr="004B6A6F">
        <w:rPr>
          <w:rFonts w:cstheme="minorHAnsi"/>
          <w:lang w:val="en-GB"/>
        </w:rPr>
        <w:t>Reported R&amp;D Costs for bringing an NME to market</w:t>
      </w:r>
    </w:p>
    <w:tbl>
      <w:tblPr>
        <w:tblStyle w:val="Tabelraster"/>
        <w:tblW w:w="0" w:type="auto"/>
        <w:tblLook w:val="04A0" w:firstRow="1" w:lastRow="0" w:firstColumn="1" w:lastColumn="0" w:noHBand="0" w:noVBand="1"/>
      </w:tblPr>
      <w:tblGrid>
        <w:gridCol w:w="1485"/>
        <w:gridCol w:w="1970"/>
        <w:gridCol w:w="2806"/>
        <w:gridCol w:w="2801"/>
      </w:tblGrid>
      <w:tr w:rsidR="00393DDD" w:rsidRPr="00ED1DE6" w14:paraId="20947B5C" w14:textId="77777777" w:rsidTr="000F198F">
        <w:tc>
          <w:tcPr>
            <w:tcW w:w="0" w:type="auto"/>
            <w:shd w:val="clear" w:color="auto" w:fill="F2F2F2" w:themeFill="background1" w:themeFillShade="F2"/>
            <w:hideMark/>
          </w:tcPr>
          <w:p w14:paraId="741F2AA9" w14:textId="77777777" w:rsidR="00393DDD" w:rsidRPr="00ED1DE6" w:rsidRDefault="00393DDD" w:rsidP="000F198F">
            <w:pPr>
              <w:rPr>
                <w:rFonts w:cstheme="minorHAnsi"/>
                <w:b/>
                <w:bCs/>
                <w:i/>
                <w:iCs/>
                <w:szCs w:val="22"/>
                <w:lang w:val="en-GB"/>
              </w:rPr>
            </w:pPr>
            <w:r w:rsidRPr="00ED1DE6">
              <w:rPr>
                <w:rFonts w:cstheme="minorHAnsi"/>
                <w:b/>
                <w:bCs/>
                <w:i/>
                <w:iCs/>
                <w:szCs w:val="22"/>
                <w:lang w:val="en-GB"/>
              </w:rPr>
              <w:t>Study</w:t>
            </w:r>
            <w:r>
              <w:rPr>
                <w:rFonts w:cstheme="minorHAnsi"/>
                <w:b/>
                <w:bCs/>
                <w:i/>
                <w:iCs/>
                <w:szCs w:val="22"/>
                <w:lang w:val="en-GB"/>
              </w:rPr>
              <w:t>:</w:t>
            </w:r>
          </w:p>
        </w:tc>
        <w:tc>
          <w:tcPr>
            <w:tcW w:w="0" w:type="auto"/>
            <w:shd w:val="clear" w:color="auto" w:fill="F2F2F2" w:themeFill="background1" w:themeFillShade="F2"/>
            <w:hideMark/>
          </w:tcPr>
          <w:p w14:paraId="6AB4839D" w14:textId="77777777" w:rsidR="00393DDD" w:rsidRPr="00ED1DE6" w:rsidRDefault="00393DDD" w:rsidP="000F198F">
            <w:pPr>
              <w:rPr>
                <w:rFonts w:cstheme="minorHAnsi"/>
                <w:b/>
                <w:bCs/>
                <w:i/>
                <w:iCs/>
                <w:szCs w:val="22"/>
                <w:lang w:val="en-GB"/>
              </w:rPr>
            </w:pPr>
            <w:r w:rsidRPr="00ED1DE6">
              <w:rPr>
                <w:rFonts w:cstheme="minorHAnsi"/>
                <w:b/>
                <w:bCs/>
                <w:i/>
                <w:iCs/>
                <w:szCs w:val="22"/>
                <w:lang w:val="en-GB"/>
              </w:rPr>
              <w:t xml:space="preserve">Estimated R&amp;D </w:t>
            </w:r>
            <w:r>
              <w:rPr>
                <w:rFonts w:cstheme="minorHAnsi"/>
                <w:b/>
                <w:bCs/>
                <w:i/>
                <w:iCs/>
                <w:szCs w:val="22"/>
                <w:lang w:val="en-GB"/>
              </w:rPr>
              <w:t>costs:</w:t>
            </w:r>
          </w:p>
        </w:tc>
        <w:tc>
          <w:tcPr>
            <w:tcW w:w="0" w:type="auto"/>
            <w:shd w:val="clear" w:color="auto" w:fill="F2F2F2" w:themeFill="background1" w:themeFillShade="F2"/>
            <w:hideMark/>
          </w:tcPr>
          <w:p w14:paraId="2A2A164C" w14:textId="77777777" w:rsidR="00393DDD" w:rsidRPr="00ED1DE6" w:rsidRDefault="00393DDD" w:rsidP="000F198F">
            <w:pPr>
              <w:rPr>
                <w:rFonts w:cstheme="minorHAnsi"/>
                <w:b/>
                <w:bCs/>
                <w:i/>
                <w:iCs/>
                <w:szCs w:val="22"/>
                <w:lang w:val="en-GB"/>
              </w:rPr>
            </w:pPr>
            <w:r w:rsidRPr="00ED1DE6">
              <w:rPr>
                <w:rFonts w:cstheme="minorHAnsi"/>
                <w:b/>
                <w:bCs/>
                <w:i/>
                <w:iCs/>
                <w:szCs w:val="22"/>
                <w:lang w:val="en-GB"/>
              </w:rPr>
              <w:t>Inclusions</w:t>
            </w:r>
            <w:r>
              <w:rPr>
                <w:rFonts w:cstheme="minorHAnsi"/>
                <w:b/>
                <w:bCs/>
                <w:i/>
                <w:iCs/>
                <w:szCs w:val="22"/>
                <w:lang w:val="en-GB"/>
              </w:rPr>
              <w:t>:</w:t>
            </w:r>
          </w:p>
        </w:tc>
        <w:tc>
          <w:tcPr>
            <w:tcW w:w="0" w:type="auto"/>
            <w:shd w:val="clear" w:color="auto" w:fill="F2F2F2" w:themeFill="background1" w:themeFillShade="F2"/>
            <w:hideMark/>
          </w:tcPr>
          <w:p w14:paraId="2BA6298B" w14:textId="77777777" w:rsidR="00393DDD" w:rsidRPr="00ED1DE6" w:rsidRDefault="00393DDD" w:rsidP="000F198F">
            <w:pPr>
              <w:rPr>
                <w:rFonts w:cstheme="minorHAnsi"/>
                <w:b/>
                <w:bCs/>
                <w:i/>
                <w:iCs/>
                <w:szCs w:val="22"/>
                <w:lang w:val="en-GB"/>
              </w:rPr>
            </w:pPr>
            <w:r w:rsidRPr="00ED1DE6">
              <w:rPr>
                <w:rFonts w:cstheme="minorHAnsi"/>
                <w:b/>
                <w:bCs/>
                <w:i/>
                <w:iCs/>
                <w:szCs w:val="22"/>
                <w:lang w:val="en-GB"/>
              </w:rPr>
              <w:t xml:space="preserve">Methodology and </w:t>
            </w:r>
            <w:r>
              <w:rPr>
                <w:rFonts w:cstheme="minorHAnsi"/>
                <w:b/>
                <w:bCs/>
                <w:i/>
                <w:iCs/>
                <w:szCs w:val="22"/>
                <w:lang w:val="en-GB"/>
              </w:rPr>
              <w:t>d</w:t>
            </w:r>
            <w:r w:rsidRPr="00ED1DE6">
              <w:rPr>
                <w:rFonts w:cstheme="minorHAnsi"/>
                <w:b/>
                <w:bCs/>
                <w:i/>
                <w:iCs/>
                <w:szCs w:val="22"/>
                <w:lang w:val="en-GB"/>
              </w:rPr>
              <w:t xml:space="preserve">ata </w:t>
            </w:r>
            <w:r>
              <w:rPr>
                <w:rFonts w:cstheme="minorHAnsi"/>
                <w:b/>
                <w:bCs/>
                <w:i/>
                <w:iCs/>
                <w:szCs w:val="22"/>
                <w:lang w:val="en-GB"/>
              </w:rPr>
              <w:t>s</w:t>
            </w:r>
            <w:r w:rsidRPr="00ED1DE6">
              <w:rPr>
                <w:rFonts w:cstheme="minorHAnsi"/>
                <w:b/>
                <w:bCs/>
                <w:i/>
                <w:iCs/>
                <w:szCs w:val="22"/>
                <w:lang w:val="en-GB"/>
              </w:rPr>
              <w:t>ources</w:t>
            </w:r>
            <w:r>
              <w:rPr>
                <w:rFonts w:cstheme="minorHAnsi"/>
                <w:b/>
                <w:bCs/>
                <w:i/>
                <w:iCs/>
                <w:szCs w:val="22"/>
                <w:lang w:val="en-GB"/>
              </w:rPr>
              <w:t>:</w:t>
            </w:r>
          </w:p>
        </w:tc>
      </w:tr>
      <w:tr w:rsidR="00393DDD" w:rsidRPr="00ED1DE6" w14:paraId="0C024B74" w14:textId="77777777" w:rsidTr="000F198F">
        <w:tc>
          <w:tcPr>
            <w:tcW w:w="0" w:type="auto"/>
            <w:hideMark/>
          </w:tcPr>
          <w:p w14:paraId="7B4D454C" w14:textId="77777777" w:rsidR="00393DDD" w:rsidRPr="00ED1DE6" w:rsidRDefault="00393DDD" w:rsidP="000F198F">
            <w:pPr>
              <w:rPr>
                <w:rFonts w:cstheme="minorHAnsi"/>
                <w:szCs w:val="22"/>
                <w:lang w:val="en-GB"/>
              </w:rPr>
            </w:pPr>
            <w:proofErr w:type="spellStart"/>
            <w:r w:rsidRPr="00ED1DE6">
              <w:rPr>
                <w:rFonts w:cstheme="minorHAnsi"/>
                <w:szCs w:val="22"/>
                <w:lang w:val="en-GB"/>
              </w:rPr>
              <w:t>DiMasi</w:t>
            </w:r>
            <w:proofErr w:type="spellEnd"/>
            <w:r w:rsidRPr="00ED1DE6">
              <w:rPr>
                <w:rFonts w:cstheme="minorHAnsi"/>
                <w:szCs w:val="22"/>
                <w:lang w:val="en-GB"/>
              </w:rPr>
              <w:t xml:space="preserve"> et al., 2016 [15]</w:t>
            </w:r>
          </w:p>
        </w:tc>
        <w:tc>
          <w:tcPr>
            <w:tcW w:w="0" w:type="auto"/>
            <w:hideMark/>
          </w:tcPr>
          <w:p w14:paraId="5E685C62" w14:textId="77777777" w:rsidR="00393DDD" w:rsidRPr="00ED1DE6" w:rsidRDefault="00393DDD" w:rsidP="000F198F">
            <w:pPr>
              <w:rPr>
                <w:rFonts w:cstheme="minorHAnsi"/>
                <w:szCs w:val="22"/>
                <w:lang w:val="en-GB"/>
              </w:rPr>
            </w:pPr>
            <w:r w:rsidRPr="00ED1DE6">
              <w:rPr>
                <w:rFonts w:cstheme="minorHAnsi"/>
                <w:szCs w:val="22"/>
                <w:lang w:val="en-GB"/>
              </w:rPr>
              <w:t>$2,558 million (2013 USD)</w:t>
            </w:r>
          </w:p>
        </w:tc>
        <w:tc>
          <w:tcPr>
            <w:tcW w:w="0" w:type="auto"/>
            <w:hideMark/>
          </w:tcPr>
          <w:p w14:paraId="64AD0B78" w14:textId="77777777" w:rsidR="00393DDD" w:rsidRPr="00ED1DE6" w:rsidRDefault="00393DDD" w:rsidP="000F198F">
            <w:pPr>
              <w:rPr>
                <w:rFonts w:cstheme="minorHAnsi"/>
                <w:szCs w:val="22"/>
                <w:lang w:val="en-GB"/>
              </w:rPr>
            </w:pPr>
            <w:r w:rsidRPr="00ED1DE6">
              <w:rPr>
                <w:rFonts w:cstheme="minorHAnsi"/>
                <w:szCs w:val="22"/>
                <w:lang w:val="en-GB"/>
              </w:rPr>
              <w:t>Out-of-pocket costs, Cost-of-failure, Cost-of-capital; Preclinical + clinical</w:t>
            </w:r>
          </w:p>
        </w:tc>
        <w:tc>
          <w:tcPr>
            <w:tcW w:w="0" w:type="auto"/>
            <w:hideMark/>
          </w:tcPr>
          <w:p w14:paraId="5D9DDBB3" w14:textId="77777777" w:rsidR="00393DDD" w:rsidRPr="00ED1DE6" w:rsidRDefault="00393DDD" w:rsidP="000F198F">
            <w:pPr>
              <w:rPr>
                <w:rFonts w:cstheme="minorHAnsi"/>
                <w:szCs w:val="22"/>
                <w:lang w:val="en-GB"/>
              </w:rPr>
            </w:pPr>
            <w:r w:rsidRPr="00ED1DE6">
              <w:rPr>
                <w:rFonts w:cstheme="minorHAnsi"/>
                <w:szCs w:val="22"/>
                <w:lang w:val="en-GB"/>
              </w:rPr>
              <w:t>Confidential industry survey data</w:t>
            </w:r>
          </w:p>
        </w:tc>
      </w:tr>
      <w:tr w:rsidR="00393DDD" w:rsidRPr="006A0D71" w14:paraId="015EC612" w14:textId="77777777" w:rsidTr="000F198F">
        <w:tc>
          <w:tcPr>
            <w:tcW w:w="0" w:type="auto"/>
            <w:hideMark/>
          </w:tcPr>
          <w:p w14:paraId="4F156A6B" w14:textId="77777777" w:rsidR="00393DDD" w:rsidRPr="00ED1DE6" w:rsidRDefault="00393DDD" w:rsidP="000F198F">
            <w:pPr>
              <w:rPr>
                <w:rFonts w:cstheme="minorHAnsi"/>
                <w:szCs w:val="22"/>
                <w:lang w:val="en-GB"/>
              </w:rPr>
            </w:pPr>
            <w:r w:rsidRPr="00ED1DE6">
              <w:rPr>
                <w:rFonts w:cstheme="minorHAnsi"/>
                <w:szCs w:val="22"/>
                <w:lang w:val="en-GB"/>
              </w:rPr>
              <w:t>Gupta Strategists, 2019 [16]</w:t>
            </w:r>
          </w:p>
        </w:tc>
        <w:tc>
          <w:tcPr>
            <w:tcW w:w="0" w:type="auto"/>
            <w:hideMark/>
          </w:tcPr>
          <w:p w14:paraId="03A07D71" w14:textId="77777777" w:rsidR="00393DDD" w:rsidRPr="00ED1DE6" w:rsidRDefault="00393DDD" w:rsidP="000F198F">
            <w:pPr>
              <w:rPr>
                <w:rFonts w:cstheme="minorHAnsi"/>
                <w:szCs w:val="22"/>
                <w:lang w:val="en-GB"/>
              </w:rPr>
            </w:pPr>
            <w:r w:rsidRPr="00ED1DE6">
              <w:rPr>
                <w:rFonts w:cstheme="minorHAnsi"/>
                <w:szCs w:val="22"/>
                <w:lang w:val="en-GB"/>
              </w:rPr>
              <w:t>$2,500 million (2017 USD)</w:t>
            </w:r>
          </w:p>
        </w:tc>
        <w:tc>
          <w:tcPr>
            <w:tcW w:w="0" w:type="auto"/>
            <w:hideMark/>
          </w:tcPr>
          <w:p w14:paraId="3EF9011D" w14:textId="77777777" w:rsidR="00393DDD" w:rsidRPr="00ED1DE6" w:rsidRDefault="00393DDD" w:rsidP="000F198F">
            <w:pPr>
              <w:rPr>
                <w:rFonts w:cstheme="minorHAnsi"/>
                <w:szCs w:val="22"/>
                <w:lang w:val="en-GB"/>
              </w:rPr>
            </w:pPr>
            <w:r w:rsidRPr="00ED1DE6">
              <w:rPr>
                <w:rFonts w:cstheme="minorHAnsi"/>
                <w:szCs w:val="22"/>
                <w:lang w:val="en-GB"/>
              </w:rPr>
              <w:t>Out-of-pocket costs, Cost-of-failure, Cost-of-capital; Preclinical + clinical</w:t>
            </w:r>
          </w:p>
        </w:tc>
        <w:tc>
          <w:tcPr>
            <w:tcW w:w="0" w:type="auto"/>
            <w:hideMark/>
          </w:tcPr>
          <w:p w14:paraId="71AC7DB0" w14:textId="77777777" w:rsidR="00393DDD" w:rsidRPr="00ED1DE6" w:rsidRDefault="00393DDD" w:rsidP="000F198F">
            <w:pPr>
              <w:rPr>
                <w:rFonts w:cstheme="minorHAnsi"/>
                <w:szCs w:val="22"/>
                <w:lang w:val="en-GB"/>
              </w:rPr>
            </w:pPr>
            <w:r w:rsidRPr="00ED1DE6">
              <w:rPr>
                <w:rFonts w:cstheme="minorHAnsi"/>
                <w:szCs w:val="22"/>
                <w:lang w:val="en-GB"/>
              </w:rPr>
              <w:t>Top-down model based on secondary data and literature review</w:t>
            </w:r>
          </w:p>
        </w:tc>
      </w:tr>
      <w:tr w:rsidR="00393DDD" w:rsidRPr="006A0D71" w14:paraId="2C641F79" w14:textId="77777777" w:rsidTr="000F198F">
        <w:tc>
          <w:tcPr>
            <w:tcW w:w="0" w:type="auto"/>
            <w:hideMark/>
          </w:tcPr>
          <w:p w14:paraId="2BE16134" w14:textId="77777777" w:rsidR="00393DDD" w:rsidRPr="00ED1DE6" w:rsidRDefault="00393DDD" w:rsidP="000F198F">
            <w:pPr>
              <w:rPr>
                <w:rFonts w:cstheme="minorHAnsi"/>
                <w:szCs w:val="22"/>
                <w:lang w:val="en-GB"/>
              </w:rPr>
            </w:pPr>
            <w:r w:rsidRPr="00ED1DE6">
              <w:rPr>
                <w:rFonts w:cstheme="minorHAnsi"/>
                <w:szCs w:val="22"/>
                <w:lang w:val="en-GB"/>
              </w:rPr>
              <w:t>Paul et al., 2010 [17]</w:t>
            </w:r>
          </w:p>
        </w:tc>
        <w:tc>
          <w:tcPr>
            <w:tcW w:w="0" w:type="auto"/>
            <w:hideMark/>
          </w:tcPr>
          <w:p w14:paraId="005AD85E" w14:textId="77777777" w:rsidR="00393DDD" w:rsidRPr="00ED1DE6" w:rsidRDefault="00393DDD" w:rsidP="000F198F">
            <w:pPr>
              <w:rPr>
                <w:rFonts w:cstheme="minorHAnsi"/>
                <w:szCs w:val="22"/>
                <w:lang w:val="en-GB"/>
              </w:rPr>
            </w:pPr>
            <w:r w:rsidRPr="00ED1DE6">
              <w:rPr>
                <w:rFonts w:cstheme="minorHAnsi"/>
                <w:szCs w:val="22"/>
                <w:lang w:val="en-GB"/>
              </w:rPr>
              <w:t>~$1,800 million (approx., 2010 USD)</w:t>
            </w:r>
          </w:p>
        </w:tc>
        <w:tc>
          <w:tcPr>
            <w:tcW w:w="0" w:type="auto"/>
            <w:hideMark/>
          </w:tcPr>
          <w:p w14:paraId="382B5046" w14:textId="77777777" w:rsidR="00393DDD" w:rsidRPr="00ED1DE6" w:rsidRDefault="00393DDD" w:rsidP="000F198F">
            <w:pPr>
              <w:rPr>
                <w:rFonts w:cstheme="minorHAnsi"/>
                <w:szCs w:val="22"/>
                <w:lang w:val="en-GB"/>
              </w:rPr>
            </w:pPr>
            <w:r w:rsidRPr="00ED1DE6">
              <w:rPr>
                <w:rFonts w:cstheme="minorHAnsi"/>
                <w:szCs w:val="22"/>
                <w:lang w:val="en-GB"/>
              </w:rPr>
              <w:t>Out-of-pocket costs and Cost-of-failure; Preclinical + clinical</w:t>
            </w:r>
          </w:p>
        </w:tc>
        <w:tc>
          <w:tcPr>
            <w:tcW w:w="0" w:type="auto"/>
            <w:hideMark/>
          </w:tcPr>
          <w:p w14:paraId="70B35F83" w14:textId="77777777" w:rsidR="00393DDD" w:rsidRPr="00ED1DE6" w:rsidRDefault="00393DDD" w:rsidP="000F198F">
            <w:pPr>
              <w:rPr>
                <w:rFonts w:cstheme="minorHAnsi"/>
                <w:szCs w:val="22"/>
                <w:lang w:val="en-GB"/>
              </w:rPr>
            </w:pPr>
            <w:proofErr w:type="spellStart"/>
            <w:r w:rsidRPr="00ED1DE6">
              <w:rPr>
                <w:rFonts w:cstheme="minorHAnsi"/>
                <w:szCs w:val="22"/>
                <w:lang w:val="en-GB"/>
              </w:rPr>
              <w:t>Modeled</w:t>
            </w:r>
            <w:proofErr w:type="spellEnd"/>
            <w:r w:rsidRPr="00ED1DE6">
              <w:rPr>
                <w:rFonts w:cstheme="minorHAnsi"/>
                <w:szCs w:val="22"/>
                <w:lang w:val="en-GB"/>
              </w:rPr>
              <w:t xml:space="preserve"> from internal pharmaceutical company experience</w:t>
            </w:r>
          </w:p>
        </w:tc>
      </w:tr>
      <w:tr w:rsidR="00393DDD" w:rsidRPr="006A0D71" w14:paraId="79B76A73" w14:textId="77777777" w:rsidTr="000F198F">
        <w:tc>
          <w:tcPr>
            <w:tcW w:w="0" w:type="auto"/>
            <w:hideMark/>
          </w:tcPr>
          <w:p w14:paraId="18183A9A" w14:textId="77777777" w:rsidR="00393DDD" w:rsidRPr="00ED1DE6" w:rsidRDefault="00393DDD" w:rsidP="000F198F">
            <w:pPr>
              <w:rPr>
                <w:rFonts w:cstheme="minorHAnsi"/>
                <w:szCs w:val="22"/>
                <w:lang w:val="en-GB"/>
              </w:rPr>
            </w:pPr>
            <w:r w:rsidRPr="00ED1DE6">
              <w:rPr>
                <w:rFonts w:cstheme="minorHAnsi"/>
                <w:szCs w:val="22"/>
                <w:lang w:val="en-GB"/>
              </w:rPr>
              <w:t>Prasad et al., 2017 [20]</w:t>
            </w:r>
          </w:p>
        </w:tc>
        <w:tc>
          <w:tcPr>
            <w:tcW w:w="0" w:type="auto"/>
            <w:hideMark/>
          </w:tcPr>
          <w:p w14:paraId="748CF105" w14:textId="77777777" w:rsidR="00393DDD" w:rsidRPr="00ED1DE6" w:rsidRDefault="00393DDD" w:rsidP="000F198F">
            <w:pPr>
              <w:rPr>
                <w:rFonts w:cstheme="minorHAnsi"/>
                <w:szCs w:val="22"/>
                <w:lang w:val="en-GB"/>
              </w:rPr>
            </w:pPr>
            <w:r w:rsidRPr="00ED1DE6">
              <w:rPr>
                <w:rFonts w:cstheme="minorHAnsi"/>
                <w:szCs w:val="22"/>
                <w:lang w:val="en-GB"/>
              </w:rPr>
              <w:t>$648 million (median, 2017 USD)</w:t>
            </w:r>
          </w:p>
        </w:tc>
        <w:tc>
          <w:tcPr>
            <w:tcW w:w="0" w:type="auto"/>
            <w:hideMark/>
          </w:tcPr>
          <w:p w14:paraId="5E074D2B" w14:textId="77777777" w:rsidR="00393DDD" w:rsidRPr="00ED1DE6" w:rsidRDefault="00393DDD" w:rsidP="000F198F">
            <w:pPr>
              <w:rPr>
                <w:rFonts w:cstheme="minorHAnsi"/>
                <w:szCs w:val="22"/>
                <w:lang w:val="en-GB"/>
              </w:rPr>
            </w:pPr>
            <w:r w:rsidRPr="00ED1DE6">
              <w:rPr>
                <w:rFonts w:cstheme="minorHAnsi"/>
                <w:szCs w:val="22"/>
                <w:lang w:val="en-GB"/>
              </w:rPr>
              <w:t>Out-of-pocket only; Cost-of-capital separately estimated (~$794 million with 9% discount rate); Clinical only</w:t>
            </w:r>
          </w:p>
        </w:tc>
        <w:tc>
          <w:tcPr>
            <w:tcW w:w="0" w:type="auto"/>
            <w:hideMark/>
          </w:tcPr>
          <w:p w14:paraId="59284A4E" w14:textId="77777777" w:rsidR="00393DDD" w:rsidRPr="00ED1DE6" w:rsidRDefault="00393DDD" w:rsidP="000F198F">
            <w:pPr>
              <w:rPr>
                <w:rFonts w:cstheme="minorHAnsi"/>
                <w:szCs w:val="22"/>
                <w:lang w:val="en-GB"/>
              </w:rPr>
            </w:pPr>
            <w:r w:rsidRPr="00ED1DE6">
              <w:rPr>
                <w:rFonts w:cstheme="minorHAnsi"/>
                <w:szCs w:val="22"/>
                <w:lang w:val="en-GB"/>
              </w:rPr>
              <w:t>Based on SEC filings from small biotech companies</w:t>
            </w:r>
          </w:p>
        </w:tc>
      </w:tr>
      <w:tr w:rsidR="00393DDD" w:rsidRPr="006A0D71" w14:paraId="355433D6" w14:textId="77777777" w:rsidTr="000F198F">
        <w:tc>
          <w:tcPr>
            <w:tcW w:w="0" w:type="auto"/>
            <w:hideMark/>
          </w:tcPr>
          <w:p w14:paraId="0C7BAEFF" w14:textId="77777777" w:rsidR="00393DDD" w:rsidRPr="00ED1DE6" w:rsidRDefault="00393DDD" w:rsidP="000F198F">
            <w:pPr>
              <w:rPr>
                <w:rFonts w:cstheme="minorHAnsi"/>
                <w:szCs w:val="22"/>
                <w:lang w:val="en-GB"/>
              </w:rPr>
            </w:pPr>
            <w:proofErr w:type="spellStart"/>
            <w:r w:rsidRPr="00ED1DE6">
              <w:rPr>
                <w:rFonts w:cstheme="minorHAnsi"/>
                <w:szCs w:val="22"/>
                <w:lang w:val="en-GB"/>
              </w:rPr>
              <w:t>Schlander</w:t>
            </w:r>
            <w:proofErr w:type="spellEnd"/>
            <w:r w:rsidRPr="00ED1DE6">
              <w:rPr>
                <w:rFonts w:cstheme="minorHAnsi"/>
                <w:szCs w:val="22"/>
                <w:lang w:val="en-GB"/>
              </w:rPr>
              <w:t xml:space="preserve"> et al., 2021 [22]</w:t>
            </w:r>
          </w:p>
        </w:tc>
        <w:tc>
          <w:tcPr>
            <w:tcW w:w="0" w:type="auto"/>
            <w:hideMark/>
          </w:tcPr>
          <w:p w14:paraId="7FF531CB" w14:textId="77777777" w:rsidR="00393DDD" w:rsidRPr="00ED1DE6" w:rsidRDefault="00393DDD" w:rsidP="000F198F">
            <w:pPr>
              <w:rPr>
                <w:rFonts w:cstheme="minorHAnsi"/>
                <w:szCs w:val="22"/>
                <w:lang w:val="en-GB"/>
              </w:rPr>
            </w:pPr>
            <w:r w:rsidRPr="00ED1DE6">
              <w:rPr>
                <w:rFonts w:cstheme="minorHAnsi"/>
                <w:szCs w:val="22"/>
                <w:lang w:val="en-GB"/>
              </w:rPr>
              <w:t>Range: $161 million – $4,540 million (2019 USD)</w:t>
            </w:r>
          </w:p>
        </w:tc>
        <w:tc>
          <w:tcPr>
            <w:tcW w:w="0" w:type="auto"/>
            <w:hideMark/>
          </w:tcPr>
          <w:p w14:paraId="7C842BAF" w14:textId="77777777" w:rsidR="00393DDD" w:rsidRPr="00ED1DE6" w:rsidRDefault="00393DDD" w:rsidP="000F198F">
            <w:pPr>
              <w:rPr>
                <w:rFonts w:cstheme="minorHAnsi"/>
                <w:szCs w:val="22"/>
                <w:lang w:val="en-GB"/>
              </w:rPr>
            </w:pPr>
            <w:r w:rsidRPr="00ED1DE6">
              <w:rPr>
                <w:rFonts w:cstheme="minorHAnsi"/>
                <w:szCs w:val="22"/>
                <w:lang w:val="en-GB"/>
              </w:rPr>
              <w:t>Varies (out-of-pocket, Cost-of-capital; Preclinical + Clinical or Clinical only)</w:t>
            </w:r>
          </w:p>
        </w:tc>
        <w:tc>
          <w:tcPr>
            <w:tcW w:w="0" w:type="auto"/>
            <w:hideMark/>
          </w:tcPr>
          <w:p w14:paraId="758CCAFD" w14:textId="77777777" w:rsidR="00393DDD" w:rsidRPr="00ED1DE6" w:rsidRDefault="00393DDD" w:rsidP="000F198F">
            <w:pPr>
              <w:rPr>
                <w:rFonts w:cstheme="minorHAnsi"/>
                <w:szCs w:val="22"/>
                <w:lang w:val="en-GB"/>
              </w:rPr>
            </w:pPr>
            <w:r w:rsidRPr="00ED1DE6">
              <w:rPr>
                <w:rFonts w:cstheme="minorHAnsi"/>
                <w:szCs w:val="22"/>
                <w:lang w:val="en-GB"/>
              </w:rPr>
              <w:t>Systematic review of 22 published R&amp;D cost studies</w:t>
            </w:r>
          </w:p>
        </w:tc>
      </w:tr>
      <w:tr w:rsidR="00393DDD" w:rsidRPr="006A0D71" w14:paraId="7EC2B550" w14:textId="77777777" w:rsidTr="000F198F">
        <w:tc>
          <w:tcPr>
            <w:tcW w:w="0" w:type="auto"/>
            <w:hideMark/>
          </w:tcPr>
          <w:p w14:paraId="7A55702E" w14:textId="77777777" w:rsidR="00393DDD" w:rsidRPr="00ED1DE6" w:rsidRDefault="00393DDD" w:rsidP="000F198F">
            <w:pPr>
              <w:rPr>
                <w:rFonts w:cstheme="minorHAnsi"/>
                <w:szCs w:val="22"/>
                <w:lang w:val="en-GB"/>
              </w:rPr>
            </w:pPr>
            <w:proofErr w:type="spellStart"/>
            <w:r w:rsidRPr="00ED1DE6">
              <w:rPr>
                <w:rFonts w:cstheme="minorHAnsi"/>
                <w:szCs w:val="22"/>
                <w:lang w:val="en-GB"/>
              </w:rPr>
              <w:t>Sertkaya</w:t>
            </w:r>
            <w:proofErr w:type="spellEnd"/>
            <w:r w:rsidRPr="00ED1DE6">
              <w:rPr>
                <w:rFonts w:cstheme="minorHAnsi"/>
                <w:szCs w:val="22"/>
                <w:lang w:val="en-GB"/>
              </w:rPr>
              <w:t xml:space="preserve"> et al., 2024 [19]</w:t>
            </w:r>
          </w:p>
        </w:tc>
        <w:tc>
          <w:tcPr>
            <w:tcW w:w="0" w:type="auto"/>
            <w:hideMark/>
          </w:tcPr>
          <w:p w14:paraId="3ABD93F1" w14:textId="77777777" w:rsidR="00393DDD" w:rsidRPr="00ED1DE6" w:rsidRDefault="00393DDD" w:rsidP="000F198F">
            <w:pPr>
              <w:rPr>
                <w:rFonts w:cstheme="minorHAnsi"/>
                <w:szCs w:val="22"/>
                <w:lang w:val="en-GB"/>
              </w:rPr>
            </w:pPr>
            <w:r w:rsidRPr="00ED1DE6">
              <w:rPr>
                <w:rFonts w:cstheme="minorHAnsi"/>
                <w:szCs w:val="22"/>
                <w:lang w:val="en-GB"/>
              </w:rPr>
              <w:t>$879.3 million (2018 USD)</w:t>
            </w:r>
          </w:p>
        </w:tc>
        <w:tc>
          <w:tcPr>
            <w:tcW w:w="0" w:type="auto"/>
            <w:hideMark/>
          </w:tcPr>
          <w:p w14:paraId="15E14883" w14:textId="77777777" w:rsidR="00393DDD" w:rsidRPr="00ED1DE6" w:rsidRDefault="00393DDD" w:rsidP="000F198F">
            <w:pPr>
              <w:rPr>
                <w:rFonts w:cstheme="minorHAnsi"/>
                <w:szCs w:val="22"/>
                <w:lang w:val="en-GB"/>
              </w:rPr>
            </w:pPr>
            <w:r w:rsidRPr="00ED1DE6">
              <w:rPr>
                <w:rFonts w:cstheme="minorHAnsi"/>
                <w:szCs w:val="22"/>
                <w:lang w:val="en-GB"/>
              </w:rPr>
              <w:t>Out-of-pocket costs, Cost-of-failure, Cost-of-capital; Preclinical + clinical</w:t>
            </w:r>
          </w:p>
        </w:tc>
        <w:tc>
          <w:tcPr>
            <w:tcW w:w="0" w:type="auto"/>
            <w:hideMark/>
          </w:tcPr>
          <w:p w14:paraId="7EA799C2" w14:textId="77777777" w:rsidR="00393DDD" w:rsidRPr="00ED1DE6" w:rsidRDefault="00393DDD" w:rsidP="000F198F">
            <w:pPr>
              <w:rPr>
                <w:rFonts w:cstheme="minorHAnsi"/>
                <w:szCs w:val="22"/>
                <w:lang w:val="en-GB"/>
              </w:rPr>
            </w:pPr>
            <w:r w:rsidRPr="00ED1DE6">
              <w:rPr>
                <w:rFonts w:cstheme="minorHAnsi"/>
                <w:szCs w:val="22"/>
                <w:lang w:val="en-GB"/>
              </w:rPr>
              <w:t>Based on proprietary clinical contract data (Medidata, IQVIA) and ClinicalTrials.gov</w:t>
            </w:r>
          </w:p>
        </w:tc>
      </w:tr>
      <w:tr w:rsidR="00393DDD" w:rsidRPr="006A0D71" w14:paraId="5399B1A2" w14:textId="77777777" w:rsidTr="000F198F">
        <w:tc>
          <w:tcPr>
            <w:tcW w:w="0" w:type="auto"/>
            <w:hideMark/>
          </w:tcPr>
          <w:p w14:paraId="0EB2B86C" w14:textId="77777777" w:rsidR="00393DDD" w:rsidRPr="00ED1DE6" w:rsidRDefault="00393DDD" w:rsidP="000F198F">
            <w:pPr>
              <w:rPr>
                <w:rFonts w:cstheme="minorHAnsi"/>
                <w:szCs w:val="22"/>
                <w:lang w:val="en-GB"/>
              </w:rPr>
            </w:pPr>
            <w:proofErr w:type="spellStart"/>
            <w:r w:rsidRPr="00ED1DE6">
              <w:rPr>
                <w:rFonts w:cstheme="minorHAnsi"/>
                <w:szCs w:val="22"/>
                <w:lang w:val="en-GB"/>
              </w:rPr>
              <w:t>Wouters</w:t>
            </w:r>
            <w:proofErr w:type="spellEnd"/>
            <w:r w:rsidRPr="00ED1DE6">
              <w:rPr>
                <w:rFonts w:cstheme="minorHAnsi"/>
                <w:szCs w:val="22"/>
                <w:lang w:val="en-GB"/>
              </w:rPr>
              <w:t xml:space="preserve"> et al., 2020 [18]</w:t>
            </w:r>
          </w:p>
        </w:tc>
        <w:tc>
          <w:tcPr>
            <w:tcW w:w="0" w:type="auto"/>
            <w:hideMark/>
          </w:tcPr>
          <w:p w14:paraId="7959D289" w14:textId="77777777" w:rsidR="00393DDD" w:rsidRPr="00ED1DE6" w:rsidRDefault="00393DDD" w:rsidP="000F198F">
            <w:pPr>
              <w:rPr>
                <w:rFonts w:cstheme="minorHAnsi"/>
                <w:szCs w:val="22"/>
                <w:lang w:val="en-GB"/>
              </w:rPr>
            </w:pPr>
            <w:r w:rsidRPr="00ED1DE6">
              <w:rPr>
                <w:rFonts w:cstheme="minorHAnsi"/>
                <w:szCs w:val="22"/>
                <w:lang w:val="en-GB"/>
              </w:rPr>
              <w:t>$1,142 million (median) / $1,559 million (mean) (2018 USD)</w:t>
            </w:r>
          </w:p>
        </w:tc>
        <w:tc>
          <w:tcPr>
            <w:tcW w:w="0" w:type="auto"/>
            <w:hideMark/>
          </w:tcPr>
          <w:p w14:paraId="05EEC0AB" w14:textId="77777777" w:rsidR="00393DDD" w:rsidRPr="00ED1DE6" w:rsidRDefault="00393DDD" w:rsidP="000F198F">
            <w:pPr>
              <w:rPr>
                <w:rFonts w:cstheme="minorHAnsi"/>
                <w:szCs w:val="22"/>
                <w:lang w:val="en-GB"/>
              </w:rPr>
            </w:pPr>
            <w:r w:rsidRPr="00ED1DE6">
              <w:rPr>
                <w:rFonts w:cstheme="minorHAnsi"/>
                <w:szCs w:val="22"/>
                <w:lang w:val="en-GB"/>
              </w:rPr>
              <w:t>Out-of-pocket costs, Cost-of-failure, Cost-of-capital; Preclinical + clinical</w:t>
            </w:r>
          </w:p>
        </w:tc>
        <w:tc>
          <w:tcPr>
            <w:tcW w:w="0" w:type="auto"/>
            <w:hideMark/>
          </w:tcPr>
          <w:p w14:paraId="33620D01" w14:textId="77777777" w:rsidR="00393DDD" w:rsidRPr="00ED1DE6" w:rsidRDefault="00393DDD" w:rsidP="000F198F">
            <w:pPr>
              <w:rPr>
                <w:rFonts w:cstheme="minorHAnsi"/>
                <w:szCs w:val="22"/>
                <w:lang w:val="en-GB"/>
              </w:rPr>
            </w:pPr>
            <w:r w:rsidRPr="00ED1DE6">
              <w:rPr>
                <w:rFonts w:cstheme="minorHAnsi"/>
                <w:szCs w:val="22"/>
                <w:lang w:val="en-GB"/>
              </w:rPr>
              <w:t>Publicly available SEC filings, FDA approvals database, ClinicalTrials.gov</w:t>
            </w:r>
          </w:p>
        </w:tc>
      </w:tr>
    </w:tbl>
    <w:p w14:paraId="4A407EA0" w14:textId="77777777" w:rsidR="00393DDD" w:rsidRPr="004B6A6F" w:rsidRDefault="00393DDD" w:rsidP="00393DDD">
      <w:pPr>
        <w:rPr>
          <w:rFonts w:cstheme="minorHAnsi"/>
          <w:b/>
          <w:bCs/>
          <w:szCs w:val="22"/>
          <w:lang w:val="en-GB"/>
        </w:rPr>
      </w:pPr>
    </w:p>
    <w:p w14:paraId="274693BF" w14:textId="77777777" w:rsidR="00393DDD" w:rsidRPr="00100D50" w:rsidRDefault="00393DDD" w:rsidP="00393DDD">
      <w:pPr>
        <w:rPr>
          <w:rFonts w:cstheme="minorHAnsi"/>
          <w:szCs w:val="22"/>
          <w:lang w:val="en-GB"/>
        </w:rPr>
      </w:pPr>
      <w:r w:rsidRPr="00100D50">
        <w:rPr>
          <w:rFonts w:cstheme="minorHAnsi"/>
          <w:szCs w:val="22"/>
          <w:lang w:val="en-GB"/>
        </w:rPr>
        <w:t>Alternatively, company-specific R&amp;D spending can be obtained from annual reports or financial filings, such as the 10-K statements submitted to the U.S. Securities and Exchange Commission (SEC) by U.S. companies, a method employed in earlier studies [6</w:t>
      </w:r>
      <w:r>
        <w:rPr>
          <w:rFonts w:cstheme="minorHAnsi"/>
          <w:szCs w:val="22"/>
          <w:lang w:val="en-GB"/>
        </w:rPr>
        <w:t>,18</w:t>
      </w:r>
      <w:r w:rsidRPr="00100D50">
        <w:rPr>
          <w:rFonts w:cstheme="minorHAnsi"/>
          <w:szCs w:val="22"/>
          <w:lang w:val="en-GB"/>
        </w:rPr>
        <w:t>]. By dividing total reported R&amp;D expenditures by the number of new products developed or brought to market over a specific period, the average R&amp;D cost per product can be approximated. However, these figures typically reflect total R&amp;D spending, which includes both successful and unsuccessful projects. Moreover, companies may classify a wide range of costs and activities under R&amp;D, which can limit transparency and comparability.</w:t>
      </w:r>
    </w:p>
    <w:p w14:paraId="599ED523" w14:textId="77777777" w:rsidR="00393DDD" w:rsidRPr="00100D50" w:rsidRDefault="00393DDD" w:rsidP="00393DDD">
      <w:pPr>
        <w:rPr>
          <w:rFonts w:cstheme="minorHAnsi"/>
          <w:szCs w:val="22"/>
          <w:lang w:val="en-GB"/>
        </w:rPr>
      </w:pPr>
    </w:p>
    <w:p w14:paraId="3D6375E2" w14:textId="77777777" w:rsidR="00393DDD" w:rsidRPr="00100D50" w:rsidRDefault="00393DDD" w:rsidP="00393DDD">
      <w:pPr>
        <w:rPr>
          <w:rFonts w:cstheme="minorHAnsi"/>
          <w:szCs w:val="22"/>
          <w:lang w:val="en-GB"/>
        </w:rPr>
      </w:pPr>
      <w:r w:rsidRPr="00100D50">
        <w:rPr>
          <w:rFonts w:cstheme="minorHAnsi"/>
          <w:szCs w:val="22"/>
          <w:lang w:val="en-GB"/>
        </w:rPr>
        <w:t>Certain regulatory incentives may influence the net development cost and should be appropriately considered. For example, priority review vouchers granted by the FDA can be resold for substantial sums, thereby partially offsetting R&amp;D investments. Conversely, early access or managed access programs may be in place that allow patients to access a product prior to full approval, which can entail operational and financial burden. The potential impact of such mechanisms on development costs should therefore be carefully assessed and transparently integrated into any pricing analysis.</w:t>
      </w:r>
    </w:p>
    <w:p w14:paraId="2BAE3499" w14:textId="77777777" w:rsidR="00393DDD" w:rsidRPr="00100D50" w:rsidRDefault="00393DDD" w:rsidP="00393DDD">
      <w:pPr>
        <w:rPr>
          <w:rFonts w:cstheme="minorHAnsi"/>
          <w:szCs w:val="22"/>
          <w:lang w:val="en-GB"/>
        </w:rPr>
      </w:pPr>
    </w:p>
    <w:p w14:paraId="55248EB9" w14:textId="77777777" w:rsidR="00393DDD" w:rsidRPr="00100D50" w:rsidRDefault="00393DDD" w:rsidP="00393DDD">
      <w:pPr>
        <w:rPr>
          <w:rFonts w:cstheme="minorHAnsi"/>
          <w:szCs w:val="22"/>
          <w:lang w:val="en-GB"/>
        </w:rPr>
      </w:pPr>
      <w:r w:rsidRPr="00100D50">
        <w:rPr>
          <w:rFonts w:cstheme="minorHAnsi"/>
          <w:b/>
          <w:bCs/>
          <w:szCs w:val="22"/>
          <w:lang w:val="en-GB"/>
        </w:rPr>
        <w:t>Cost-of-failure:</w:t>
      </w:r>
      <w:r w:rsidRPr="00100D50">
        <w:rPr>
          <w:rFonts w:cstheme="minorHAnsi"/>
          <w:szCs w:val="22"/>
          <w:lang w:val="en-GB"/>
        </w:rPr>
        <w:t xml:space="preserve"> The drug development process is marked by high attrition rates, with many candidates failing to reach the market due to safety concerns, insufficient efficacy, or other developmental challenges. The costs associated with these unsuccessful products—referred to as cost-of-failure—represent the financial risk inherent in pharmaceutical innovation and must ultimately be recouped through the pricing of successfully marketed drugs.</w:t>
      </w:r>
    </w:p>
    <w:p w14:paraId="7684316F" w14:textId="77777777" w:rsidR="00393DDD" w:rsidRPr="00100D50" w:rsidRDefault="00393DDD" w:rsidP="00393DDD">
      <w:pPr>
        <w:rPr>
          <w:rFonts w:cstheme="minorHAnsi"/>
          <w:szCs w:val="22"/>
          <w:lang w:val="en-GB"/>
        </w:rPr>
      </w:pPr>
    </w:p>
    <w:p w14:paraId="4869748C" w14:textId="77777777" w:rsidR="00393DDD" w:rsidRPr="00100D50" w:rsidRDefault="00393DDD" w:rsidP="00393DDD">
      <w:pPr>
        <w:rPr>
          <w:rFonts w:cstheme="minorHAnsi"/>
          <w:szCs w:val="22"/>
          <w:lang w:val="en-GB"/>
        </w:rPr>
      </w:pPr>
      <w:r w:rsidRPr="00100D50">
        <w:rPr>
          <w:rFonts w:cstheme="minorHAnsi"/>
          <w:szCs w:val="22"/>
          <w:lang w:val="en-GB"/>
        </w:rPr>
        <w:t xml:space="preserve">These costs-of-failure constitute a substantial portion of total R&amp;D expenditures [16,19] and can be factored into pricing either as a proportion of assigned out-of-pocket R&amp;D costs, using a correction </w:t>
      </w:r>
      <w:r w:rsidRPr="00100D50">
        <w:rPr>
          <w:rFonts w:cstheme="minorHAnsi"/>
          <w:szCs w:val="22"/>
          <w:lang w:val="en-GB"/>
        </w:rPr>
        <w:lastRenderedPageBreak/>
        <w:t>factor that represents the ratio of costs associated with failed candidates to those associated with successful development, or as a separate absolute value. When using absolute values, it is important that the cost-of-failure attributed to each product—similar to R&amp;D costs—are adjusted based on the product’s expected market size and the recoupment period.</w:t>
      </w:r>
    </w:p>
    <w:p w14:paraId="10A8F734" w14:textId="77777777" w:rsidR="00393DDD" w:rsidRPr="00100D50" w:rsidRDefault="00393DDD" w:rsidP="00393DDD">
      <w:pPr>
        <w:rPr>
          <w:rFonts w:cstheme="minorHAnsi"/>
          <w:szCs w:val="22"/>
          <w:lang w:val="en-GB"/>
        </w:rPr>
      </w:pPr>
    </w:p>
    <w:p w14:paraId="3D203F49" w14:textId="77777777" w:rsidR="00393DDD" w:rsidRPr="00100D50" w:rsidRDefault="00393DDD" w:rsidP="00393DDD">
      <w:pPr>
        <w:rPr>
          <w:rFonts w:cstheme="minorHAnsi"/>
          <w:szCs w:val="22"/>
          <w:lang w:val="en-GB"/>
        </w:rPr>
      </w:pPr>
      <w:r w:rsidRPr="00100D50">
        <w:rPr>
          <w:rFonts w:cstheme="minorHAnsi"/>
          <w:b/>
          <w:bCs/>
          <w:szCs w:val="22"/>
          <w:lang w:val="en-GB"/>
        </w:rPr>
        <w:t>Cost-of-capital:</w:t>
      </w:r>
      <w:r w:rsidRPr="00100D50">
        <w:rPr>
          <w:rFonts w:cstheme="minorHAnsi"/>
          <w:szCs w:val="22"/>
          <w:lang w:val="en-GB"/>
        </w:rPr>
        <w:t xml:space="preserve"> The cost-of-capital represents the blended cost of securing financing through both debt (interest payments) and equity (returns expected by investors). A commonly used metric to estimate the cost-of-capital is the Weighted-Average-Cost-of-Capital (WACC), which reflects the average return required by both debt and equity holders, weighted according to their proportion in the firm’s capital structure. In pharmaceutical R&amp;D valuation, WACC is typically used as the discount rate, applied to projected future cash flows to calculate their present value—thereby helping to determine whether expected returns justify the initial investment.</w:t>
      </w:r>
    </w:p>
    <w:p w14:paraId="1928B29B" w14:textId="77777777" w:rsidR="00393DDD" w:rsidRPr="00100D50" w:rsidRDefault="00393DDD" w:rsidP="00393DDD">
      <w:pPr>
        <w:rPr>
          <w:rFonts w:cstheme="minorHAnsi"/>
          <w:szCs w:val="22"/>
          <w:lang w:val="en-GB"/>
        </w:rPr>
      </w:pPr>
    </w:p>
    <w:p w14:paraId="4958AB0A" w14:textId="77777777" w:rsidR="00393DDD" w:rsidRPr="00100D50" w:rsidRDefault="00393DDD" w:rsidP="00393DDD">
      <w:pPr>
        <w:rPr>
          <w:rFonts w:cstheme="minorHAnsi"/>
          <w:szCs w:val="22"/>
          <w:lang w:val="en-GB"/>
        </w:rPr>
      </w:pPr>
      <w:r w:rsidRPr="00100D50">
        <w:rPr>
          <w:rFonts w:cstheme="minorHAnsi"/>
          <w:szCs w:val="22"/>
          <w:lang w:val="en-GB"/>
        </w:rPr>
        <w:t>In pharmaceutical R&amp;D, which is characterized by high attrition rates and extended development timelines [17,26], investors demand high returns to offset risks and delayed profits, making cost-of-capital a key factor in total development costs [3,16]. However, as with R&amp;D costs and cost-of-failure, studies report varying estimates of WACC and cost-of-capital depending on sector-specific risk profiles and the assumptions underlying the applied discount rate, such as whether inflation adjustments—which are separately accounted for in this framework—are incorporated. Reported values for this discount typically range between 7% and 12% [</w:t>
      </w:r>
      <w:r>
        <w:rPr>
          <w:rFonts w:cstheme="minorHAnsi"/>
          <w:szCs w:val="22"/>
          <w:lang w:val="en-GB"/>
        </w:rPr>
        <w:t>3,</w:t>
      </w:r>
      <w:r w:rsidRPr="00100D50">
        <w:rPr>
          <w:rFonts w:cstheme="minorHAnsi"/>
          <w:szCs w:val="22"/>
          <w:lang w:val="en-GB"/>
        </w:rPr>
        <w:t>15,18,19,20].</w:t>
      </w:r>
    </w:p>
    <w:p w14:paraId="69A68A74" w14:textId="77777777" w:rsidR="00393DDD" w:rsidRPr="00100D50" w:rsidRDefault="00393DDD" w:rsidP="00393DDD">
      <w:pPr>
        <w:rPr>
          <w:rFonts w:cstheme="minorHAnsi"/>
          <w:szCs w:val="22"/>
          <w:lang w:val="en-GB"/>
        </w:rPr>
      </w:pPr>
    </w:p>
    <w:p w14:paraId="351A6C97" w14:textId="77777777" w:rsidR="00393DDD" w:rsidRDefault="00393DDD" w:rsidP="00393DDD">
      <w:pPr>
        <w:rPr>
          <w:rFonts w:cstheme="minorHAnsi"/>
          <w:szCs w:val="22"/>
          <w:lang w:val="en-GB"/>
        </w:rPr>
      </w:pPr>
      <w:r w:rsidRPr="00100D50">
        <w:rPr>
          <w:rFonts w:cstheme="minorHAnsi"/>
          <w:szCs w:val="22"/>
          <w:lang w:val="en-GB"/>
        </w:rPr>
        <w:t>As an alternative to using reported discount rates, one could apply a simplified approach in which the absolute estimated cost-of-capital is added directly to the out-of-pocket development costs and adjusted for inflation, eliminating the need for a separate correction factor. In this method, it is also important to account for market size and recoupment period to ensure pricing accuracy.</w:t>
      </w:r>
    </w:p>
    <w:p w14:paraId="51C4BEA3" w14:textId="77777777" w:rsidR="00393DDD" w:rsidRPr="004B6A6F" w:rsidRDefault="00393DDD" w:rsidP="00393DDD">
      <w:pPr>
        <w:rPr>
          <w:rFonts w:cstheme="minorHAnsi"/>
          <w:szCs w:val="22"/>
          <w:lang w:val="en-GB"/>
        </w:rPr>
      </w:pPr>
    </w:p>
    <w:p w14:paraId="03D24EA2" w14:textId="77777777" w:rsidR="00393DDD" w:rsidRPr="004B6A6F" w:rsidRDefault="00393DDD" w:rsidP="00393DDD">
      <w:pPr>
        <w:rPr>
          <w:rFonts w:cstheme="minorHAnsi"/>
          <w:szCs w:val="22"/>
          <w:lang w:val="en-GB"/>
        </w:rPr>
      </w:pPr>
      <w:r w:rsidRPr="004B6A6F">
        <w:rPr>
          <w:rFonts w:cstheme="minorHAnsi"/>
          <w:szCs w:val="22"/>
          <w:lang w:val="en-GB"/>
        </w:rPr>
        <w:t xml:space="preserve">As an alternative to using reported discount rates, one could apply a simplified approach in which the absolute estimated cost-of-capital is added directly to the out-of-pocket development costs and adjusted for inflation, eliminating the need for a separate correction factor. In this method, it is also important to account for market size and recoupment period to ensure pricing accuracy. </w:t>
      </w:r>
    </w:p>
    <w:p w14:paraId="361F410B" w14:textId="77777777" w:rsidR="00393DDD" w:rsidRPr="004B6A6F" w:rsidRDefault="00393DDD" w:rsidP="00393DDD">
      <w:pPr>
        <w:rPr>
          <w:rFonts w:cstheme="minorHAnsi"/>
          <w:szCs w:val="22"/>
          <w:lang w:val="en-GB"/>
        </w:rPr>
      </w:pPr>
    </w:p>
    <w:p w14:paraId="680F1291" w14:textId="77777777" w:rsidR="00393DDD" w:rsidRPr="00EE0B2D" w:rsidRDefault="00393DDD" w:rsidP="00393DDD">
      <w:pPr>
        <w:pStyle w:val="Geenafstand"/>
        <w:rPr>
          <w:rFonts w:cstheme="minorHAnsi"/>
          <w:lang w:val="en-GB"/>
        </w:rPr>
      </w:pPr>
      <w:r w:rsidRPr="00EE0B2D">
        <w:rPr>
          <w:rFonts w:cstheme="minorHAnsi"/>
          <w:b/>
          <w:bCs/>
          <w:lang w:val="en-GB"/>
        </w:rPr>
        <w:t>Inflation index:</w:t>
      </w:r>
      <w:r w:rsidRPr="00EE0B2D">
        <w:rPr>
          <w:rFonts w:cstheme="minorHAnsi"/>
          <w:lang w:val="en-GB"/>
        </w:rPr>
        <w:t xml:space="preserve"> The GDP deflator reflects changes in the overall price levels of goods and services in an economy, serving as a measure of inflation or deflation. Given the lengthy timelines typical of drug development, inflation significantly affects the real costs incurred. To account for this, incorporating the GDP deflator into pricing calculations ensures that product prices accurately reflect the true economic burden over the development period. Inflation adjustments can be indexed using the World Bank’s reported GDP deflator, which provides annual global and regional inflation data. This adjustment can be applied to assigned R&amp;D costs, cost-of-failure, and cost-of-capital, ensuring that all development-related expenses are appropriately adjusted for inflation over time.</w:t>
      </w:r>
    </w:p>
    <w:p w14:paraId="25484122" w14:textId="77777777" w:rsidR="00393DDD" w:rsidRDefault="00393DDD" w:rsidP="00393DDD">
      <w:pPr>
        <w:pStyle w:val="Geenafstand"/>
        <w:rPr>
          <w:rFonts w:cstheme="minorHAnsi"/>
          <w:b/>
          <w:bCs/>
          <w:lang w:val="en-GB"/>
        </w:rPr>
      </w:pPr>
    </w:p>
    <w:p w14:paraId="5FF783E0" w14:textId="77777777" w:rsidR="00393DDD" w:rsidRDefault="00393DDD" w:rsidP="00393DDD">
      <w:pPr>
        <w:pStyle w:val="Geenafstand"/>
        <w:rPr>
          <w:rFonts w:cstheme="minorHAnsi"/>
          <w:lang w:val="en-GB"/>
        </w:rPr>
      </w:pPr>
      <w:r w:rsidRPr="00EE0B2D">
        <w:rPr>
          <w:rFonts w:cstheme="minorHAnsi"/>
          <w:b/>
          <w:bCs/>
          <w:lang w:val="en-GB"/>
        </w:rPr>
        <w:t>Time of development:</w:t>
      </w:r>
      <w:r w:rsidRPr="00EE0B2D">
        <w:rPr>
          <w:rFonts w:cstheme="minorHAnsi"/>
          <w:lang w:val="en-GB"/>
        </w:rPr>
        <w:t xml:space="preserve"> Development timelines influence pricing by shaping key components such as the cost-of-capital and exposure to inflation. As with other components in the pricing framework, the time of development depends on the therapeutic area, product type, and regulatory pathway. For instance, generics and biosimilars typically follow a shorter and more standardized development trajectory compared to NMEs, which often require extensive clinical trials and novel regulatory assessments. Similarly, products benefiting from accelerated approval or orphan designation may experience either shortened or extended timelines, respectively, due to differing data requirements and recruitment challenges.</w:t>
      </w:r>
    </w:p>
    <w:p w14:paraId="358B1000" w14:textId="77777777" w:rsidR="00393DDD" w:rsidRPr="00EE0B2D" w:rsidRDefault="00393DDD" w:rsidP="00393DDD">
      <w:pPr>
        <w:pStyle w:val="Geenafstand"/>
        <w:rPr>
          <w:rFonts w:cstheme="minorHAnsi"/>
          <w:lang w:val="en-GB"/>
        </w:rPr>
      </w:pPr>
    </w:p>
    <w:p w14:paraId="32F1B1DC" w14:textId="77777777" w:rsidR="00393DDD" w:rsidRDefault="00393DDD" w:rsidP="00393DDD">
      <w:pPr>
        <w:pStyle w:val="Geenafstand"/>
        <w:rPr>
          <w:rFonts w:cstheme="minorHAnsi"/>
          <w:lang w:val="en-GB"/>
        </w:rPr>
      </w:pPr>
      <w:r w:rsidRPr="00EE0B2D">
        <w:rPr>
          <w:rFonts w:cstheme="minorHAnsi"/>
          <w:b/>
          <w:bCs/>
          <w:lang w:val="en-GB"/>
        </w:rPr>
        <w:t>Manufacturing costs:</w:t>
      </w:r>
      <w:r w:rsidRPr="00EE0B2D">
        <w:rPr>
          <w:rFonts w:cstheme="minorHAnsi"/>
          <w:lang w:val="en-GB"/>
        </w:rPr>
        <w:t xml:space="preserve"> Annual manufacturing costs can be calculated based on the production cost per treatment and the production volume. Production volume can be estimated considering the number of treatments required per-patient-per-year and the total number of patients expected to receive the </w:t>
      </w:r>
      <w:r w:rsidRPr="00EE0B2D">
        <w:rPr>
          <w:rFonts w:cstheme="minorHAnsi"/>
          <w:lang w:val="en-GB"/>
        </w:rPr>
        <w:lastRenderedPageBreak/>
        <w:t>treatment. In cases where cost transparency is limited, reference can be made to the list prices of comparable products, if available, or to the reported cost-of-goods-sold (COGS) in pharmaceutical companies' annual reports.</w:t>
      </w:r>
    </w:p>
    <w:p w14:paraId="7D4100F0" w14:textId="77777777" w:rsidR="00393DDD" w:rsidRPr="00EE0B2D" w:rsidRDefault="00393DDD" w:rsidP="00393DDD">
      <w:pPr>
        <w:pStyle w:val="Geenafstand"/>
        <w:rPr>
          <w:rFonts w:cstheme="minorHAnsi"/>
          <w:lang w:val="en-GB"/>
        </w:rPr>
      </w:pPr>
    </w:p>
    <w:p w14:paraId="41CDE3FC" w14:textId="77777777" w:rsidR="00393DDD" w:rsidRDefault="00393DDD" w:rsidP="00393DDD">
      <w:pPr>
        <w:pStyle w:val="Geenafstand"/>
        <w:rPr>
          <w:rFonts w:cstheme="minorHAnsi"/>
          <w:lang w:val="en-GB"/>
        </w:rPr>
      </w:pPr>
      <w:r w:rsidRPr="00EE0B2D">
        <w:rPr>
          <w:rFonts w:cstheme="minorHAnsi"/>
          <w:lang w:val="en-GB"/>
        </w:rPr>
        <w:t>In addition to marginal manufacturing costs, initial facility setup costs must also be considered. These include capital investments required to establish manufacturing infrastructure, particularly for products with complex production processes (e.g., biologics or gene therapies). Within this pricing framework, such one-time investments should be attributed to out-of-pocket development costs, alongside R&amp;D and cost-of-failure components. However, it is important to note that the scientific literature on drug development costs remains inconclusive as to whether manufacturing facility investments are already included in published R&amp;D estimates [22]. This ambiguity warrants the need for scrutiny when interpreting or applying such figures in pricing analyses.</w:t>
      </w:r>
    </w:p>
    <w:p w14:paraId="12B00A80" w14:textId="77777777" w:rsidR="00393DDD" w:rsidRPr="00EE0B2D" w:rsidRDefault="00393DDD" w:rsidP="00393DDD">
      <w:pPr>
        <w:pStyle w:val="Geenafstand"/>
        <w:rPr>
          <w:rFonts w:cstheme="minorHAnsi"/>
          <w:lang w:val="en-GB"/>
        </w:rPr>
      </w:pPr>
    </w:p>
    <w:p w14:paraId="068F7CB6" w14:textId="77777777" w:rsidR="00393DDD" w:rsidRDefault="00393DDD" w:rsidP="00393DDD">
      <w:pPr>
        <w:pStyle w:val="Geenafstand"/>
        <w:rPr>
          <w:rFonts w:cstheme="minorHAnsi"/>
          <w:lang w:val="en-GB"/>
        </w:rPr>
      </w:pPr>
      <w:r w:rsidRPr="00EE0B2D">
        <w:rPr>
          <w:rFonts w:cstheme="minorHAnsi"/>
          <w:b/>
          <w:bCs/>
          <w:lang w:val="en-GB"/>
        </w:rPr>
        <w:t>Cost-of-sales:</w:t>
      </w:r>
      <w:r w:rsidRPr="00EE0B2D">
        <w:rPr>
          <w:rFonts w:cstheme="minorHAnsi"/>
          <w:lang w:val="en-GB"/>
        </w:rPr>
        <w:t xml:space="preserve"> A common critique in discussions about high drug prices is that a significant portion of industry expenditure is allocated to marketing and sales rather than R&amp;D [28]. To address concerns regarding excessive marketing expenditures, a cap is placed on the proportion of allowable sales costs relative to manufacturing costs, in line with previously proposed pricing models. The AIM model caps sales expenses at 20% of R&amp;D costs [1]. The framework developed by </w:t>
      </w:r>
      <w:proofErr w:type="spellStart"/>
      <w:r w:rsidRPr="00EE0B2D">
        <w:rPr>
          <w:rFonts w:cstheme="minorHAnsi"/>
          <w:lang w:val="en-GB"/>
        </w:rPr>
        <w:t>Uyl</w:t>
      </w:r>
      <w:proofErr w:type="spellEnd"/>
      <w:r w:rsidRPr="00EE0B2D">
        <w:rPr>
          <w:rFonts w:cstheme="minorHAnsi"/>
          <w:lang w:val="en-GB"/>
        </w:rPr>
        <w:t xml:space="preserve">-de Groot and </w:t>
      </w:r>
      <w:proofErr w:type="spellStart"/>
      <w:r w:rsidRPr="00EE0B2D">
        <w:rPr>
          <w:rFonts w:cstheme="minorHAnsi"/>
          <w:lang w:val="en-GB"/>
        </w:rPr>
        <w:t>Löwenberg</w:t>
      </w:r>
      <w:proofErr w:type="spellEnd"/>
      <w:r w:rsidRPr="00EE0B2D">
        <w:rPr>
          <w:rFonts w:cstheme="minorHAnsi"/>
          <w:lang w:val="en-GB"/>
        </w:rPr>
        <w:t xml:space="preserve"> limits sales expenses to 30% of manufacturing costs [2]. </w:t>
      </w:r>
      <w:proofErr w:type="spellStart"/>
      <w:r w:rsidRPr="00EE0B2D">
        <w:rPr>
          <w:rFonts w:cstheme="minorHAnsi"/>
          <w:lang w:val="en-GB"/>
        </w:rPr>
        <w:t>Nuijten’s</w:t>
      </w:r>
      <w:proofErr w:type="spellEnd"/>
      <w:r w:rsidRPr="00EE0B2D">
        <w:rPr>
          <w:rFonts w:cstheme="minorHAnsi"/>
          <w:lang w:val="en-GB"/>
        </w:rPr>
        <w:t xml:space="preserve"> discounted cash flow model restricts sales costs to 40% of total revenue [3]. These benchmarks can provide a reference for determining a reasonable cap on the allowance for cost-of-sales.</w:t>
      </w:r>
    </w:p>
    <w:p w14:paraId="49B00C09" w14:textId="77777777" w:rsidR="00393DDD" w:rsidRPr="00EE0B2D" w:rsidRDefault="00393DDD" w:rsidP="00393DDD">
      <w:pPr>
        <w:pStyle w:val="Geenafstand"/>
        <w:rPr>
          <w:rFonts w:cstheme="minorHAnsi"/>
          <w:lang w:val="en-GB"/>
        </w:rPr>
      </w:pPr>
    </w:p>
    <w:p w14:paraId="01CA9EC6" w14:textId="77777777" w:rsidR="00393DDD" w:rsidRDefault="00393DDD" w:rsidP="00393DDD">
      <w:pPr>
        <w:pStyle w:val="Geenafstand"/>
        <w:rPr>
          <w:rFonts w:cstheme="minorHAnsi"/>
          <w:lang w:val="en-GB"/>
        </w:rPr>
      </w:pPr>
      <w:r w:rsidRPr="00EE0B2D">
        <w:rPr>
          <w:rFonts w:cstheme="minorHAnsi"/>
          <w:b/>
          <w:bCs/>
          <w:lang w:val="en-GB"/>
        </w:rPr>
        <w:t>Profit:</w:t>
      </w:r>
      <w:r w:rsidRPr="00EE0B2D">
        <w:rPr>
          <w:rFonts w:cstheme="minorHAnsi"/>
          <w:lang w:val="en-GB"/>
        </w:rPr>
        <w:t xml:space="preserve"> Profit is calculated based on the allocated out-of-pocket costs, which include R&amp;D expenses, cost-of-failure, and manufacturing costs. The development costs (R&amp;D expenses and cost-of-failure) on which profit is calculated are corrected for market size adjustment and the assigned recoupment period but are not capitalised or adjusted for inflation. The rationale for this approach is that applying an additional profit margin on top of the investors' expected rate</w:t>
      </w:r>
      <w:r>
        <w:rPr>
          <w:rFonts w:cstheme="minorHAnsi"/>
          <w:lang w:val="en-GB"/>
        </w:rPr>
        <w:t>-</w:t>
      </w:r>
      <w:r w:rsidRPr="00EE0B2D">
        <w:rPr>
          <w:rFonts w:cstheme="minorHAnsi"/>
          <w:lang w:val="en-GB"/>
        </w:rPr>
        <w:t>of</w:t>
      </w:r>
      <w:r>
        <w:rPr>
          <w:rFonts w:cstheme="minorHAnsi"/>
          <w:lang w:val="en-GB"/>
        </w:rPr>
        <w:t>-</w:t>
      </w:r>
      <w:r w:rsidRPr="00EE0B2D">
        <w:rPr>
          <w:rFonts w:cstheme="minorHAnsi"/>
          <w:lang w:val="en-GB"/>
        </w:rPr>
        <w:t>return would be considered unreasonable.</w:t>
      </w:r>
    </w:p>
    <w:p w14:paraId="5539BBD0" w14:textId="77777777" w:rsidR="00393DDD" w:rsidRPr="00EE0B2D" w:rsidRDefault="00393DDD" w:rsidP="00393DDD">
      <w:pPr>
        <w:pStyle w:val="Geenafstand"/>
        <w:rPr>
          <w:rFonts w:cstheme="minorHAnsi"/>
          <w:lang w:val="en-GB"/>
        </w:rPr>
      </w:pPr>
    </w:p>
    <w:p w14:paraId="22E70903" w14:textId="77777777" w:rsidR="00393DDD" w:rsidRDefault="00393DDD" w:rsidP="00393DDD">
      <w:pPr>
        <w:pStyle w:val="Geenafstand"/>
        <w:rPr>
          <w:rFonts w:cstheme="minorHAnsi"/>
          <w:lang w:val="en-GB"/>
        </w:rPr>
      </w:pPr>
      <w:r w:rsidRPr="00EE0B2D">
        <w:rPr>
          <w:rFonts w:cstheme="minorHAnsi"/>
          <w:b/>
          <w:bCs/>
          <w:lang w:val="en-GB"/>
        </w:rPr>
        <w:t>Innovation bonus:</w:t>
      </w:r>
      <w:r w:rsidRPr="00EE0B2D">
        <w:rPr>
          <w:rFonts w:cstheme="minorHAnsi"/>
          <w:lang w:val="en-GB"/>
        </w:rPr>
        <w:t xml:space="preserve"> In line with previously proposed pricing approaches, a value-driven innovation bonus can be applied to prioritize the development of drugs that address critical societal needs. This approach rewards pharmaceutical innovation based on its added value to patients and healthcare systems. The AIM model [1] can serve as a reference framework, awarding a bonus ranging from 5% to 40% of total costs, determined by seven distinct criteria (Table 3). These criteria help assess the therapeutic impact of a new drug and ensure that pricing accounts for its contribution to medical advancements.</w:t>
      </w:r>
    </w:p>
    <w:p w14:paraId="14517888" w14:textId="77777777" w:rsidR="00393DDD" w:rsidRPr="00EE0B2D" w:rsidRDefault="00393DDD" w:rsidP="00393DDD">
      <w:pPr>
        <w:pStyle w:val="Geenafstand"/>
        <w:rPr>
          <w:rFonts w:cstheme="minorHAnsi"/>
          <w:lang w:val="en-GB"/>
        </w:rPr>
      </w:pPr>
    </w:p>
    <w:p w14:paraId="1489B4FA" w14:textId="77777777" w:rsidR="00393DDD" w:rsidRPr="00EE0B2D" w:rsidRDefault="00393DDD" w:rsidP="00393DDD">
      <w:pPr>
        <w:pStyle w:val="Geenafstand"/>
        <w:rPr>
          <w:rFonts w:cstheme="minorHAnsi"/>
          <w:lang w:val="en-GB"/>
        </w:rPr>
      </w:pPr>
      <w:r w:rsidRPr="00EE0B2D">
        <w:rPr>
          <w:rFonts w:cstheme="minorHAnsi"/>
          <w:lang w:val="en-GB"/>
        </w:rPr>
        <w:t>When assigning this premium within this framework, it is applied in the same manner as the profit margin—based on allocated out-of-pocket costs, including R&amp;D expenses, failure costs, and manufacturing costs. As before, the calculation is derived from non-capitalized development costs, not adjusted for inflation, but corrected for market size adjustment and the assigned recoupment period.</w:t>
      </w:r>
    </w:p>
    <w:p w14:paraId="01F09DCF" w14:textId="77777777" w:rsidR="00393DDD" w:rsidRPr="004B6A6F" w:rsidRDefault="00393DDD" w:rsidP="00393DDD">
      <w:pPr>
        <w:pStyle w:val="Geenafstand"/>
        <w:rPr>
          <w:rFonts w:cstheme="minorHAnsi"/>
          <w:lang w:val="en-GB"/>
        </w:rPr>
      </w:pPr>
    </w:p>
    <w:p w14:paraId="06E2D084" w14:textId="77777777" w:rsidR="00393DDD" w:rsidRPr="004B6A6F" w:rsidRDefault="00393DDD" w:rsidP="00393DDD">
      <w:pPr>
        <w:pStyle w:val="Geenafstand"/>
        <w:rPr>
          <w:rFonts w:cstheme="minorHAnsi"/>
          <w:lang w:val="en-GB"/>
        </w:rPr>
      </w:pPr>
    </w:p>
    <w:p w14:paraId="466601EA" w14:textId="77777777" w:rsidR="00393DDD" w:rsidRPr="004B6A6F" w:rsidRDefault="00393DDD" w:rsidP="00393DDD">
      <w:pPr>
        <w:pStyle w:val="Geenafstand"/>
        <w:rPr>
          <w:rFonts w:cstheme="minorHAnsi"/>
          <w:lang w:val="en-GB"/>
        </w:rPr>
      </w:pPr>
    </w:p>
    <w:p w14:paraId="5264540D" w14:textId="77777777" w:rsidR="00393DDD" w:rsidRPr="004B6A6F" w:rsidRDefault="00393DDD" w:rsidP="00393DDD">
      <w:pPr>
        <w:pStyle w:val="Geenafstand"/>
        <w:rPr>
          <w:rFonts w:cstheme="minorHAnsi"/>
          <w:lang w:val="en-GB"/>
        </w:rPr>
      </w:pPr>
    </w:p>
    <w:p w14:paraId="6DF95069" w14:textId="77777777" w:rsidR="00393DDD" w:rsidRPr="004B6A6F" w:rsidRDefault="00393DDD" w:rsidP="00393DDD">
      <w:pPr>
        <w:pStyle w:val="Geenafstand"/>
        <w:rPr>
          <w:rFonts w:cstheme="minorHAnsi"/>
          <w:lang w:val="en-GB"/>
        </w:rPr>
      </w:pPr>
    </w:p>
    <w:p w14:paraId="108EB63F" w14:textId="77777777" w:rsidR="00393DDD" w:rsidRPr="004B6A6F" w:rsidRDefault="00393DDD" w:rsidP="00393DDD">
      <w:pPr>
        <w:pStyle w:val="Geenafstand"/>
        <w:rPr>
          <w:rFonts w:cstheme="minorHAnsi"/>
          <w:lang w:val="en-GB"/>
        </w:rPr>
      </w:pPr>
    </w:p>
    <w:p w14:paraId="4DF24A28" w14:textId="77777777" w:rsidR="00393DDD" w:rsidRPr="004B6A6F" w:rsidRDefault="00393DDD" w:rsidP="00393DDD">
      <w:pPr>
        <w:pStyle w:val="Geenafstand"/>
        <w:rPr>
          <w:rFonts w:cstheme="minorHAnsi"/>
          <w:lang w:val="en-GB"/>
        </w:rPr>
      </w:pPr>
    </w:p>
    <w:p w14:paraId="6313AE01" w14:textId="77777777" w:rsidR="00393DDD" w:rsidRPr="004B6A6F" w:rsidRDefault="00393DDD" w:rsidP="00393DDD">
      <w:pPr>
        <w:pStyle w:val="Geenafstand"/>
        <w:rPr>
          <w:rFonts w:cstheme="minorHAnsi"/>
          <w:lang w:val="en-GB"/>
        </w:rPr>
      </w:pPr>
    </w:p>
    <w:p w14:paraId="05075587" w14:textId="77777777" w:rsidR="00393DDD" w:rsidRPr="004B6A6F" w:rsidRDefault="00393DDD" w:rsidP="00393DDD">
      <w:pPr>
        <w:pStyle w:val="Geenafstand"/>
        <w:rPr>
          <w:rFonts w:cstheme="minorHAnsi"/>
          <w:lang w:val="en-GB"/>
        </w:rPr>
      </w:pPr>
      <w:r w:rsidRPr="004B6A6F">
        <w:rPr>
          <w:rFonts w:cstheme="minorHAnsi"/>
          <w:lang w:val="en-GB"/>
        </w:rPr>
        <w:lastRenderedPageBreak/>
        <w:br/>
      </w:r>
      <w:r w:rsidRPr="004B6A6F">
        <w:rPr>
          <w:rFonts w:cstheme="minorHAnsi"/>
          <w:b/>
          <w:bCs/>
          <w:lang w:val="en-GB"/>
        </w:rPr>
        <w:t xml:space="preserve">Table 3: </w:t>
      </w:r>
      <w:r w:rsidRPr="004B6A6F">
        <w:rPr>
          <w:rFonts w:cstheme="minorHAnsi"/>
          <w:lang w:val="en-GB"/>
        </w:rPr>
        <w:t>Criteria for assessing the effectiveness of a new medical product and assigning an innovation bonus, adapted from AIM (2021) [1]</w:t>
      </w:r>
    </w:p>
    <w:tbl>
      <w:tblPr>
        <w:tblStyle w:val="Tabelraster"/>
        <w:tblW w:w="9062" w:type="dxa"/>
        <w:tblLook w:val="04A0" w:firstRow="1" w:lastRow="0" w:firstColumn="1" w:lastColumn="0" w:noHBand="0" w:noVBand="1"/>
      </w:tblPr>
      <w:tblGrid>
        <w:gridCol w:w="4531"/>
        <w:gridCol w:w="4531"/>
      </w:tblGrid>
      <w:tr w:rsidR="00393DDD" w:rsidRPr="006A0D71" w14:paraId="1120DF60" w14:textId="77777777" w:rsidTr="000F198F">
        <w:tc>
          <w:tcPr>
            <w:tcW w:w="4531" w:type="dxa"/>
            <w:shd w:val="clear" w:color="auto" w:fill="F2F2F2" w:themeFill="background1" w:themeFillShade="F2"/>
          </w:tcPr>
          <w:p w14:paraId="0568C482" w14:textId="77777777" w:rsidR="00393DDD" w:rsidRPr="004B6A6F" w:rsidRDefault="00393DDD" w:rsidP="000F198F">
            <w:pPr>
              <w:pStyle w:val="Geenafstand"/>
              <w:rPr>
                <w:rFonts w:cstheme="minorHAnsi"/>
                <w:b/>
                <w:bCs/>
                <w:i/>
                <w:iCs/>
                <w:lang w:val="en-GB"/>
              </w:rPr>
            </w:pPr>
            <w:r w:rsidRPr="004B6A6F">
              <w:rPr>
                <w:rFonts w:cstheme="minorHAnsi"/>
                <w:b/>
                <w:bCs/>
                <w:i/>
                <w:iCs/>
                <w:lang w:val="en-GB"/>
              </w:rPr>
              <w:t>Criteria:</w:t>
            </w:r>
          </w:p>
        </w:tc>
        <w:tc>
          <w:tcPr>
            <w:tcW w:w="4531" w:type="dxa"/>
            <w:shd w:val="clear" w:color="auto" w:fill="F2F2F2" w:themeFill="background1" w:themeFillShade="F2"/>
          </w:tcPr>
          <w:p w14:paraId="1F476600" w14:textId="77777777" w:rsidR="00393DDD" w:rsidRPr="004B6A6F" w:rsidRDefault="00393DDD" w:rsidP="000F198F">
            <w:pPr>
              <w:pStyle w:val="Geenafstand"/>
              <w:rPr>
                <w:rFonts w:cstheme="minorHAnsi"/>
                <w:b/>
                <w:bCs/>
                <w:i/>
                <w:iCs/>
                <w:lang w:val="en-GB"/>
              </w:rPr>
            </w:pPr>
            <w:r w:rsidRPr="004B6A6F">
              <w:rPr>
                <w:rFonts w:cstheme="minorHAnsi"/>
                <w:b/>
                <w:bCs/>
                <w:i/>
                <w:iCs/>
                <w:lang w:val="en-GB"/>
              </w:rPr>
              <w:t>Innovation bonus (% of total out-of-pocket costs):</w:t>
            </w:r>
          </w:p>
        </w:tc>
      </w:tr>
      <w:tr w:rsidR="00393DDD" w:rsidRPr="004B6A6F" w14:paraId="167753E4" w14:textId="77777777" w:rsidTr="000F198F">
        <w:tc>
          <w:tcPr>
            <w:tcW w:w="4531" w:type="dxa"/>
          </w:tcPr>
          <w:p w14:paraId="35262364" w14:textId="77777777" w:rsidR="00393DDD" w:rsidRPr="004B6A6F" w:rsidRDefault="00393DDD" w:rsidP="000F198F">
            <w:pPr>
              <w:pStyle w:val="Geenafstand"/>
              <w:rPr>
                <w:rFonts w:cstheme="minorHAnsi"/>
                <w:lang w:val="en-GB"/>
              </w:rPr>
            </w:pPr>
            <w:r w:rsidRPr="004B6A6F">
              <w:rPr>
                <w:rFonts w:cstheme="minorHAnsi"/>
                <w:lang w:val="en-GB"/>
              </w:rPr>
              <w:t>The medicine is indicated for a life-threatening or chronically debilitating or rare disease</w:t>
            </w:r>
          </w:p>
        </w:tc>
        <w:tc>
          <w:tcPr>
            <w:tcW w:w="4531" w:type="dxa"/>
          </w:tcPr>
          <w:p w14:paraId="1328920A" w14:textId="77777777" w:rsidR="00393DDD" w:rsidRPr="004B6A6F" w:rsidRDefault="00393DDD" w:rsidP="000F198F">
            <w:pPr>
              <w:pStyle w:val="Geenafstand"/>
              <w:rPr>
                <w:rFonts w:cstheme="minorHAnsi"/>
                <w:lang w:val="en-GB"/>
              </w:rPr>
            </w:pPr>
            <w:r w:rsidRPr="004B6A6F">
              <w:rPr>
                <w:rFonts w:cstheme="minorHAnsi"/>
                <w:lang w:val="en-GB"/>
              </w:rPr>
              <w:t>5%</w:t>
            </w:r>
          </w:p>
        </w:tc>
      </w:tr>
      <w:tr w:rsidR="00393DDD" w:rsidRPr="004B6A6F" w14:paraId="06F28ADE" w14:textId="77777777" w:rsidTr="000F198F">
        <w:tc>
          <w:tcPr>
            <w:tcW w:w="4531" w:type="dxa"/>
          </w:tcPr>
          <w:p w14:paraId="7ADA0586" w14:textId="77777777" w:rsidR="00393DDD" w:rsidRPr="004B6A6F" w:rsidRDefault="00393DDD" w:rsidP="000F198F">
            <w:pPr>
              <w:pStyle w:val="Geenafstand"/>
              <w:rPr>
                <w:rFonts w:cstheme="minorHAnsi"/>
                <w:lang w:val="en-GB"/>
              </w:rPr>
            </w:pPr>
            <w:r w:rsidRPr="004B6A6F">
              <w:rPr>
                <w:rFonts w:cstheme="minorHAnsi"/>
                <w:lang w:val="en-GB"/>
              </w:rPr>
              <w:t>The medicine has no alternative</w:t>
            </w:r>
          </w:p>
        </w:tc>
        <w:tc>
          <w:tcPr>
            <w:tcW w:w="4531" w:type="dxa"/>
          </w:tcPr>
          <w:p w14:paraId="1912F29F" w14:textId="77777777" w:rsidR="00393DDD" w:rsidRPr="004B6A6F" w:rsidRDefault="00393DDD" w:rsidP="000F198F">
            <w:pPr>
              <w:pStyle w:val="Geenafstand"/>
              <w:rPr>
                <w:rFonts w:cstheme="minorHAnsi"/>
                <w:lang w:val="en-GB"/>
              </w:rPr>
            </w:pPr>
            <w:r w:rsidRPr="004B6A6F">
              <w:rPr>
                <w:rFonts w:cstheme="minorHAnsi"/>
                <w:lang w:val="en-GB"/>
              </w:rPr>
              <w:t>5%</w:t>
            </w:r>
          </w:p>
        </w:tc>
      </w:tr>
      <w:tr w:rsidR="00393DDD" w:rsidRPr="004B6A6F" w14:paraId="7A9B3F22" w14:textId="77777777" w:rsidTr="000F198F">
        <w:tc>
          <w:tcPr>
            <w:tcW w:w="4531" w:type="dxa"/>
          </w:tcPr>
          <w:p w14:paraId="21C6169B" w14:textId="77777777" w:rsidR="00393DDD" w:rsidRPr="004B6A6F" w:rsidRDefault="00393DDD" w:rsidP="000F198F">
            <w:pPr>
              <w:pStyle w:val="Geenafstand"/>
              <w:rPr>
                <w:rFonts w:cstheme="minorHAnsi"/>
                <w:lang w:val="en-GB"/>
              </w:rPr>
            </w:pPr>
            <w:r w:rsidRPr="004B6A6F">
              <w:rPr>
                <w:rFonts w:cstheme="minorHAnsi"/>
                <w:lang w:val="en-GB"/>
              </w:rPr>
              <w:t>The medicine is curative</w:t>
            </w:r>
          </w:p>
        </w:tc>
        <w:tc>
          <w:tcPr>
            <w:tcW w:w="4531" w:type="dxa"/>
          </w:tcPr>
          <w:p w14:paraId="475DF560" w14:textId="77777777" w:rsidR="00393DDD" w:rsidRPr="004B6A6F" w:rsidRDefault="00393DDD" w:rsidP="000F198F">
            <w:pPr>
              <w:pStyle w:val="Geenafstand"/>
              <w:rPr>
                <w:rFonts w:cstheme="minorHAnsi"/>
                <w:lang w:val="en-GB"/>
              </w:rPr>
            </w:pPr>
            <w:r w:rsidRPr="004B6A6F">
              <w:rPr>
                <w:rFonts w:cstheme="minorHAnsi"/>
                <w:lang w:val="en-GB"/>
              </w:rPr>
              <w:t>30%</w:t>
            </w:r>
          </w:p>
        </w:tc>
      </w:tr>
      <w:tr w:rsidR="00393DDD" w:rsidRPr="006A0D71" w14:paraId="040AF88F" w14:textId="77777777" w:rsidTr="000F198F">
        <w:tc>
          <w:tcPr>
            <w:tcW w:w="9062" w:type="dxa"/>
            <w:gridSpan w:val="2"/>
          </w:tcPr>
          <w:p w14:paraId="30D204B2" w14:textId="77777777" w:rsidR="00393DDD" w:rsidRPr="004B6A6F" w:rsidRDefault="00393DDD" w:rsidP="000F198F">
            <w:pPr>
              <w:pStyle w:val="Geenafstand"/>
              <w:rPr>
                <w:rFonts w:cstheme="minorHAnsi"/>
                <w:lang w:val="en-GB"/>
              </w:rPr>
            </w:pPr>
            <w:r w:rsidRPr="004B6A6F">
              <w:rPr>
                <w:rFonts w:cstheme="minorHAnsi"/>
                <w:lang w:val="en-GB"/>
              </w:rPr>
              <w:t>Or if the medicine is NOT curative, the following criteria will apply:</w:t>
            </w:r>
          </w:p>
        </w:tc>
      </w:tr>
      <w:tr w:rsidR="00393DDD" w:rsidRPr="004B6A6F" w14:paraId="2CABC2D9" w14:textId="77777777" w:rsidTr="000F198F">
        <w:tc>
          <w:tcPr>
            <w:tcW w:w="4531" w:type="dxa"/>
          </w:tcPr>
          <w:p w14:paraId="33EE3BE6" w14:textId="77777777" w:rsidR="00393DDD" w:rsidRPr="004B6A6F" w:rsidRDefault="00393DDD" w:rsidP="000F198F">
            <w:pPr>
              <w:pStyle w:val="Geenafstand"/>
              <w:rPr>
                <w:rFonts w:cstheme="minorHAnsi"/>
                <w:lang w:val="en-GB"/>
              </w:rPr>
            </w:pPr>
            <w:r w:rsidRPr="004B6A6F">
              <w:rPr>
                <w:rFonts w:cstheme="minorHAnsi"/>
                <w:lang w:val="en-GB"/>
              </w:rPr>
              <w:t>The medicine has shown progression free survival (PFS) gain vs comparator of at least 6 months or at least 50% more than comparator</w:t>
            </w:r>
          </w:p>
        </w:tc>
        <w:tc>
          <w:tcPr>
            <w:tcW w:w="4531" w:type="dxa"/>
          </w:tcPr>
          <w:p w14:paraId="557CB800" w14:textId="77777777" w:rsidR="00393DDD" w:rsidRPr="004B6A6F" w:rsidRDefault="00393DDD" w:rsidP="000F198F">
            <w:pPr>
              <w:pStyle w:val="Geenafstand"/>
              <w:rPr>
                <w:rFonts w:cstheme="minorHAnsi"/>
                <w:lang w:val="en-GB"/>
              </w:rPr>
            </w:pPr>
            <w:r w:rsidRPr="004B6A6F">
              <w:rPr>
                <w:rFonts w:cstheme="minorHAnsi"/>
                <w:lang w:val="en-GB"/>
              </w:rPr>
              <w:t>5%</w:t>
            </w:r>
          </w:p>
        </w:tc>
      </w:tr>
      <w:tr w:rsidR="00393DDD" w:rsidRPr="004B6A6F" w14:paraId="6D57CAD3" w14:textId="77777777" w:rsidTr="000F198F">
        <w:tc>
          <w:tcPr>
            <w:tcW w:w="4531" w:type="dxa"/>
          </w:tcPr>
          <w:p w14:paraId="545ED96B" w14:textId="77777777" w:rsidR="00393DDD" w:rsidRPr="004B6A6F" w:rsidRDefault="00393DDD" w:rsidP="000F198F">
            <w:pPr>
              <w:pStyle w:val="Geenafstand"/>
              <w:rPr>
                <w:rFonts w:cstheme="minorHAnsi"/>
                <w:lang w:val="en-GB"/>
              </w:rPr>
            </w:pPr>
            <w:r w:rsidRPr="004B6A6F">
              <w:rPr>
                <w:rFonts w:cstheme="minorHAnsi"/>
                <w:lang w:val="en-GB"/>
              </w:rPr>
              <w:t>The medicine has shown overall survival (OS) gain vs comparator of 1 to 6 months</w:t>
            </w:r>
          </w:p>
        </w:tc>
        <w:tc>
          <w:tcPr>
            <w:tcW w:w="4531" w:type="dxa"/>
          </w:tcPr>
          <w:p w14:paraId="55C7CEDD" w14:textId="77777777" w:rsidR="00393DDD" w:rsidRPr="004B6A6F" w:rsidRDefault="00393DDD" w:rsidP="000F198F">
            <w:pPr>
              <w:pStyle w:val="Geenafstand"/>
              <w:rPr>
                <w:rFonts w:cstheme="minorHAnsi"/>
                <w:lang w:val="en-GB"/>
              </w:rPr>
            </w:pPr>
            <w:r w:rsidRPr="004B6A6F">
              <w:rPr>
                <w:rFonts w:cstheme="minorHAnsi"/>
                <w:lang w:val="en-GB"/>
              </w:rPr>
              <w:t>5%</w:t>
            </w:r>
          </w:p>
        </w:tc>
      </w:tr>
      <w:tr w:rsidR="00393DDD" w:rsidRPr="004B6A6F" w14:paraId="6535390B" w14:textId="77777777" w:rsidTr="000F198F">
        <w:tc>
          <w:tcPr>
            <w:tcW w:w="4531" w:type="dxa"/>
          </w:tcPr>
          <w:p w14:paraId="5C0CF8FC" w14:textId="77777777" w:rsidR="00393DDD" w:rsidRPr="004B6A6F" w:rsidRDefault="00393DDD" w:rsidP="000F198F">
            <w:pPr>
              <w:pStyle w:val="Geenafstand"/>
              <w:rPr>
                <w:rFonts w:cstheme="minorHAnsi"/>
                <w:lang w:val="en-GB"/>
              </w:rPr>
            </w:pPr>
            <w:r w:rsidRPr="004B6A6F">
              <w:rPr>
                <w:rFonts w:cstheme="minorHAnsi"/>
                <w:lang w:val="en-GB"/>
              </w:rPr>
              <w:t>The medicine has shown overall survival (OS) gain vs comparator of more than 6 months</w:t>
            </w:r>
          </w:p>
        </w:tc>
        <w:tc>
          <w:tcPr>
            <w:tcW w:w="4531" w:type="dxa"/>
          </w:tcPr>
          <w:p w14:paraId="78B8D0F5" w14:textId="77777777" w:rsidR="00393DDD" w:rsidRPr="004B6A6F" w:rsidRDefault="00393DDD" w:rsidP="000F198F">
            <w:pPr>
              <w:pStyle w:val="Geenafstand"/>
              <w:rPr>
                <w:rFonts w:cstheme="minorHAnsi"/>
                <w:lang w:val="en-GB"/>
              </w:rPr>
            </w:pPr>
            <w:r w:rsidRPr="004B6A6F">
              <w:rPr>
                <w:rFonts w:cstheme="minorHAnsi"/>
                <w:lang w:val="en-GB"/>
              </w:rPr>
              <w:t>10%</w:t>
            </w:r>
          </w:p>
        </w:tc>
      </w:tr>
      <w:tr w:rsidR="00393DDD" w:rsidRPr="004B6A6F" w14:paraId="09BDA519" w14:textId="77777777" w:rsidTr="000F198F">
        <w:tc>
          <w:tcPr>
            <w:tcW w:w="4531" w:type="dxa"/>
          </w:tcPr>
          <w:p w14:paraId="45DA4685" w14:textId="77777777" w:rsidR="00393DDD" w:rsidRPr="004B6A6F" w:rsidRDefault="00393DDD" w:rsidP="000F198F">
            <w:pPr>
              <w:pStyle w:val="Geenafstand"/>
              <w:rPr>
                <w:rFonts w:cstheme="minorHAnsi"/>
                <w:lang w:val="en-GB"/>
              </w:rPr>
            </w:pPr>
            <w:r w:rsidRPr="004B6A6F">
              <w:rPr>
                <w:rFonts w:cstheme="minorHAnsi"/>
                <w:lang w:val="en-GB"/>
              </w:rPr>
              <w:t>The medicine has shown major quality of life (QOL) improvement</w:t>
            </w:r>
          </w:p>
        </w:tc>
        <w:tc>
          <w:tcPr>
            <w:tcW w:w="4531" w:type="dxa"/>
          </w:tcPr>
          <w:p w14:paraId="61D028E4" w14:textId="77777777" w:rsidR="00393DDD" w:rsidRPr="004B6A6F" w:rsidRDefault="00393DDD" w:rsidP="000F198F">
            <w:pPr>
              <w:pStyle w:val="Geenafstand"/>
              <w:rPr>
                <w:rFonts w:cstheme="minorHAnsi"/>
                <w:lang w:val="en-GB"/>
              </w:rPr>
            </w:pPr>
            <w:r w:rsidRPr="004B6A6F">
              <w:rPr>
                <w:rFonts w:cstheme="minorHAnsi"/>
                <w:lang w:val="en-GB"/>
              </w:rPr>
              <w:t>10%</w:t>
            </w:r>
          </w:p>
        </w:tc>
      </w:tr>
    </w:tbl>
    <w:p w14:paraId="4B7363A2" w14:textId="77777777" w:rsidR="00393DDD" w:rsidRPr="004B6A6F" w:rsidRDefault="00393DDD" w:rsidP="00393DDD">
      <w:pPr>
        <w:rPr>
          <w:rFonts w:cstheme="minorHAnsi"/>
          <w:szCs w:val="22"/>
          <w:lang w:val="en-GB"/>
        </w:rPr>
      </w:pPr>
    </w:p>
    <w:p w14:paraId="24C2167E" w14:textId="77777777" w:rsidR="00393DDD" w:rsidRPr="004B6A6F" w:rsidRDefault="00393DDD" w:rsidP="00393DDD">
      <w:pPr>
        <w:rPr>
          <w:b/>
          <w:bCs/>
          <w:lang w:val="en-GB"/>
        </w:rPr>
      </w:pPr>
      <w:r w:rsidRPr="004B6A6F">
        <w:rPr>
          <w:b/>
          <w:bCs/>
          <w:lang w:val="en-GB"/>
        </w:rPr>
        <w:t xml:space="preserve">Number of patients: </w:t>
      </w:r>
      <w:r w:rsidRPr="004B6A6F">
        <w:rPr>
          <w:lang w:val="en-GB"/>
        </w:rPr>
        <w:t xml:space="preserve">The total number of patients eligible for treatment directly impacts pricing, as it defines the market size from which fixed development costs are recovered and influences both marginal production costs and the cost of sales. Ideally, factors such as disease incidence, prevalence, likelihood of contraindications, annual population growth, mortality and drug uptake rate should be considered to estimate sales forecasts, as described by </w:t>
      </w:r>
      <w:proofErr w:type="spellStart"/>
      <w:r w:rsidRPr="004B6A6F">
        <w:rPr>
          <w:lang w:val="en-GB"/>
        </w:rPr>
        <w:t>Nuijten</w:t>
      </w:r>
      <w:proofErr w:type="spellEnd"/>
      <w:r w:rsidRPr="004B6A6F">
        <w:rPr>
          <w:lang w:val="en-GB"/>
        </w:rPr>
        <w:t xml:space="preserve"> and Vis (2016)</w:t>
      </w:r>
      <w:r>
        <w:rPr>
          <w:lang w:val="en-GB"/>
        </w:rPr>
        <w:t xml:space="preserve"> [3]</w:t>
      </w:r>
      <w:r w:rsidRPr="004B6A6F">
        <w:rPr>
          <w:lang w:val="en-GB"/>
        </w:rPr>
        <w:t>. However, obtaining detailed data on these parameters is not always feasible. In such cases, the AIM model assumption can be applied, which posits that 50% of the target population will receive treatment. This figure is then adjusted by dividing it by the number of available competing medications to account for market competition [</w:t>
      </w:r>
      <w:r>
        <w:rPr>
          <w:lang w:val="en-GB"/>
        </w:rPr>
        <w:t>1</w:t>
      </w:r>
      <w:r w:rsidRPr="004B6A6F">
        <w:rPr>
          <w:lang w:val="en-GB"/>
        </w:rPr>
        <w:t>].</w:t>
      </w:r>
      <w:r w:rsidRPr="004B6A6F">
        <w:rPr>
          <w:rFonts w:cstheme="minorHAnsi"/>
          <w:szCs w:val="22"/>
          <w:lang w:val="en-GB"/>
        </w:rPr>
        <w:br/>
      </w:r>
    </w:p>
    <w:p w14:paraId="3B5F3599"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International Association of Mutual Benefit Societies: A European drug pricing model for fair and transparent prices (2021). Accessed 3 Feb 2025</w:t>
      </w:r>
    </w:p>
    <w:p w14:paraId="4E97F6D0" w14:textId="77777777" w:rsidR="00393DDD" w:rsidRPr="00B962F0" w:rsidRDefault="00393DDD" w:rsidP="00393DDD">
      <w:pPr>
        <w:pStyle w:val="Lijstalinea"/>
        <w:numPr>
          <w:ilvl w:val="0"/>
          <w:numId w:val="44"/>
        </w:numPr>
        <w:rPr>
          <w:rFonts w:cstheme="minorHAnsi"/>
          <w:sz w:val="20"/>
          <w:lang w:val="en-GB"/>
        </w:rPr>
      </w:pPr>
      <w:proofErr w:type="spellStart"/>
      <w:r w:rsidRPr="00B962F0">
        <w:rPr>
          <w:rFonts w:cstheme="minorHAnsi"/>
          <w:sz w:val="20"/>
          <w:lang w:val="en-GB"/>
        </w:rPr>
        <w:t>Uyl</w:t>
      </w:r>
      <w:proofErr w:type="spellEnd"/>
      <w:r w:rsidRPr="00B962F0">
        <w:rPr>
          <w:rFonts w:cstheme="minorHAnsi"/>
          <w:sz w:val="20"/>
          <w:lang w:val="en-GB"/>
        </w:rPr>
        <w:t xml:space="preserve">-de Groot, C.A., </w:t>
      </w:r>
      <w:proofErr w:type="spellStart"/>
      <w:r w:rsidRPr="00B962F0">
        <w:rPr>
          <w:rFonts w:cstheme="minorHAnsi"/>
          <w:sz w:val="20"/>
          <w:lang w:val="en-GB"/>
        </w:rPr>
        <w:t>Löwenberg</w:t>
      </w:r>
      <w:proofErr w:type="spellEnd"/>
      <w:r w:rsidRPr="00B962F0">
        <w:rPr>
          <w:rFonts w:cstheme="minorHAnsi"/>
          <w:sz w:val="20"/>
          <w:lang w:val="en-GB"/>
        </w:rPr>
        <w:t xml:space="preserve">, B.: Sustainability and affordability of cancer drugs: a novel pricing model. Nature Reviews Clinical Oncology 15(7), 405–406 (2018). </w:t>
      </w:r>
      <w:hyperlink r:id="rId11" w:tgtFrame="_new" w:history="1">
        <w:r w:rsidRPr="00B962F0">
          <w:rPr>
            <w:rStyle w:val="Hyperlink"/>
            <w:rFonts w:cstheme="minorHAnsi"/>
            <w:sz w:val="20"/>
            <w:lang w:val="en-GB"/>
          </w:rPr>
          <w:t>https://doi.org/10.1038/s41571-018-0027-x</w:t>
        </w:r>
      </w:hyperlink>
    </w:p>
    <w:p w14:paraId="36E4674C" w14:textId="77777777" w:rsidR="00393DDD" w:rsidRPr="00B962F0" w:rsidRDefault="00393DDD" w:rsidP="00393DDD">
      <w:pPr>
        <w:pStyle w:val="Lijstalinea"/>
        <w:numPr>
          <w:ilvl w:val="0"/>
          <w:numId w:val="44"/>
        </w:numPr>
        <w:rPr>
          <w:rFonts w:cstheme="minorHAnsi"/>
          <w:sz w:val="20"/>
          <w:lang w:val="en-GB"/>
        </w:rPr>
      </w:pPr>
      <w:proofErr w:type="spellStart"/>
      <w:r w:rsidRPr="00B962F0">
        <w:rPr>
          <w:rFonts w:cstheme="minorHAnsi"/>
          <w:sz w:val="20"/>
          <w:lang w:val="en-GB"/>
        </w:rPr>
        <w:t>Nuijten</w:t>
      </w:r>
      <w:proofErr w:type="spellEnd"/>
      <w:r w:rsidRPr="00B962F0">
        <w:rPr>
          <w:rFonts w:cstheme="minorHAnsi"/>
          <w:sz w:val="20"/>
          <w:lang w:val="en-GB"/>
        </w:rPr>
        <w:t>, M.J., Vis, J.: Evaluation and valuation of innovative medicinal products. Journal of Rare Diseases Research and Treatment 2(1), 1–9 (2016)</w:t>
      </w:r>
    </w:p>
    <w:p w14:paraId="735BB15D"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 xml:space="preserve">van der </w:t>
      </w:r>
      <w:proofErr w:type="spellStart"/>
      <w:r w:rsidRPr="00B962F0">
        <w:rPr>
          <w:rFonts w:cstheme="minorHAnsi"/>
          <w:sz w:val="20"/>
          <w:lang w:val="en-GB"/>
        </w:rPr>
        <w:t>Schans</w:t>
      </w:r>
      <w:proofErr w:type="spellEnd"/>
      <w:r w:rsidRPr="00B962F0">
        <w:rPr>
          <w:rFonts w:cstheme="minorHAnsi"/>
          <w:sz w:val="20"/>
          <w:lang w:val="en-GB"/>
        </w:rPr>
        <w:t xml:space="preserve">, S., De Loos, F., Boersma, C., Postma, M.J., </w:t>
      </w:r>
      <w:proofErr w:type="spellStart"/>
      <w:r w:rsidRPr="00B962F0">
        <w:rPr>
          <w:rFonts w:cstheme="minorHAnsi"/>
          <w:sz w:val="20"/>
          <w:lang w:val="en-GB"/>
        </w:rPr>
        <w:t>Büller</w:t>
      </w:r>
      <w:proofErr w:type="spellEnd"/>
      <w:r w:rsidRPr="00B962F0">
        <w:rPr>
          <w:rFonts w:cstheme="minorHAnsi"/>
          <w:sz w:val="20"/>
          <w:lang w:val="en-GB"/>
        </w:rPr>
        <w:t xml:space="preserve">, H.: A novel perspective on pharmaceutical R&amp;D costs: opportunities for reductions. Expert Review of Pharmacoeconomics &amp; Outcomes Research 22(2), 167–175 (2022). </w:t>
      </w:r>
      <w:hyperlink r:id="rId12" w:tgtFrame="_new" w:history="1">
        <w:r w:rsidRPr="00B962F0">
          <w:rPr>
            <w:rStyle w:val="Hyperlink"/>
            <w:rFonts w:cstheme="minorHAnsi"/>
            <w:sz w:val="20"/>
            <w:lang w:val="en-GB"/>
          </w:rPr>
          <w:t>https://doi.org/10.1080/14737167.2022.2021513</w:t>
        </w:r>
      </w:hyperlink>
    </w:p>
    <w:p w14:paraId="1FB02610"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 xml:space="preserve">Manders, E.A., van den Berg, S., de Visser, S.J., </w:t>
      </w:r>
      <w:proofErr w:type="spellStart"/>
      <w:r w:rsidRPr="00B962F0">
        <w:rPr>
          <w:rFonts w:cstheme="minorHAnsi"/>
          <w:sz w:val="20"/>
          <w:lang w:val="en-GB"/>
        </w:rPr>
        <w:t>Hollak</w:t>
      </w:r>
      <w:proofErr w:type="spellEnd"/>
      <w:r w:rsidRPr="00B962F0">
        <w:rPr>
          <w:rFonts w:cstheme="minorHAnsi"/>
          <w:sz w:val="20"/>
          <w:lang w:val="en-GB"/>
        </w:rPr>
        <w:t xml:space="preserve">, C.E.: Drug pricing models, no ‘one-size-fits-all’ approach: a systematic review and critical evaluation of pricing models in an evolving pharmaceutical landscape. The European Journal of Health Economics 25, 1–14 (2024). </w:t>
      </w:r>
      <w:hyperlink r:id="rId13" w:tgtFrame="_new" w:history="1">
        <w:r w:rsidRPr="00B962F0">
          <w:rPr>
            <w:rStyle w:val="Hyperlink"/>
            <w:rFonts w:cstheme="minorHAnsi"/>
            <w:sz w:val="20"/>
            <w:lang w:val="en-GB"/>
          </w:rPr>
          <w:t>https://doi.org/10.1007/s10198-024-01579-1</w:t>
        </w:r>
      </w:hyperlink>
    </w:p>
    <w:p w14:paraId="43B0EF3B"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 xml:space="preserve">Rosenberg, N., Manders, E., van den Berg, S., et al.: Application of four pricing models for orphan medicines: a case study for </w:t>
      </w:r>
      <w:proofErr w:type="spellStart"/>
      <w:r w:rsidRPr="00B962F0">
        <w:rPr>
          <w:rFonts w:cstheme="minorHAnsi"/>
          <w:sz w:val="20"/>
          <w:lang w:val="en-GB"/>
        </w:rPr>
        <w:t>lumasiran</w:t>
      </w:r>
      <w:proofErr w:type="spellEnd"/>
      <w:r w:rsidRPr="00B962F0">
        <w:rPr>
          <w:rFonts w:cstheme="minorHAnsi"/>
          <w:sz w:val="20"/>
          <w:lang w:val="en-GB"/>
        </w:rPr>
        <w:t xml:space="preserve">. </w:t>
      </w:r>
      <w:proofErr w:type="spellStart"/>
      <w:r w:rsidRPr="00B962F0">
        <w:rPr>
          <w:rFonts w:cstheme="minorHAnsi"/>
          <w:sz w:val="20"/>
          <w:lang w:val="en-GB"/>
        </w:rPr>
        <w:t>Orphanet</w:t>
      </w:r>
      <w:proofErr w:type="spellEnd"/>
      <w:r w:rsidRPr="00B962F0">
        <w:rPr>
          <w:rFonts w:cstheme="minorHAnsi"/>
          <w:sz w:val="20"/>
          <w:lang w:val="en-GB"/>
        </w:rPr>
        <w:t xml:space="preserve"> Journal of Rare Diseases 19, 485 (2024). </w:t>
      </w:r>
      <w:hyperlink r:id="rId14" w:tgtFrame="_new" w:history="1">
        <w:r w:rsidRPr="00B962F0">
          <w:rPr>
            <w:rStyle w:val="Hyperlink"/>
            <w:rFonts w:cstheme="minorHAnsi"/>
            <w:sz w:val="20"/>
            <w:lang w:val="en-GB"/>
          </w:rPr>
          <w:t>https://doi.org/10.1186/s13023-024-03446-w</w:t>
        </w:r>
      </w:hyperlink>
    </w:p>
    <w:p w14:paraId="75D685D8"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 xml:space="preserve">Brekke, K.R., Dalen, D.M., </w:t>
      </w:r>
      <w:proofErr w:type="spellStart"/>
      <w:r w:rsidRPr="00B962F0">
        <w:rPr>
          <w:rFonts w:cstheme="minorHAnsi"/>
          <w:sz w:val="20"/>
          <w:lang w:val="en-GB"/>
        </w:rPr>
        <w:t>Straume</w:t>
      </w:r>
      <w:proofErr w:type="spellEnd"/>
      <w:r w:rsidRPr="00B962F0">
        <w:rPr>
          <w:rFonts w:cstheme="minorHAnsi"/>
          <w:sz w:val="20"/>
          <w:lang w:val="en-GB"/>
        </w:rPr>
        <w:t xml:space="preserve">, O.R.: Paying for pharmaceuticals: uniform pricing versus two-part tariffs. Journal of Health Economics 83, 102613 (2022). </w:t>
      </w:r>
      <w:hyperlink r:id="rId15" w:tgtFrame="_new" w:history="1">
        <w:r w:rsidRPr="00B962F0">
          <w:rPr>
            <w:rStyle w:val="Hyperlink"/>
            <w:rFonts w:cstheme="minorHAnsi"/>
            <w:sz w:val="20"/>
            <w:lang w:val="en-GB"/>
          </w:rPr>
          <w:t>https://doi.org/10.1016/j.jhealeco.2022.102613</w:t>
        </w:r>
      </w:hyperlink>
    </w:p>
    <w:p w14:paraId="41D9A063"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 xml:space="preserve">Hertzman, P., Miller, P., Tolley, K.: An assessment of innovative pricing schemes for the communication of value: is price discrimination and two-part pricing a way forward? Expert Review of </w:t>
      </w:r>
      <w:r w:rsidRPr="00B962F0">
        <w:rPr>
          <w:rFonts w:cstheme="minorHAnsi"/>
          <w:sz w:val="20"/>
          <w:lang w:val="en-GB"/>
        </w:rPr>
        <w:lastRenderedPageBreak/>
        <w:t xml:space="preserve">Pharmacoeconomics &amp; Outcomes Research 18(1), 5–12 (2018). </w:t>
      </w:r>
      <w:hyperlink r:id="rId16" w:tgtFrame="_new" w:history="1">
        <w:r w:rsidRPr="00B962F0">
          <w:rPr>
            <w:rStyle w:val="Hyperlink"/>
            <w:rFonts w:cstheme="minorHAnsi"/>
            <w:sz w:val="20"/>
            <w:lang w:val="en-GB"/>
          </w:rPr>
          <w:t>https://doi.org/10.1080/14737167.2018.1412508</w:t>
        </w:r>
      </w:hyperlink>
    </w:p>
    <w:p w14:paraId="54EAC59D"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 xml:space="preserve">Hampson, G., </w:t>
      </w:r>
      <w:proofErr w:type="spellStart"/>
      <w:r w:rsidRPr="00B962F0">
        <w:rPr>
          <w:rFonts w:cstheme="minorHAnsi"/>
          <w:sz w:val="20"/>
          <w:lang w:val="en-GB"/>
        </w:rPr>
        <w:t>Steuten</w:t>
      </w:r>
      <w:proofErr w:type="spellEnd"/>
      <w:r w:rsidRPr="00B962F0">
        <w:rPr>
          <w:rFonts w:cstheme="minorHAnsi"/>
          <w:sz w:val="20"/>
          <w:lang w:val="en-GB"/>
        </w:rPr>
        <w:t>, L.: Netflix and pill: is there a role for volume-delinked subscription-style payments beyond antimicrobials? Expert Review of Pharmacoeconomics &amp; Outcomes Research 24(1), 1–3 (2024)</w:t>
      </w:r>
    </w:p>
    <w:p w14:paraId="4DABF518"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 xml:space="preserve">World Bank: Population, total - OECD members. </w:t>
      </w:r>
      <w:hyperlink r:id="rId17" w:tgtFrame="_new" w:history="1">
        <w:r w:rsidRPr="00393DDD">
          <w:rPr>
            <w:rStyle w:val="Hyperlink"/>
            <w:rFonts w:cstheme="minorHAnsi"/>
            <w:sz w:val="20"/>
          </w:rPr>
          <w:t>https://data.worldbank.org/indicator/SP.POP.TOTL?locations=OE</w:t>
        </w:r>
      </w:hyperlink>
      <w:r w:rsidRPr="00393DDD">
        <w:rPr>
          <w:rFonts w:cstheme="minorHAnsi"/>
          <w:sz w:val="20"/>
        </w:rPr>
        <w:t xml:space="preserve"> (2024). </w:t>
      </w:r>
      <w:r w:rsidRPr="00B962F0">
        <w:rPr>
          <w:rFonts w:cstheme="minorHAnsi"/>
          <w:sz w:val="20"/>
          <w:lang w:val="en-GB"/>
        </w:rPr>
        <w:t>Accessed 3 Feb 2025</w:t>
      </w:r>
    </w:p>
    <w:p w14:paraId="58E68A7C"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 xml:space="preserve">Organisation for Economic Co-operation and Development (OECD): Pharmaceutical innovation and access to medicines. OECD Health Policy Studies (2018). </w:t>
      </w:r>
      <w:hyperlink r:id="rId18" w:tgtFrame="_new" w:history="1">
        <w:r w:rsidRPr="00B962F0">
          <w:rPr>
            <w:rStyle w:val="Hyperlink"/>
            <w:rFonts w:cstheme="minorHAnsi"/>
            <w:sz w:val="20"/>
            <w:lang w:val="en-GB"/>
          </w:rPr>
          <w:t>https://doi.org/10.1787/9789264307391-en</w:t>
        </w:r>
      </w:hyperlink>
    </w:p>
    <w:p w14:paraId="1F5B9F0D"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 xml:space="preserve">Kesselheim, A.S., Sinha, M.S., </w:t>
      </w:r>
      <w:proofErr w:type="spellStart"/>
      <w:r w:rsidRPr="00B962F0">
        <w:rPr>
          <w:rFonts w:cstheme="minorHAnsi"/>
          <w:sz w:val="20"/>
          <w:lang w:val="en-GB"/>
        </w:rPr>
        <w:t>Avorn</w:t>
      </w:r>
      <w:proofErr w:type="spellEnd"/>
      <w:r w:rsidRPr="00B962F0">
        <w:rPr>
          <w:rFonts w:cstheme="minorHAnsi"/>
          <w:sz w:val="20"/>
          <w:lang w:val="en-GB"/>
        </w:rPr>
        <w:t xml:space="preserve">, J.: Determinants of market exclusivity for prescription drugs in the United States. JAMA Internal Medicine 177(11), 1658–1664 (2017). </w:t>
      </w:r>
      <w:hyperlink r:id="rId19" w:tgtFrame="_new" w:history="1">
        <w:r w:rsidRPr="00B962F0">
          <w:rPr>
            <w:rStyle w:val="Hyperlink"/>
            <w:rFonts w:cstheme="minorHAnsi"/>
            <w:sz w:val="20"/>
            <w:lang w:val="en-GB"/>
          </w:rPr>
          <w:t>https://doi.org/10.1001/jamainternmed.2017.4329</w:t>
        </w:r>
      </w:hyperlink>
    </w:p>
    <w:p w14:paraId="18F16DB2"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Wang, B., Liu, J., Kesselheim, A.S.: Variations in time of market exclusivity among top-selling prescription drugs in the United States. JAMA Internal Medicine 175(4), 635–637 (2015)</w:t>
      </w:r>
    </w:p>
    <w:p w14:paraId="010A1372"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Rome, B.N., Lee, C.C., Kesselheim, A.S.: Market exclusivity length for drugs with new generic or biosimilar competition, 2012–2018. Clinical Pharmacology &amp; Therapeutics 109(2), 367–371 (2021)</w:t>
      </w:r>
    </w:p>
    <w:p w14:paraId="7A989E5A" w14:textId="77777777" w:rsidR="00393DDD" w:rsidRPr="00B962F0" w:rsidRDefault="00393DDD" w:rsidP="00393DDD">
      <w:pPr>
        <w:pStyle w:val="Lijstalinea"/>
        <w:numPr>
          <w:ilvl w:val="0"/>
          <w:numId w:val="44"/>
        </w:numPr>
        <w:rPr>
          <w:rFonts w:cstheme="minorHAnsi"/>
          <w:sz w:val="20"/>
          <w:lang w:val="en-GB"/>
        </w:rPr>
      </w:pPr>
      <w:proofErr w:type="spellStart"/>
      <w:r w:rsidRPr="00B962F0">
        <w:rPr>
          <w:rFonts w:cstheme="minorHAnsi"/>
          <w:sz w:val="20"/>
          <w:lang w:val="en-GB"/>
        </w:rPr>
        <w:t>DiMasi</w:t>
      </w:r>
      <w:proofErr w:type="spellEnd"/>
      <w:r w:rsidRPr="00B962F0">
        <w:rPr>
          <w:rFonts w:cstheme="minorHAnsi"/>
          <w:sz w:val="20"/>
          <w:lang w:val="en-GB"/>
        </w:rPr>
        <w:t xml:space="preserve">, J.A., Grabowski, H.G., Hansen, R.W.: Innovation in the pharmaceutical industry: new estimates of R&amp;D costs. Journal of Health Economics 47, 20–33 (2016). </w:t>
      </w:r>
      <w:hyperlink r:id="rId20" w:tgtFrame="_new" w:history="1">
        <w:r w:rsidRPr="00B962F0">
          <w:rPr>
            <w:rStyle w:val="Hyperlink"/>
            <w:rFonts w:cstheme="minorHAnsi"/>
            <w:sz w:val="20"/>
            <w:lang w:val="en-GB"/>
          </w:rPr>
          <w:t>https://doi.org/10.1016/j.jhealeco.2016.01.012</w:t>
        </w:r>
      </w:hyperlink>
    </w:p>
    <w:p w14:paraId="4BFFEDC3"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 xml:space="preserve">Jacobs, J., </w:t>
      </w:r>
      <w:proofErr w:type="spellStart"/>
      <w:r w:rsidRPr="00B962F0">
        <w:rPr>
          <w:rFonts w:cstheme="minorHAnsi"/>
          <w:sz w:val="20"/>
          <w:lang w:val="en-GB"/>
        </w:rPr>
        <w:t>Livestro</w:t>
      </w:r>
      <w:proofErr w:type="spellEnd"/>
      <w:r w:rsidRPr="00B962F0">
        <w:rPr>
          <w:rFonts w:cstheme="minorHAnsi"/>
          <w:sz w:val="20"/>
          <w:lang w:val="en-GB"/>
        </w:rPr>
        <w:t xml:space="preserve">, D., </w:t>
      </w:r>
      <w:proofErr w:type="spellStart"/>
      <w:r w:rsidRPr="00B962F0">
        <w:rPr>
          <w:rFonts w:cstheme="minorHAnsi"/>
          <w:sz w:val="20"/>
          <w:lang w:val="en-GB"/>
        </w:rPr>
        <w:t>Oosterwaal</w:t>
      </w:r>
      <w:proofErr w:type="spellEnd"/>
      <w:r w:rsidRPr="00B962F0">
        <w:rPr>
          <w:rFonts w:cstheme="minorHAnsi"/>
          <w:sz w:val="20"/>
          <w:lang w:val="en-GB"/>
        </w:rPr>
        <w:t>, M.: The cost of opportunity: a study on pharmaceutical R&amp;D costs. Gupta Strategists, Amsterdam (2019). Accessed 3 Feb 2025</w:t>
      </w:r>
    </w:p>
    <w:p w14:paraId="34513C04"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 xml:space="preserve">Paul, S.M., </w:t>
      </w:r>
      <w:proofErr w:type="spellStart"/>
      <w:r w:rsidRPr="00B962F0">
        <w:rPr>
          <w:rFonts w:cstheme="minorHAnsi"/>
          <w:sz w:val="20"/>
          <w:lang w:val="en-GB"/>
        </w:rPr>
        <w:t>Mytelka</w:t>
      </w:r>
      <w:proofErr w:type="spellEnd"/>
      <w:r w:rsidRPr="00B962F0">
        <w:rPr>
          <w:rFonts w:cstheme="minorHAnsi"/>
          <w:sz w:val="20"/>
          <w:lang w:val="en-GB"/>
        </w:rPr>
        <w:t xml:space="preserve">, D.S., </w:t>
      </w:r>
      <w:proofErr w:type="spellStart"/>
      <w:r w:rsidRPr="00B962F0">
        <w:rPr>
          <w:rFonts w:cstheme="minorHAnsi"/>
          <w:sz w:val="20"/>
          <w:lang w:val="en-GB"/>
        </w:rPr>
        <w:t>Dunwiddie</w:t>
      </w:r>
      <w:proofErr w:type="spellEnd"/>
      <w:r w:rsidRPr="00B962F0">
        <w:rPr>
          <w:rFonts w:cstheme="minorHAnsi"/>
          <w:sz w:val="20"/>
          <w:lang w:val="en-GB"/>
        </w:rPr>
        <w:t xml:space="preserve">, C.T., </w:t>
      </w:r>
      <w:proofErr w:type="spellStart"/>
      <w:r w:rsidRPr="00B962F0">
        <w:rPr>
          <w:rFonts w:cstheme="minorHAnsi"/>
          <w:sz w:val="20"/>
          <w:lang w:val="en-GB"/>
        </w:rPr>
        <w:t>Persinger</w:t>
      </w:r>
      <w:proofErr w:type="spellEnd"/>
      <w:r w:rsidRPr="00B962F0">
        <w:rPr>
          <w:rFonts w:cstheme="minorHAnsi"/>
          <w:sz w:val="20"/>
          <w:lang w:val="en-GB"/>
        </w:rPr>
        <w:t xml:space="preserve">, C.C., </w:t>
      </w:r>
      <w:proofErr w:type="spellStart"/>
      <w:r w:rsidRPr="00B962F0">
        <w:rPr>
          <w:rFonts w:cstheme="minorHAnsi"/>
          <w:sz w:val="20"/>
          <w:lang w:val="en-GB"/>
        </w:rPr>
        <w:t>Munos</w:t>
      </w:r>
      <w:proofErr w:type="spellEnd"/>
      <w:r w:rsidRPr="00B962F0">
        <w:rPr>
          <w:rFonts w:cstheme="minorHAnsi"/>
          <w:sz w:val="20"/>
          <w:lang w:val="en-GB"/>
        </w:rPr>
        <w:t xml:space="preserve">, B.H., Lindborg, S.R., et al.: How to improve R&amp;D productivity: the pharmaceutical industry's grand challenge. Nature Reviews Drug Discovery 9(3), 203–214 (2010). </w:t>
      </w:r>
      <w:hyperlink r:id="rId21" w:tgtFrame="_new" w:history="1">
        <w:r w:rsidRPr="00B962F0">
          <w:rPr>
            <w:rStyle w:val="Hyperlink"/>
            <w:rFonts w:cstheme="minorHAnsi"/>
            <w:sz w:val="20"/>
            <w:lang w:val="en-GB"/>
          </w:rPr>
          <w:t>https://doi.org/10.1038/nrd3078</w:t>
        </w:r>
      </w:hyperlink>
    </w:p>
    <w:p w14:paraId="2B7827B1" w14:textId="77777777" w:rsidR="00393DDD" w:rsidRPr="00B962F0" w:rsidRDefault="00393DDD" w:rsidP="00393DDD">
      <w:pPr>
        <w:pStyle w:val="Lijstalinea"/>
        <w:numPr>
          <w:ilvl w:val="0"/>
          <w:numId w:val="44"/>
        </w:numPr>
        <w:rPr>
          <w:rFonts w:cstheme="minorHAnsi"/>
          <w:sz w:val="20"/>
          <w:lang w:val="en-GB"/>
        </w:rPr>
      </w:pPr>
      <w:proofErr w:type="spellStart"/>
      <w:r w:rsidRPr="00B962F0">
        <w:rPr>
          <w:rFonts w:cstheme="minorHAnsi"/>
          <w:sz w:val="20"/>
          <w:lang w:val="en-GB"/>
        </w:rPr>
        <w:t>Wouters</w:t>
      </w:r>
      <w:proofErr w:type="spellEnd"/>
      <w:r w:rsidRPr="00B962F0">
        <w:rPr>
          <w:rFonts w:cstheme="minorHAnsi"/>
          <w:sz w:val="20"/>
          <w:lang w:val="en-GB"/>
        </w:rPr>
        <w:t xml:space="preserve">, O.J., McKee, M., </w:t>
      </w:r>
      <w:proofErr w:type="spellStart"/>
      <w:r w:rsidRPr="00B962F0">
        <w:rPr>
          <w:rFonts w:cstheme="minorHAnsi"/>
          <w:sz w:val="20"/>
          <w:lang w:val="en-GB"/>
        </w:rPr>
        <w:t>Luyten</w:t>
      </w:r>
      <w:proofErr w:type="spellEnd"/>
      <w:r w:rsidRPr="00B962F0">
        <w:rPr>
          <w:rFonts w:cstheme="minorHAnsi"/>
          <w:sz w:val="20"/>
          <w:lang w:val="en-GB"/>
        </w:rPr>
        <w:t xml:space="preserve">, J.: Estimated research and development investment needed to bring a new medicine to market, 2009–2018. JAMA 323(9), 844–853 (2020). </w:t>
      </w:r>
      <w:hyperlink r:id="rId22" w:tgtFrame="_new" w:history="1">
        <w:r w:rsidRPr="00B962F0">
          <w:rPr>
            <w:rStyle w:val="Hyperlink"/>
            <w:rFonts w:cstheme="minorHAnsi"/>
            <w:sz w:val="20"/>
            <w:lang w:val="en-GB"/>
          </w:rPr>
          <w:t>https://doi.org/10.1001/jama.2020.1166</w:t>
        </w:r>
      </w:hyperlink>
    </w:p>
    <w:p w14:paraId="3B977AA8" w14:textId="77777777" w:rsidR="00393DDD" w:rsidRPr="00B962F0" w:rsidRDefault="00393DDD" w:rsidP="00393DDD">
      <w:pPr>
        <w:pStyle w:val="Lijstalinea"/>
        <w:numPr>
          <w:ilvl w:val="0"/>
          <w:numId w:val="44"/>
        </w:numPr>
        <w:rPr>
          <w:rFonts w:cstheme="minorHAnsi"/>
          <w:sz w:val="20"/>
          <w:lang w:val="en-GB"/>
        </w:rPr>
      </w:pPr>
      <w:proofErr w:type="spellStart"/>
      <w:r w:rsidRPr="00B962F0">
        <w:rPr>
          <w:rFonts w:cstheme="minorHAnsi"/>
          <w:sz w:val="20"/>
          <w:lang w:val="en-GB"/>
        </w:rPr>
        <w:t>Sertkaya</w:t>
      </w:r>
      <w:proofErr w:type="spellEnd"/>
      <w:r w:rsidRPr="00B962F0">
        <w:rPr>
          <w:rFonts w:cstheme="minorHAnsi"/>
          <w:sz w:val="20"/>
          <w:lang w:val="en-GB"/>
        </w:rPr>
        <w:t xml:space="preserve">, A., </w:t>
      </w:r>
      <w:proofErr w:type="spellStart"/>
      <w:r w:rsidRPr="00B962F0">
        <w:rPr>
          <w:rFonts w:cstheme="minorHAnsi"/>
          <w:sz w:val="20"/>
          <w:lang w:val="en-GB"/>
        </w:rPr>
        <w:t>Beleche</w:t>
      </w:r>
      <w:proofErr w:type="spellEnd"/>
      <w:r w:rsidRPr="00B962F0">
        <w:rPr>
          <w:rFonts w:cstheme="minorHAnsi"/>
          <w:sz w:val="20"/>
          <w:lang w:val="en-GB"/>
        </w:rPr>
        <w:t xml:space="preserve">, T., Jessup, A., Sommers, B.D.: Costs of drug development and research and development intensity in the U.S., 2000–2018. JAMA Network Open 7(6), e2415445 (2024). </w:t>
      </w:r>
      <w:hyperlink r:id="rId23" w:tgtFrame="_new" w:history="1">
        <w:r w:rsidRPr="00B962F0">
          <w:rPr>
            <w:rStyle w:val="Hyperlink"/>
            <w:rFonts w:cstheme="minorHAnsi"/>
            <w:sz w:val="20"/>
            <w:lang w:val="en-GB"/>
          </w:rPr>
          <w:t>https://doi.org/10.1001/jamanetworkopen.2024.15445</w:t>
        </w:r>
      </w:hyperlink>
    </w:p>
    <w:p w14:paraId="3D495234"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 xml:space="preserve">Prasad, V., </w:t>
      </w:r>
      <w:proofErr w:type="spellStart"/>
      <w:r w:rsidRPr="00B962F0">
        <w:rPr>
          <w:rFonts w:cstheme="minorHAnsi"/>
          <w:sz w:val="20"/>
          <w:lang w:val="en-GB"/>
        </w:rPr>
        <w:t>Mailankody</w:t>
      </w:r>
      <w:proofErr w:type="spellEnd"/>
      <w:r w:rsidRPr="00B962F0">
        <w:rPr>
          <w:rFonts w:cstheme="minorHAnsi"/>
          <w:sz w:val="20"/>
          <w:lang w:val="en-GB"/>
        </w:rPr>
        <w:t xml:space="preserve">, S.: Research and development spending to bring a single cancer drug to market and revenues after approval. JAMA Internal Medicine 177(11), 1569–1575 (2017). </w:t>
      </w:r>
      <w:hyperlink r:id="rId24" w:tgtFrame="_new" w:history="1">
        <w:r w:rsidRPr="00B962F0">
          <w:rPr>
            <w:rStyle w:val="Hyperlink"/>
            <w:rFonts w:cstheme="minorHAnsi"/>
            <w:sz w:val="20"/>
            <w:lang w:val="en-GB"/>
          </w:rPr>
          <w:t>https://doi.org/10.1001/jamainternmed.2017.3601</w:t>
        </w:r>
      </w:hyperlink>
    </w:p>
    <w:p w14:paraId="40E36032"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 xml:space="preserve">Light, D.W., </w:t>
      </w:r>
      <w:proofErr w:type="spellStart"/>
      <w:r w:rsidRPr="00B962F0">
        <w:rPr>
          <w:rFonts w:cstheme="minorHAnsi"/>
          <w:sz w:val="20"/>
          <w:lang w:val="en-GB"/>
        </w:rPr>
        <w:t>Lexchin</w:t>
      </w:r>
      <w:proofErr w:type="spellEnd"/>
      <w:r w:rsidRPr="00B962F0">
        <w:rPr>
          <w:rFonts w:cstheme="minorHAnsi"/>
          <w:sz w:val="20"/>
          <w:lang w:val="en-GB"/>
        </w:rPr>
        <w:t xml:space="preserve">, J.R.: Pharmaceutical research and development: what do we get for all that money? BMJ 345, e4348 (2012). </w:t>
      </w:r>
      <w:hyperlink r:id="rId25" w:tgtFrame="_new" w:history="1">
        <w:r w:rsidRPr="00B962F0">
          <w:rPr>
            <w:rStyle w:val="Hyperlink"/>
            <w:rFonts w:cstheme="minorHAnsi"/>
            <w:sz w:val="20"/>
            <w:lang w:val="en-GB"/>
          </w:rPr>
          <w:t>https://doi.org/10.1136/bmj.e4348</w:t>
        </w:r>
      </w:hyperlink>
    </w:p>
    <w:p w14:paraId="6DEE26B1" w14:textId="77777777" w:rsidR="00393DDD" w:rsidRPr="00B962F0" w:rsidRDefault="00393DDD" w:rsidP="00393DDD">
      <w:pPr>
        <w:pStyle w:val="Lijstalinea"/>
        <w:numPr>
          <w:ilvl w:val="0"/>
          <w:numId w:val="44"/>
        </w:numPr>
        <w:rPr>
          <w:rFonts w:cstheme="minorHAnsi"/>
          <w:sz w:val="20"/>
          <w:lang w:val="en-GB"/>
        </w:rPr>
      </w:pPr>
      <w:proofErr w:type="spellStart"/>
      <w:r w:rsidRPr="00B962F0">
        <w:rPr>
          <w:rFonts w:cstheme="minorHAnsi"/>
          <w:sz w:val="20"/>
          <w:lang w:val="en-GB"/>
        </w:rPr>
        <w:t>Schlander</w:t>
      </w:r>
      <w:proofErr w:type="spellEnd"/>
      <w:r w:rsidRPr="00B962F0">
        <w:rPr>
          <w:rFonts w:cstheme="minorHAnsi"/>
          <w:sz w:val="20"/>
          <w:lang w:val="en-GB"/>
        </w:rPr>
        <w:t>, M., Hernandez-Villafuerte, K., Cheng, C.Y., Mestre-</w:t>
      </w:r>
      <w:proofErr w:type="spellStart"/>
      <w:r w:rsidRPr="00B962F0">
        <w:rPr>
          <w:rFonts w:cstheme="minorHAnsi"/>
          <w:sz w:val="20"/>
          <w:lang w:val="en-GB"/>
        </w:rPr>
        <w:t>Ferrandiz</w:t>
      </w:r>
      <w:proofErr w:type="spellEnd"/>
      <w:r w:rsidRPr="00B962F0">
        <w:rPr>
          <w:rFonts w:cstheme="minorHAnsi"/>
          <w:sz w:val="20"/>
          <w:lang w:val="en-GB"/>
        </w:rPr>
        <w:t xml:space="preserve">, J., Baumann, M.: How much does it cost to research and develop a new drug? A systematic review and assessment. </w:t>
      </w:r>
      <w:proofErr w:type="spellStart"/>
      <w:r w:rsidRPr="00B962F0">
        <w:rPr>
          <w:rFonts w:cstheme="minorHAnsi"/>
          <w:sz w:val="20"/>
          <w:lang w:val="en-GB"/>
        </w:rPr>
        <w:t>PharmacoEconomics</w:t>
      </w:r>
      <w:proofErr w:type="spellEnd"/>
      <w:r w:rsidRPr="00B962F0">
        <w:rPr>
          <w:rFonts w:cstheme="minorHAnsi"/>
          <w:sz w:val="20"/>
          <w:lang w:val="en-GB"/>
        </w:rPr>
        <w:t xml:space="preserve"> 39(11), 1243–1269 (2021). </w:t>
      </w:r>
      <w:hyperlink r:id="rId26" w:tgtFrame="_new" w:history="1">
        <w:r w:rsidRPr="00B962F0">
          <w:rPr>
            <w:rStyle w:val="Hyperlink"/>
            <w:rFonts w:cstheme="minorHAnsi"/>
            <w:sz w:val="20"/>
            <w:lang w:val="en-GB"/>
          </w:rPr>
          <w:t>https://doi.org/10.1007/s40273-021-01065-y</w:t>
        </w:r>
      </w:hyperlink>
    </w:p>
    <w:p w14:paraId="644F4DE8" w14:textId="77777777" w:rsidR="00393DDD" w:rsidRPr="00B962F0" w:rsidRDefault="00393DDD" w:rsidP="00393DDD">
      <w:pPr>
        <w:pStyle w:val="Lijstalinea"/>
        <w:numPr>
          <w:ilvl w:val="0"/>
          <w:numId w:val="44"/>
        </w:numPr>
        <w:rPr>
          <w:rFonts w:cstheme="minorHAnsi"/>
          <w:sz w:val="20"/>
          <w:lang w:val="en-GB"/>
        </w:rPr>
      </w:pPr>
      <w:proofErr w:type="spellStart"/>
      <w:r w:rsidRPr="00B962F0">
        <w:rPr>
          <w:rFonts w:cstheme="minorHAnsi"/>
          <w:sz w:val="20"/>
          <w:lang w:val="en-GB"/>
        </w:rPr>
        <w:t>Althobaiti</w:t>
      </w:r>
      <w:proofErr w:type="spellEnd"/>
      <w:r w:rsidRPr="00B962F0">
        <w:rPr>
          <w:rFonts w:cstheme="minorHAnsi"/>
          <w:sz w:val="20"/>
          <w:lang w:val="en-GB"/>
        </w:rPr>
        <w:t>, H., Seoane-Vazquez, E., Brown, L.M., Fleming, M.L., Rodriguez-</w:t>
      </w:r>
      <w:proofErr w:type="spellStart"/>
      <w:r w:rsidRPr="00B962F0">
        <w:rPr>
          <w:rFonts w:cstheme="minorHAnsi"/>
          <w:sz w:val="20"/>
          <w:lang w:val="en-GB"/>
        </w:rPr>
        <w:t>Monguio</w:t>
      </w:r>
      <w:proofErr w:type="spellEnd"/>
      <w:r w:rsidRPr="00B962F0">
        <w:rPr>
          <w:rFonts w:cstheme="minorHAnsi"/>
          <w:sz w:val="20"/>
          <w:lang w:val="en-GB"/>
        </w:rPr>
        <w:t xml:space="preserve">, R.: Disentangling the cost of orphan drugs marketed in the United States. Healthcare 11(4), 558 (2023). </w:t>
      </w:r>
      <w:hyperlink r:id="rId27" w:tgtFrame="_new" w:history="1">
        <w:r w:rsidRPr="00B962F0">
          <w:rPr>
            <w:rStyle w:val="Hyperlink"/>
            <w:rFonts w:cstheme="minorHAnsi"/>
            <w:sz w:val="20"/>
            <w:lang w:val="en-GB"/>
          </w:rPr>
          <w:t>https://doi.org/10.3390/healthcare11040558</w:t>
        </w:r>
      </w:hyperlink>
    </w:p>
    <w:p w14:paraId="516CB5FD" w14:textId="77777777" w:rsidR="00393DDD" w:rsidRPr="00B962F0" w:rsidRDefault="00393DDD" w:rsidP="00393DDD">
      <w:pPr>
        <w:pStyle w:val="Lijstalinea"/>
        <w:numPr>
          <w:ilvl w:val="0"/>
          <w:numId w:val="44"/>
        </w:numPr>
        <w:rPr>
          <w:rFonts w:cstheme="minorHAnsi"/>
          <w:sz w:val="20"/>
          <w:lang w:val="en-GB"/>
        </w:rPr>
      </w:pPr>
      <w:proofErr w:type="spellStart"/>
      <w:r w:rsidRPr="00B962F0">
        <w:rPr>
          <w:rFonts w:cstheme="minorHAnsi"/>
          <w:sz w:val="20"/>
          <w:lang w:val="en-GB"/>
        </w:rPr>
        <w:t>Jayasundara</w:t>
      </w:r>
      <w:proofErr w:type="spellEnd"/>
      <w:r w:rsidRPr="00B962F0">
        <w:rPr>
          <w:rFonts w:cstheme="minorHAnsi"/>
          <w:sz w:val="20"/>
          <w:lang w:val="en-GB"/>
        </w:rPr>
        <w:t xml:space="preserve">, K., Hollis, A., </w:t>
      </w:r>
      <w:proofErr w:type="spellStart"/>
      <w:r w:rsidRPr="00B962F0">
        <w:rPr>
          <w:rFonts w:cstheme="minorHAnsi"/>
          <w:sz w:val="20"/>
          <w:lang w:val="en-GB"/>
        </w:rPr>
        <w:t>Krahn</w:t>
      </w:r>
      <w:proofErr w:type="spellEnd"/>
      <w:r w:rsidRPr="00B962F0">
        <w:rPr>
          <w:rFonts w:cstheme="minorHAnsi"/>
          <w:sz w:val="20"/>
          <w:lang w:val="en-GB"/>
        </w:rPr>
        <w:t xml:space="preserve">, M., Mamdani, M., Hoch, J.S., Grootendorst, P.: Estimating the clinical cost of drug development for orphan versus non-orphan drugs. </w:t>
      </w:r>
      <w:proofErr w:type="spellStart"/>
      <w:r w:rsidRPr="00B962F0">
        <w:rPr>
          <w:rFonts w:cstheme="minorHAnsi"/>
          <w:sz w:val="20"/>
          <w:lang w:val="en-GB"/>
        </w:rPr>
        <w:t>Orphanet</w:t>
      </w:r>
      <w:proofErr w:type="spellEnd"/>
      <w:r w:rsidRPr="00B962F0">
        <w:rPr>
          <w:rFonts w:cstheme="minorHAnsi"/>
          <w:sz w:val="20"/>
          <w:lang w:val="en-GB"/>
        </w:rPr>
        <w:t xml:space="preserve"> Journal of Rare Diseases 14, 1–10 (2019). </w:t>
      </w:r>
      <w:hyperlink r:id="rId28" w:tgtFrame="_new" w:history="1">
        <w:r w:rsidRPr="00B962F0">
          <w:rPr>
            <w:rStyle w:val="Hyperlink"/>
            <w:rFonts w:cstheme="minorHAnsi"/>
            <w:sz w:val="20"/>
            <w:lang w:val="en-GB"/>
          </w:rPr>
          <w:t>https://doi.org/10.1186/s13023-019-1104-7</w:t>
        </w:r>
      </w:hyperlink>
    </w:p>
    <w:p w14:paraId="528E9CA7" w14:textId="77777777" w:rsidR="00393DDD" w:rsidRPr="00B962F0" w:rsidRDefault="00393DDD" w:rsidP="00393DDD">
      <w:pPr>
        <w:pStyle w:val="Lijstalinea"/>
        <w:numPr>
          <w:ilvl w:val="0"/>
          <w:numId w:val="44"/>
        </w:numPr>
        <w:rPr>
          <w:rFonts w:cstheme="minorHAnsi"/>
          <w:sz w:val="20"/>
          <w:lang w:val="en-GB"/>
        </w:rPr>
      </w:pPr>
      <w:proofErr w:type="spellStart"/>
      <w:r w:rsidRPr="00B962F0">
        <w:rPr>
          <w:rFonts w:cstheme="minorHAnsi"/>
          <w:sz w:val="20"/>
          <w:lang w:val="en-GB"/>
        </w:rPr>
        <w:t>Berdud</w:t>
      </w:r>
      <w:proofErr w:type="spellEnd"/>
      <w:r w:rsidRPr="00B962F0">
        <w:rPr>
          <w:rFonts w:cstheme="minorHAnsi"/>
          <w:sz w:val="20"/>
          <w:lang w:val="en-GB"/>
        </w:rPr>
        <w:t xml:space="preserve">, M., Drummond, M., Towse, A.: Establishing a reasonable price for an orphan drug. Cost Effectiveness and Resource Allocation 18, 1–18 (2020). </w:t>
      </w:r>
      <w:hyperlink r:id="rId29" w:tgtFrame="_new" w:history="1">
        <w:r w:rsidRPr="00B962F0">
          <w:rPr>
            <w:rStyle w:val="Hyperlink"/>
            <w:rFonts w:cstheme="minorHAnsi"/>
            <w:sz w:val="20"/>
            <w:lang w:val="en-GB"/>
          </w:rPr>
          <w:t>https://doi.org/10.1186/s12962-020-00219-y</w:t>
        </w:r>
      </w:hyperlink>
    </w:p>
    <w:p w14:paraId="441C822B" w14:textId="77777777" w:rsidR="00393DDD" w:rsidRPr="00B962F0" w:rsidRDefault="00393DDD" w:rsidP="00393DDD">
      <w:pPr>
        <w:pStyle w:val="Lijstalinea"/>
        <w:numPr>
          <w:ilvl w:val="0"/>
          <w:numId w:val="44"/>
        </w:numPr>
        <w:rPr>
          <w:rFonts w:cstheme="minorHAnsi"/>
          <w:sz w:val="20"/>
          <w:lang w:val="en-GB"/>
        </w:rPr>
      </w:pPr>
      <w:r w:rsidRPr="00B962F0">
        <w:rPr>
          <w:rFonts w:cstheme="minorHAnsi"/>
          <w:sz w:val="20"/>
          <w:lang w:val="en-GB"/>
        </w:rPr>
        <w:t xml:space="preserve">Sun, D., Gao, W., Hu, H., Zhou, S.: Why 90% of clinical drug development fails and how to improve it? Acta Pharmaceutica </w:t>
      </w:r>
      <w:proofErr w:type="spellStart"/>
      <w:r w:rsidRPr="00B962F0">
        <w:rPr>
          <w:rFonts w:cstheme="minorHAnsi"/>
          <w:sz w:val="20"/>
          <w:lang w:val="en-GB"/>
        </w:rPr>
        <w:t>Sinica</w:t>
      </w:r>
      <w:proofErr w:type="spellEnd"/>
      <w:r w:rsidRPr="00B962F0">
        <w:rPr>
          <w:rFonts w:cstheme="minorHAnsi"/>
          <w:sz w:val="20"/>
          <w:lang w:val="en-GB"/>
        </w:rPr>
        <w:t xml:space="preserve"> B 12(7), 3049–3062 (2022). </w:t>
      </w:r>
      <w:hyperlink r:id="rId30" w:tgtFrame="_new" w:history="1">
        <w:r w:rsidRPr="00B962F0">
          <w:rPr>
            <w:rStyle w:val="Hyperlink"/>
            <w:rFonts w:cstheme="minorHAnsi"/>
            <w:sz w:val="20"/>
            <w:lang w:val="en-GB"/>
          </w:rPr>
          <w:t>https://doi.org/10.1016/j.apsb.2022.02.002</w:t>
        </w:r>
      </w:hyperlink>
    </w:p>
    <w:p w14:paraId="14BA7AC0" w14:textId="77777777" w:rsidR="00393DDD" w:rsidRPr="004B6A6F" w:rsidRDefault="00393DDD" w:rsidP="00393DDD">
      <w:pPr>
        <w:rPr>
          <w:lang w:val="en-GB"/>
        </w:rPr>
      </w:pPr>
    </w:p>
    <w:p w14:paraId="5E12F10C" w14:textId="77777777" w:rsidR="00F96FAA" w:rsidRPr="00890A5E" w:rsidRDefault="00F96FAA" w:rsidP="0055552D">
      <w:pPr>
        <w:pStyle w:val="Geenafstand"/>
        <w:rPr>
          <w:rFonts w:cstheme="minorHAnsi"/>
        </w:rPr>
      </w:pPr>
    </w:p>
    <w:p w14:paraId="17B64D80" w14:textId="77777777" w:rsidR="00F96FAA" w:rsidRPr="00890A5E" w:rsidRDefault="00F96FAA" w:rsidP="0055552D">
      <w:pPr>
        <w:pStyle w:val="Geenafstand"/>
        <w:rPr>
          <w:rFonts w:cstheme="minorHAnsi"/>
        </w:rPr>
      </w:pPr>
    </w:p>
    <w:p w14:paraId="47C7EFCE" w14:textId="77777777" w:rsidR="00F96FAA" w:rsidRPr="00890A5E" w:rsidRDefault="00F96FAA" w:rsidP="0055552D">
      <w:pPr>
        <w:pStyle w:val="Geenafstand"/>
        <w:rPr>
          <w:rFonts w:cstheme="minorHAnsi"/>
        </w:rPr>
      </w:pPr>
    </w:p>
    <w:p w14:paraId="5C47968A" w14:textId="77777777" w:rsidR="00F96FAA" w:rsidRPr="00890A5E" w:rsidRDefault="00F96FAA" w:rsidP="0055552D">
      <w:pPr>
        <w:pStyle w:val="Geenafstand"/>
        <w:rPr>
          <w:rFonts w:cstheme="minorHAnsi"/>
        </w:rPr>
      </w:pPr>
    </w:p>
    <w:p w14:paraId="41670AC4" w14:textId="77777777" w:rsidR="00F96FAA" w:rsidRPr="00890A5E" w:rsidRDefault="00F96FAA" w:rsidP="0055552D">
      <w:pPr>
        <w:pStyle w:val="Geenafstand"/>
        <w:rPr>
          <w:rFonts w:cstheme="minorHAnsi"/>
        </w:rPr>
      </w:pPr>
    </w:p>
    <w:p w14:paraId="2914EADB" w14:textId="77777777" w:rsidR="00F96FAA" w:rsidRPr="00890A5E" w:rsidRDefault="00F96FAA" w:rsidP="0055552D">
      <w:pPr>
        <w:pStyle w:val="Geenafstand"/>
        <w:rPr>
          <w:rFonts w:cstheme="minorHAnsi"/>
        </w:rPr>
      </w:pPr>
    </w:p>
    <w:p w14:paraId="22828B62" w14:textId="77777777" w:rsidR="00F96FAA" w:rsidRPr="00890A5E" w:rsidRDefault="00F96FAA" w:rsidP="0055552D">
      <w:pPr>
        <w:pStyle w:val="Geenafstand"/>
        <w:rPr>
          <w:rFonts w:cstheme="minorHAnsi"/>
        </w:rPr>
      </w:pPr>
    </w:p>
    <w:p w14:paraId="0529EE72" w14:textId="77777777" w:rsidR="00F96FAA" w:rsidRPr="00890A5E" w:rsidRDefault="00F96FAA" w:rsidP="0055552D">
      <w:pPr>
        <w:pStyle w:val="Geenafstand"/>
        <w:rPr>
          <w:rFonts w:cstheme="minorHAnsi"/>
        </w:rPr>
      </w:pPr>
    </w:p>
    <w:p w14:paraId="34AD359A" w14:textId="77777777" w:rsidR="00F96FAA" w:rsidRPr="00890A5E" w:rsidRDefault="00F96FAA" w:rsidP="0055552D">
      <w:pPr>
        <w:pStyle w:val="Geenafstand"/>
        <w:rPr>
          <w:rFonts w:cstheme="minorHAnsi"/>
        </w:rPr>
      </w:pPr>
    </w:p>
    <w:p w14:paraId="73EE1289" w14:textId="77777777" w:rsidR="00F96FAA" w:rsidRPr="00890A5E" w:rsidRDefault="00F96FAA" w:rsidP="0055552D">
      <w:pPr>
        <w:pStyle w:val="Geenafstand"/>
        <w:rPr>
          <w:rFonts w:cstheme="minorHAnsi"/>
        </w:rPr>
      </w:pPr>
    </w:p>
    <w:p w14:paraId="0F49F773" w14:textId="77777777" w:rsidR="00F96FAA" w:rsidRPr="00890A5E" w:rsidRDefault="00F96FAA" w:rsidP="0055552D">
      <w:pPr>
        <w:pStyle w:val="Geenafstand"/>
        <w:rPr>
          <w:rFonts w:cstheme="minorHAnsi"/>
        </w:rPr>
      </w:pPr>
    </w:p>
    <w:p w14:paraId="23A6BCFD" w14:textId="77777777" w:rsidR="00F96FAA" w:rsidRPr="00890A5E" w:rsidRDefault="00F96FAA" w:rsidP="0055552D">
      <w:pPr>
        <w:pStyle w:val="Geenafstand"/>
        <w:rPr>
          <w:rFonts w:cstheme="minorHAnsi"/>
        </w:rPr>
      </w:pPr>
    </w:p>
    <w:p w14:paraId="4EACF0F4" w14:textId="77777777" w:rsidR="00F96FAA" w:rsidRPr="00890A5E" w:rsidRDefault="00F96FAA" w:rsidP="0055552D">
      <w:pPr>
        <w:pStyle w:val="Geenafstand"/>
        <w:rPr>
          <w:rFonts w:cstheme="minorHAnsi"/>
        </w:rPr>
      </w:pPr>
    </w:p>
    <w:p w14:paraId="5BA49F93" w14:textId="77777777" w:rsidR="00F96FAA" w:rsidRPr="00890A5E" w:rsidRDefault="00F96FAA" w:rsidP="0055552D">
      <w:pPr>
        <w:pStyle w:val="Geenafstand"/>
        <w:rPr>
          <w:rFonts w:cstheme="minorHAnsi"/>
        </w:rPr>
      </w:pPr>
    </w:p>
    <w:p w14:paraId="558AA98F" w14:textId="77777777" w:rsidR="00F96FAA" w:rsidRPr="00890A5E" w:rsidRDefault="00F96FAA" w:rsidP="0055552D">
      <w:pPr>
        <w:pStyle w:val="Geenafstand"/>
        <w:rPr>
          <w:rFonts w:cstheme="minorHAnsi"/>
        </w:rPr>
      </w:pPr>
    </w:p>
    <w:p w14:paraId="4397C703" w14:textId="77777777" w:rsidR="00F96FAA" w:rsidRPr="00890A5E" w:rsidRDefault="00F96FAA" w:rsidP="0055552D">
      <w:pPr>
        <w:pStyle w:val="Geenafstand"/>
        <w:rPr>
          <w:rFonts w:cstheme="minorHAnsi"/>
        </w:rPr>
      </w:pPr>
    </w:p>
    <w:p w14:paraId="30BAA5CB" w14:textId="77777777" w:rsidR="00F96FAA" w:rsidRPr="00890A5E" w:rsidRDefault="00F96FAA" w:rsidP="0055552D">
      <w:pPr>
        <w:pStyle w:val="Geenafstand"/>
        <w:rPr>
          <w:rFonts w:cstheme="minorHAnsi"/>
        </w:rPr>
      </w:pPr>
    </w:p>
    <w:p w14:paraId="03771F36" w14:textId="77777777" w:rsidR="00F96FAA" w:rsidRPr="00890A5E" w:rsidRDefault="00F96FAA" w:rsidP="0055552D">
      <w:pPr>
        <w:pStyle w:val="Geenafstand"/>
        <w:rPr>
          <w:rFonts w:cstheme="minorHAnsi"/>
        </w:rPr>
      </w:pPr>
    </w:p>
    <w:p w14:paraId="0BF51284" w14:textId="77777777" w:rsidR="00F96FAA" w:rsidRPr="00890A5E" w:rsidRDefault="00F96FAA" w:rsidP="0055552D">
      <w:pPr>
        <w:pStyle w:val="Geenafstand"/>
        <w:rPr>
          <w:rFonts w:cstheme="minorHAnsi"/>
        </w:rPr>
      </w:pPr>
    </w:p>
    <w:p w14:paraId="53D418C2" w14:textId="77777777" w:rsidR="00F96FAA" w:rsidRPr="00890A5E" w:rsidRDefault="00F96FAA" w:rsidP="0055552D">
      <w:pPr>
        <w:pStyle w:val="Geenafstand"/>
        <w:rPr>
          <w:rFonts w:cstheme="minorHAnsi"/>
        </w:rPr>
      </w:pPr>
    </w:p>
    <w:p w14:paraId="0AC6BD45" w14:textId="77777777" w:rsidR="00F96FAA" w:rsidRPr="00890A5E" w:rsidRDefault="00F96FAA" w:rsidP="0055552D">
      <w:pPr>
        <w:pStyle w:val="Geenafstand"/>
        <w:rPr>
          <w:rFonts w:cstheme="minorHAnsi"/>
        </w:rPr>
      </w:pPr>
    </w:p>
    <w:p w14:paraId="0557BE09" w14:textId="77777777" w:rsidR="00F96FAA" w:rsidRPr="00890A5E" w:rsidRDefault="00F96FAA" w:rsidP="0055552D">
      <w:pPr>
        <w:pStyle w:val="Geenafstand"/>
        <w:rPr>
          <w:rFonts w:cstheme="minorHAnsi"/>
        </w:rPr>
      </w:pPr>
    </w:p>
    <w:p w14:paraId="4AF85A2E" w14:textId="77777777" w:rsidR="00F96FAA" w:rsidRPr="00890A5E" w:rsidRDefault="00F96FAA" w:rsidP="0055552D">
      <w:pPr>
        <w:pStyle w:val="Geenafstand"/>
        <w:rPr>
          <w:rFonts w:cstheme="minorHAnsi"/>
        </w:rPr>
      </w:pPr>
    </w:p>
    <w:sectPr w:rsidR="00F96FAA" w:rsidRPr="00890A5E">
      <w:headerReference w:type="default" r:id="rId3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AE0D47" w14:textId="77777777" w:rsidR="003F3AAA" w:rsidRDefault="003F3AAA">
      <w:r>
        <w:separator/>
      </w:r>
    </w:p>
  </w:endnote>
  <w:endnote w:type="continuationSeparator" w:id="0">
    <w:p w14:paraId="6AD29B9F" w14:textId="77777777" w:rsidR="003F3AAA" w:rsidRDefault="003F3A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FCD87D" w14:textId="77777777" w:rsidR="003F3AAA" w:rsidRDefault="003F3AAA">
      <w:r>
        <w:separator/>
      </w:r>
    </w:p>
  </w:footnote>
  <w:footnote w:type="continuationSeparator" w:id="0">
    <w:p w14:paraId="3968ADE1" w14:textId="77777777" w:rsidR="003F3AAA" w:rsidRDefault="003F3A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03C408" w14:textId="77777777" w:rsidR="00393DDD" w:rsidRDefault="00393DDD">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DB419" w14:textId="77777777" w:rsidR="00596824" w:rsidRDefault="00596824">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B64DD"/>
    <w:multiLevelType w:val="hybridMultilevel"/>
    <w:tmpl w:val="857A41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CE0564"/>
    <w:multiLevelType w:val="hybridMultilevel"/>
    <w:tmpl w:val="1D7C9F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4FD0D76"/>
    <w:multiLevelType w:val="hybridMultilevel"/>
    <w:tmpl w:val="25628CA0"/>
    <w:lvl w:ilvl="0" w:tplc="5C7C7880">
      <w:start w:val="1"/>
      <w:numFmt w:val="decimal"/>
      <w:pStyle w:val="Lijst"/>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3D261423"/>
    <w:multiLevelType w:val="multilevel"/>
    <w:tmpl w:val="92BCE30E"/>
    <w:lvl w:ilvl="0">
      <w:start w:val="1"/>
      <w:numFmt w:val="decimal"/>
      <w:pStyle w:val="Kop1-genummerd"/>
      <w:lvlText w:val="%1."/>
      <w:lvlJc w:val="left"/>
      <w:pPr>
        <w:ind w:left="360" w:hanging="360"/>
      </w:pPr>
      <w:rPr>
        <w:rFonts w:hint="default"/>
      </w:rPr>
    </w:lvl>
    <w:lvl w:ilvl="1">
      <w:start w:val="1"/>
      <w:numFmt w:val="decimal"/>
      <w:lvlRestart w:val="0"/>
      <w:pStyle w:val="Kop2-genummerd"/>
      <w:lvlText w:val="%1.%2."/>
      <w:lvlJc w:val="left"/>
      <w:pPr>
        <w:ind w:left="720" w:hanging="360"/>
      </w:pPr>
      <w:rPr>
        <w:rFonts w:hint="default"/>
      </w:rPr>
    </w:lvl>
    <w:lvl w:ilvl="2">
      <w:start w:val="1"/>
      <w:numFmt w:val="decimal"/>
      <w:lvlRestart w:val="0"/>
      <w:pStyle w:val="Kop3-genummerd"/>
      <w:lvlText w:val="%1.%2.%3."/>
      <w:lvlJc w:val="left"/>
      <w:pPr>
        <w:ind w:left="107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416332E8"/>
    <w:multiLevelType w:val="hybridMultilevel"/>
    <w:tmpl w:val="71E6EE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7120A29"/>
    <w:multiLevelType w:val="multilevel"/>
    <w:tmpl w:val="D7A6A850"/>
    <w:lvl w:ilvl="0">
      <w:start w:val="1"/>
      <w:numFmt w:val="bullet"/>
      <w:pStyle w:val="Lijstopsomteken"/>
      <w:lvlText w:val=""/>
      <w:lvlJc w:val="left"/>
      <w:pPr>
        <w:ind w:left="357" w:hanging="357"/>
      </w:pPr>
      <w:rPr>
        <w:rFonts w:ascii="Symbol" w:hAnsi="Symbol" w:hint="default"/>
      </w:rPr>
    </w:lvl>
    <w:lvl w:ilvl="1">
      <w:start w:val="1"/>
      <w:numFmt w:val="bullet"/>
      <w:pStyle w:val="Lijstopsomteken2"/>
      <w:lvlText w:val="o"/>
      <w:lvlJc w:val="left"/>
      <w:pPr>
        <w:ind w:left="720" w:hanging="363"/>
      </w:pPr>
      <w:rPr>
        <w:rFonts w:ascii="Courier New" w:hAnsi="Courier New" w:hint="default"/>
      </w:rPr>
    </w:lvl>
    <w:lvl w:ilvl="2">
      <w:start w:val="1"/>
      <w:numFmt w:val="bullet"/>
      <w:lvlRestart w:val="0"/>
      <w:pStyle w:val="Lijstopsomteken3"/>
      <w:lvlText w:val="-"/>
      <w:lvlJc w:val="left"/>
      <w:pPr>
        <w:ind w:left="1077" w:hanging="357"/>
      </w:pPr>
      <w:rPr>
        <w:rFonts w:ascii="Courier New" w:hAnsi="Courier New"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65FA7D6F"/>
    <w:multiLevelType w:val="hybridMultilevel"/>
    <w:tmpl w:val="DF6A6D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C94EE1"/>
    <w:multiLevelType w:val="hybridMultilevel"/>
    <w:tmpl w:val="671E6858"/>
    <w:lvl w:ilvl="0" w:tplc="AC328204">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8107910"/>
    <w:multiLevelType w:val="multilevel"/>
    <w:tmpl w:val="AF2472BA"/>
    <w:lvl w:ilvl="0">
      <w:start w:val="1"/>
      <w:numFmt w:val="decimal"/>
      <w:pStyle w:val="Lijstnummering"/>
      <w:lvlText w:val="%1."/>
      <w:lvlJc w:val="left"/>
      <w:pPr>
        <w:ind w:left="357" w:hanging="357"/>
      </w:pPr>
      <w:rPr>
        <w:rFonts w:hint="default"/>
      </w:rPr>
    </w:lvl>
    <w:lvl w:ilvl="1">
      <w:start w:val="1"/>
      <w:numFmt w:val="lowerLetter"/>
      <w:pStyle w:val="Lijstnummering2"/>
      <w:lvlText w:val="%2."/>
      <w:lvlJc w:val="left"/>
      <w:pPr>
        <w:ind w:left="720" w:hanging="363"/>
      </w:pPr>
      <w:rPr>
        <w:rFonts w:hint="default"/>
      </w:rPr>
    </w:lvl>
    <w:lvl w:ilvl="2">
      <w:start w:val="1"/>
      <w:numFmt w:val="lowerRoman"/>
      <w:lvlRestart w:val="0"/>
      <w:pStyle w:val="Lijstnummering3"/>
      <w:lvlText w:val="%3."/>
      <w:lvlJc w:val="left"/>
      <w:pPr>
        <w:ind w:left="1077" w:hanging="35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78982F67"/>
    <w:multiLevelType w:val="hybridMultilevel"/>
    <w:tmpl w:val="767AC8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F941658"/>
    <w:multiLevelType w:val="hybridMultilevel"/>
    <w:tmpl w:val="25C098E8"/>
    <w:lvl w:ilvl="0" w:tplc="D98ED52E">
      <w:start w:val="1"/>
      <w:numFmt w:val="upperRoman"/>
      <w:pStyle w:val="Bijlage"/>
      <w:lvlText w:val="Bijlage %1."/>
      <w:lvlJc w:val="left"/>
      <w:pPr>
        <w:ind w:left="720" w:hanging="360"/>
      </w:pPr>
      <w:rPr>
        <w:rFonts w:hAnsi="Arial Unicode MS" w:hint="default"/>
        <w:b/>
        <w:bC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2036105191">
    <w:abstractNumId w:val="2"/>
  </w:num>
  <w:num w:numId="2" w16cid:durableId="1026445243">
    <w:abstractNumId w:val="5"/>
  </w:num>
  <w:num w:numId="3" w16cid:durableId="593171272">
    <w:abstractNumId w:val="8"/>
  </w:num>
  <w:num w:numId="4" w16cid:durableId="1008337569">
    <w:abstractNumId w:val="3"/>
  </w:num>
  <w:num w:numId="5" w16cid:durableId="1200053308">
    <w:abstractNumId w:val="10"/>
  </w:num>
  <w:num w:numId="6" w16cid:durableId="2086148160">
    <w:abstractNumId w:val="3"/>
  </w:num>
  <w:num w:numId="7" w16cid:durableId="108204942">
    <w:abstractNumId w:val="2"/>
  </w:num>
  <w:num w:numId="8" w16cid:durableId="1159425561">
    <w:abstractNumId w:val="5"/>
  </w:num>
  <w:num w:numId="9" w16cid:durableId="517307843">
    <w:abstractNumId w:val="8"/>
  </w:num>
  <w:num w:numId="10" w16cid:durableId="1375159396">
    <w:abstractNumId w:val="5"/>
  </w:num>
  <w:num w:numId="11" w16cid:durableId="1855998875">
    <w:abstractNumId w:val="5"/>
  </w:num>
  <w:num w:numId="12" w16cid:durableId="888762083">
    <w:abstractNumId w:val="8"/>
  </w:num>
  <w:num w:numId="13" w16cid:durableId="1421874605">
    <w:abstractNumId w:val="8"/>
  </w:num>
  <w:num w:numId="14" w16cid:durableId="2034304253">
    <w:abstractNumId w:val="3"/>
  </w:num>
  <w:num w:numId="15" w16cid:durableId="244612863">
    <w:abstractNumId w:val="3"/>
  </w:num>
  <w:num w:numId="16" w16cid:durableId="1683697826">
    <w:abstractNumId w:val="3"/>
  </w:num>
  <w:num w:numId="17" w16cid:durableId="1427270423">
    <w:abstractNumId w:val="10"/>
  </w:num>
  <w:num w:numId="18" w16cid:durableId="1286042416">
    <w:abstractNumId w:val="2"/>
  </w:num>
  <w:num w:numId="19" w16cid:durableId="322970271">
    <w:abstractNumId w:val="5"/>
  </w:num>
  <w:num w:numId="20" w16cid:durableId="616446539">
    <w:abstractNumId w:val="8"/>
  </w:num>
  <w:num w:numId="21" w16cid:durableId="1937398501">
    <w:abstractNumId w:val="5"/>
  </w:num>
  <w:num w:numId="22" w16cid:durableId="1575697738">
    <w:abstractNumId w:val="5"/>
  </w:num>
  <w:num w:numId="23" w16cid:durableId="1820882858">
    <w:abstractNumId w:val="8"/>
  </w:num>
  <w:num w:numId="24" w16cid:durableId="517737764">
    <w:abstractNumId w:val="8"/>
  </w:num>
  <w:num w:numId="25" w16cid:durableId="1748528906">
    <w:abstractNumId w:val="3"/>
  </w:num>
  <w:num w:numId="26" w16cid:durableId="1343433185">
    <w:abstractNumId w:val="3"/>
  </w:num>
  <w:num w:numId="27" w16cid:durableId="1574968135">
    <w:abstractNumId w:val="3"/>
  </w:num>
  <w:num w:numId="28" w16cid:durableId="714815390">
    <w:abstractNumId w:val="10"/>
  </w:num>
  <w:num w:numId="29" w16cid:durableId="946811711">
    <w:abstractNumId w:val="3"/>
  </w:num>
  <w:num w:numId="30" w16cid:durableId="996882843">
    <w:abstractNumId w:val="3"/>
  </w:num>
  <w:num w:numId="31" w16cid:durableId="1606185036">
    <w:abstractNumId w:val="10"/>
  </w:num>
  <w:num w:numId="32" w16cid:durableId="1115752548">
    <w:abstractNumId w:val="3"/>
  </w:num>
  <w:num w:numId="33" w16cid:durableId="108551630">
    <w:abstractNumId w:val="3"/>
  </w:num>
  <w:num w:numId="34" w16cid:durableId="1409107347">
    <w:abstractNumId w:val="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83449300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633886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5966027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305621149">
    <w:abstractNumId w:val="3"/>
    <w:lvlOverride w:ilvl="0">
      <w:lvl w:ilvl="0">
        <w:start w:val="1"/>
        <w:numFmt w:val="decimal"/>
        <w:pStyle w:val="Kop1-genummerd"/>
        <w:lvlText w:val="%1."/>
        <w:lvlJc w:val="left"/>
        <w:pPr>
          <w:ind w:left="360" w:hanging="360"/>
        </w:pPr>
        <w:rPr>
          <w:rFonts w:hint="default"/>
        </w:rPr>
      </w:lvl>
    </w:lvlOverride>
    <w:lvlOverride w:ilvl="1">
      <w:lvl w:ilvl="1">
        <w:start w:val="1"/>
        <w:numFmt w:val="decimal"/>
        <w:lvlRestart w:val="0"/>
        <w:pStyle w:val="Kop2-genummerd"/>
        <w:lvlText w:val="%1.%2."/>
        <w:lvlJc w:val="left"/>
        <w:pPr>
          <w:ind w:left="0" w:firstLine="0"/>
        </w:pPr>
        <w:rPr>
          <w:rFonts w:hint="default"/>
        </w:rPr>
      </w:lvl>
    </w:lvlOverride>
    <w:lvlOverride w:ilvl="2">
      <w:lvl w:ilvl="2">
        <w:start w:val="1"/>
        <w:numFmt w:val="decimal"/>
        <w:lvlRestart w:val="0"/>
        <w:pStyle w:val="Kop3-genummerd"/>
        <w:lvlText w:val="%1.%2.%3."/>
        <w:lvlJc w:val="left"/>
        <w:pPr>
          <w:ind w:left="1077" w:hanging="357"/>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9" w16cid:durableId="1504707240">
    <w:abstractNumId w:val="0"/>
  </w:num>
  <w:num w:numId="40" w16cid:durableId="1749302585">
    <w:abstractNumId w:val="6"/>
  </w:num>
  <w:num w:numId="41" w16cid:durableId="1629433740">
    <w:abstractNumId w:val="4"/>
  </w:num>
  <w:num w:numId="42" w16cid:durableId="1478456888">
    <w:abstractNumId w:val="1"/>
  </w:num>
  <w:num w:numId="43" w16cid:durableId="289751830">
    <w:abstractNumId w:val="7"/>
  </w:num>
  <w:num w:numId="44" w16cid:durableId="1897350554">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FAA"/>
    <w:rsid w:val="00032B72"/>
    <w:rsid w:val="000B7622"/>
    <w:rsid w:val="001101E9"/>
    <w:rsid w:val="00135804"/>
    <w:rsid w:val="00190250"/>
    <w:rsid w:val="001A71D9"/>
    <w:rsid w:val="00203A09"/>
    <w:rsid w:val="00225B02"/>
    <w:rsid w:val="00245F9C"/>
    <w:rsid w:val="00286EA8"/>
    <w:rsid w:val="002F419C"/>
    <w:rsid w:val="00317905"/>
    <w:rsid w:val="00393DDD"/>
    <w:rsid w:val="003A07CB"/>
    <w:rsid w:val="003F3AAA"/>
    <w:rsid w:val="00476272"/>
    <w:rsid w:val="004822CB"/>
    <w:rsid w:val="00494E62"/>
    <w:rsid w:val="004D2FF9"/>
    <w:rsid w:val="004E10E2"/>
    <w:rsid w:val="00505539"/>
    <w:rsid w:val="00506189"/>
    <w:rsid w:val="005147C8"/>
    <w:rsid w:val="0055552D"/>
    <w:rsid w:val="00562A6E"/>
    <w:rsid w:val="00596824"/>
    <w:rsid w:val="005B2AF3"/>
    <w:rsid w:val="005D7473"/>
    <w:rsid w:val="005E4B36"/>
    <w:rsid w:val="005F5A78"/>
    <w:rsid w:val="005F62E4"/>
    <w:rsid w:val="006D7543"/>
    <w:rsid w:val="006E1286"/>
    <w:rsid w:val="006E7301"/>
    <w:rsid w:val="007653E0"/>
    <w:rsid w:val="007946F2"/>
    <w:rsid w:val="007D0955"/>
    <w:rsid w:val="00821D64"/>
    <w:rsid w:val="00840A00"/>
    <w:rsid w:val="0090763A"/>
    <w:rsid w:val="00915C38"/>
    <w:rsid w:val="009160F6"/>
    <w:rsid w:val="00944185"/>
    <w:rsid w:val="009B60D0"/>
    <w:rsid w:val="009F0F6F"/>
    <w:rsid w:val="00A41115"/>
    <w:rsid w:val="00A43D8A"/>
    <w:rsid w:val="00A974BD"/>
    <w:rsid w:val="00AD3036"/>
    <w:rsid w:val="00AD4DA5"/>
    <w:rsid w:val="00B1474A"/>
    <w:rsid w:val="00B1785E"/>
    <w:rsid w:val="00B42813"/>
    <w:rsid w:val="00BB0BD6"/>
    <w:rsid w:val="00BC2FA3"/>
    <w:rsid w:val="00CA4B4B"/>
    <w:rsid w:val="00CF0BFA"/>
    <w:rsid w:val="00D14FBA"/>
    <w:rsid w:val="00D17CE3"/>
    <w:rsid w:val="00D66FC4"/>
    <w:rsid w:val="00D73D7F"/>
    <w:rsid w:val="00DB2AE1"/>
    <w:rsid w:val="00DF2BB5"/>
    <w:rsid w:val="00DF6498"/>
    <w:rsid w:val="00E067AC"/>
    <w:rsid w:val="00E1684F"/>
    <w:rsid w:val="00E231EF"/>
    <w:rsid w:val="00E366D2"/>
    <w:rsid w:val="00E55BEF"/>
    <w:rsid w:val="00EE09B5"/>
    <w:rsid w:val="00F96FAA"/>
    <w:rsid w:val="00FB4F3C"/>
    <w:rsid w:val="00FF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95F02"/>
  <w15:chartTrackingRefBased/>
  <w15:docId w15:val="{33BB1F4C-725B-43DE-A3BA-60DD6CFA2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kern w:val="2"/>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1" w:unhideWhenUsed="1" w:qFormat="1"/>
    <w:lsdException w:name="heading 4" w:semiHidden="1" w:uiPriority="1" w:unhideWhenUsed="1" w:qFormat="1"/>
    <w:lsdException w:name="heading 5" w:semiHidden="1" w:uiPriority="1" w:unhideWhenUsed="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iPriority="3" w:unhideWhenUsed="1" w:qFormat="1"/>
    <w:lsdException w:name="List Number" w:semiHidden="1" w:uiPriority="4"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 w:unhideWhenUsed="1" w:qFormat="1"/>
    <w:lsdException w:name="List Bullet 3" w:semiHidden="1" w:uiPriority="3" w:unhideWhenUsed="1"/>
    <w:lsdException w:name="List Bullet 4" w:semiHidden="1" w:uiPriority="3" w:unhideWhenUsed="1"/>
    <w:lsdException w:name="List Bullet 5" w:semiHidden="1" w:uiPriority="3" w:unhideWhenUsed="1"/>
    <w:lsdException w:name="List Number 2" w:semiHidden="1" w:uiPriority="4" w:unhideWhenUsed="1"/>
    <w:lsdException w:name="List Number 3" w:semiHidden="1" w:uiPriority="4" w:unhideWhenUsed="1"/>
    <w:lsdException w:name="List Number 4" w:semiHidden="1" w:uiPriority="4" w:unhideWhenUsed="1"/>
    <w:lsdException w:name="List Number 5" w:semiHidden="1" w:uiPriority="4"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93DDD"/>
    <w:rPr>
      <w:rFonts w:asciiTheme="minorHAnsi" w:hAnsiTheme="minorHAnsi"/>
      <w:sz w:val="22"/>
    </w:rPr>
  </w:style>
  <w:style w:type="paragraph" w:styleId="Kop1">
    <w:name w:val="heading 1"/>
    <w:basedOn w:val="Standaard"/>
    <w:next w:val="Standaard"/>
    <w:link w:val="Kop1Char"/>
    <w:autoRedefine/>
    <w:uiPriority w:val="1"/>
    <w:qFormat/>
    <w:rsid w:val="00AD4DA5"/>
    <w:pPr>
      <w:keepNext/>
      <w:pageBreakBefore/>
      <w:spacing w:before="240" w:after="60"/>
      <w:outlineLvl w:val="0"/>
    </w:pPr>
    <w:rPr>
      <w:rFonts w:asciiTheme="majorHAnsi" w:eastAsiaTheme="majorEastAsia" w:hAnsiTheme="majorHAnsi" w:cstheme="majorBidi"/>
      <w:b/>
      <w:bCs/>
      <w:color w:val="365F91" w:themeColor="accent1" w:themeShade="BF"/>
      <w:kern w:val="32"/>
      <w:sz w:val="28"/>
      <w:szCs w:val="32"/>
    </w:rPr>
  </w:style>
  <w:style w:type="paragraph" w:styleId="Kop2">
    <w:name w:val="heading 2"/>
    <w:basedOn w:val="Standaard"/>
    <w:next w:val="Standaard"/>
    <w:link w:val="Kop2Char"/>
    <w:uiPriority w:val="9"/>
    <w:unhideWhenUsed/>
    <w:qFormat/>
    <w:rsid w:val="00AD4DA5"/>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Kop3">
    <w:name w:val="heading 3"/>
    <w:basedOn w:val="Standaard"/>
    <w:next w:val="Standaard"/>
    <w:link w:val="Kop3Char"/>
    <w:autoRedefine/>
    <w:uiPriority w:val="1"/>
    <w:unhideWhenUsed/>
    <w:qFormat/>
    <w:rsid w:val="00AD4DA5"/>
    <w:pPr>
      <w:keepNext/>
      <w:spacing w:before="120" w:after="60"/>
      <w:contextualSpacing/>
      <w:outlineLvl w:val="2"/>
    </w:pPr>
    <w:rPr>
      <w:rFonts w:asciiTheme="majorHAnsi" w:eastAsia="Times New Roman" w:hAnsiTheme="majorHAnsi"/>
      <w:b/>
      <w:bCs/>
      <w:smallCaps/>
      <w:color w:val="365F91" w:themeColor="accent1" w:themeShade="BF"/>
      <w:szCs w:val="26"/>
    </w:rPr>
  </w:style>
  <w:style w:type="paragraph" w:styleId="Kop4">
    <w:name w:val="heading 4"/>
    <w:basedOn w:val="Standaard"/>
    <w:next w:val="Standaard"/>
    <w:link w:val="Kop4Char"/>
    <w:autoRedefine/>
    <w:uiPriority w:val="1"/>
    <w:unhideWhenUsed/>
    <w:rsid w:val="005B2AF3"/>
    <w:pPr>
      <w:keepNext/>
      <w:spacing w:before="60"/>
      <w:outlineLvl w:val="3"/>
    </w:pPr>
    <w:rPr>
      <w:rFonts w:eastAsiaTheme="minorEastAsia" w:cstheme="minorBidi"/>
      <w:b/>
      <w:bCs/>
      <w:szCs w:val="28"/>
    </w:rPr>
  </w:style>
  <w:style w:type="paragraph" w:styleId="Kop5">
    <w:name w:val="heading 5"/>
    <w:basedOn w:val="Standaard"/>
    <w:next w:val="Standaard"/>
    <w:link w:val="Kop5Char"/>
    <w:uiPriority w:val="1"/>
    <w:semiHidden/>
    <w:unhideWhenUsed/>
    <w:rsid w:val="00F96FAA"/>
    <w:pPr>
      <w:keepNext/>
      <w:keepLines/>
      <w:spacing w:before="80" w:after="40"/>
      <w:outlineLvl w:val="4"/>
    </w:pPr>
    <w:rPr>
      <w:rFonts w:eastAsiaTheme="majorEastAsia" w:cstheme="majorBidi"/>
      <w:color w:val="365F91" w:themeColor="accent1" w:themeShade="BF"/>
    </w:rPr>
  </w:style>
  <w:style w:type="paragraph" w:styleId="Kop6">
    <w:name w:val="heading 6"/>
    <w:basedOn w:val="Standaard"/>
    <w:next w:val="Standaard"/>
    <w:link w:val="Kop6Char"/>
    <w:uiPriority w:val="1"/>
    <w:semiHidden/>
    <w:unhideWhenUsed/>
    <w:qFormat/>
    <w:rsid w:val="00F96FAA"/>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1"/>
    <w:semiHidden/>
    <w:unhideWhenUsed/>
    <w:qFormat/>
    <w:rsid w:val="00F96FAA"/>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1"/>
    <w:semiHidden/>
    <w:unhideWhenUsed/>
    <w:qFormat/>
    <w:rsid w:val="00F96FAA"/>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1"/>
    <w:semiHidden/>
    <w:unhideWhenUsed/>
    <w:qFormat/>
    <w:rsid w:val="00F96FAA"/>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AD4DA5"/>
    <w:rPr>
      <w:rFonts w:asciiTheme="majorHAnsi" w:eastAsiaTheme="majorEastAsia" w:hAnsiTheme="majorHAnsi" w:cstheme="majorBidi"/>
      <w:color w:val="365F91" w:themeColor="accent1" w:themeShade="BF"/>
      <w:sz w:val="26"/>
      <w:szCs w:val="26"/>
    </w:rPr>
  </w:style>
  <w:style w:type="character" w:customStyle="1" w:styleId="Kop3Char">
    <w:name w:val="Kop 3 Char"/>
    <w:link w:val="Kop3"/>
    <w:uiPriority w:val="1"/>
    <w:rsid w:val="00AD4DA5"/>
    <w:rPr>
      <w:rFonts w:asciiTheme="majorHAnsi" w:eastAsia="Times New Roman" w:hAnsiTheme="majorHAnsi"/>
      <w:b/>
      <w:bCs/>
      <w:smallCaps/>
      <w:color w:val="365F91" w:themeColor="accent1" w:themeShade="BF"/>
      <w:sz w:val="22"/>
      <w:szCs w:val="26"/>
    </w:rPr>
  </w:style>
  <w:style w:type="character" w:customStyle="1" w:styleId="Kop1Char">
    <w:name w:val="Kop 1 Char"/>
    <w:link w:val="Kop1"/>
    <w:uiPriority w:val="1"/>
    <w:rsid w:val="00AD4DA5"/>
    <w:rPr>
      <w:rFonts w:asciiTheme="majorHAnsi" w:eastAsiaTheme="majorEastAsia" w:hAnsiTheme="majorHAnsi" w:cstheme="majorBidi"/>
      <w:b/>
      <w:bCs/>
      <w:color w:val="365F91" w:themeColor="accent1" w:themeShade="BF"/>
      <w:kern w:val="32"/>
      <w:sz w:val="28"/>
      <w:szCs w:val="32"/>
    </w:rPr>
  </w:style>
  <w:style w:type="paragraph" w:styleId="Titel">
    <w:name w:val="Title"/>
    <w:basedOn w:val="Standaard"/>
    <w:next w:val="Standaard"/>
    <w:link w:val="TitelChar"/>
    <w:autoRedefine/>
    <w:qFormat/>
    <w:rsid w:val="00DF6498"/>
    <w:pPr>
      <w:spacing w:before="240" w:after="60"/>
      <w:jc w:val="center"/>
      <w:outlineLvl w:val="0"/>
    </w:pPr>
    <w:rPr>
      <w:rFonts w:eastAsiaTheme="majorEastAsia" w:cstheme="majorBidi"/>
      <w:b/>
      <w:bCs/>
      <w:kern w:val="28"/>
      <w:sz w:val="32"/>
      <w:szCs w:val="32"/>
    </w:rPr>
  </w:style>
  <w:style w:type="character" w:customStyle="1" w:styleId="TitelChar">
    <w:name w:val="Titel Char"/>
    <w:link w:val="Titel"/>
    <w:rsid w:val="00DF6498"/>
    <w:rPr>
      <w:rFonts w:ascii="Trebuchet MS" w:eastAsiaTheme="majorEastAsia" w:hAnsi="Trebuchet MS" w:cstheme="majorBidi"/>
      <w:b/>
      <w:bCs/>
      <w:kern w:val="28"/>
      <w:sz w:val="32"/>
      <w:szCs w:val="32"/>
    </w:rPr>
  </w:style>
  <w:style w:type="paragraph" w:styleId="Ondertitel">
    <w:name w:val="Subtitle"/>
    <w:basedOn w:val="Standaard"/>
    <w:next w:val="Standaard"/>
    <w:link w:val="OndertitelChar"/>
    <w:autoRedefine/>
    <w:uiPriority w:val="11"/>
    <w:qFormat/>
    <w:rsid w:val="00DF6498"/>
    <w:pPr>
      <w:spacing w:after="60"/>
      <w:jc w:val="center"/>
      <w:outlineLvl w:val="1"/>
    </w:pPr>
    <w:rPr>
      <w:rFonts w:eastAsia="Times New Roman"/>
      <w:sz w:val="24"/>
      <w:szCs w:val="24"/>
    </w:rPr>
  </w:style>
  <w:style w:type="character" w:customStyle="1" w:styleId="OndertitelChar">
    <w:name w:val="Ondertitel Char"/>
    <w:link w:val="Ondertitel"/>
    <w:uiPriority w:val="11"/>
    <w:rsid w:val="00DF6498"/>
    <w:rPr>
      <w:rFonts w:ascii="Trebuchet MS" w:eastAsia="Times New Roman" w:hAnsi="Trebuchet MS"/>
      <w:sz w:val="24"/>
      <w:szCs w:val="24"/>
    </w:rPr>
  </w:style>
  <w:style w:type="paragraph" w:styleId="Lijstalinea">
    <w:name w:val="List Paragraph"/>
    <w:basedOn w:val="Standaard"/>
    <w:uiPriority w:val="34"/>
    <w:qFormat/>
    <w:rsid w:val="005B2AF3"/>
    <w:pPr>
      <w:ind w:left="708"/>
    </w:pPr>
  </w:style>
  <w:style w:type="character" w:customStyle="1" w:styleId="Kop4Char">
    <w:name w:val="Kop 4 Char"/>
    <w:link w:val="Kop4"/>
    <w:uiPriority w:val="1"/>
    <w:rsid w:val="005B2AF3"/>
    <w:rPr>
      <w:rFonts w:eastAsiaTheme="minorEastAsia" w:cstheme="minorBidi"/>
      <w:b/>
      <w:bCs/>
      <w:sz w:val="22"/>
      <w:szCs w:val="28"/>
    </w:rPr>
  </w:style>
  <w:style w:type="paragraph" w:styleId="Lijstnummering">
    <w:name w:val="List Number"/>
    <w:basedOn w:val="Standaard"/>
    <w:autoRedefine/>
    <w:uiPriority w:val="4"/>
    <w:qFormat/>
    <w:rsid w:val="005B2AF3"/>
    <w:pPr>
      <w:numPr>
        <w:numId w:val="24"/>
      </w:numPr>
      <w:spacing w:before="20" w:after="20"/>
    </w:pPr>
    <w:rPr>
      <w:szCs w:val="22"/>
      <w:lang w:eastAsia="nl-NL"/>
    </w:rPr>
  </w:style>
  <w:style w:type="paragraph" w:styleId="Lijstopsomteken">
    <w:name w:val="List Bullet"/>
    <w:basedOn w:val="Standaard"/>
    <w:autoRedefine/>
    <w:uiPriority w:val="3"/>
    <w:qFormat/>
    <w:rsid w:val="005B2AF3"/>
    <w:pPr>
      <w:numPr>
        <w:numId w:val="22"/>
      </w:numPr>
      <w:spacing w:before="20" w:after="20"/>
    </w:pPr>
  </w:style>
  <w:style w:type="paragraph" w:styleId="Lijstopsomteken2">
    <w:name w:val="List Bullet 2"/>
    <w:basedOn w:val="Standaard"/>
    <w:autoRedefine/>
    <w:uiPriority w:val="3"/>
    <w:unhideWhenUsed/>
    <w:rsid w:val="005B2AF3"/>
    <w:pPr>
      <w:numPr>
        <w:ilvl w:val="1"/>
        <w:numId w:val="22"/>
      </w:numPr>
      <w:spacing w:before="20" w:after="20"/>
    </w:pPr>
  </w:style>
  <w:style w:type="paragraph" w:styleId="Lijstopsomteken3">
    <w:name w:val="List Bullet 3"/>
    <w:basedOn w:val="Standaard"/>
    <w:autoRedefine/>
    <w:uiPriority w:val="3"/>
    <w:unhideWhenUsed/>
    <w:rsid w:val="005B2AF3"/>
    <w:pPr>
      <w:numPr>
        <w:ilvl w:val="2"/>
        <w:numId w:val="22"/>
      </w:numPr>
      <w:spacing w:before="20" w:after="20"/>
    </w:pPr>
  </w:style>
  <w:style w:type="paragraph" w:styleId="Lijst">
    <w:name w:val="List"/>
    <w:basedOn w:val="Standaard"/>
    <w:autoRedefine/>
    <w:uiPriority w:val="99"/>
    <w:semiHidden/>
    <w:unhideWhenUsed/>
    <w:qFormat/>
    <w:rsid w:val="005B2AF3"/>
    <w:pPr>
      <w:numPr>
        <w:numId w:val="18"/>
      </w:numPr>
      <w:spacing w:before="20" w:after="20"/>
    </w:pPr>
  </w:style>
  <w:style w:type="paragraph" w:styleId="Lijstnummering3">
    <w:name w:val="List Number 3"/>
    <w:basedOn w:val="Standaard"/>
    <w:uiPriority w:val="4"/>
    <w:unhideWhenUsed/>
    <w:rsid w:val="005B2AF3"/>
    <w:pPr>
      <w:numPr>
        <w:ilvl w:val="2"/>
        <w:numId w:val="24"/>
      </w:numPr>
      <w:contextualSpacing/>
    </w:pPr>
  </w:style>
  <w:style w:type="paragraph" w:styleId="Lijstnummering2">
    <w:name w:val="List Number 2"/>
    <w:basedOn w:val="Standaard"/>
    <w:uiPriority w:val="4"/>
    <w:unhideWhenUsed/>
    <w:rsid w:val="005B2AF3"/>
    <w:pPr>
      <w:numPr>
        <w:ilvl w:val="1"/>
        <w:numId w:val="24"/>
      </w:numPr>
      <w:contextualSpacing/>
    </w:pPr>
  </w:style>
  <w:style w:type="paragraph" w:customStyle="1" w:styleId="Kop2-genummerd">
    <w:name w:val="Kop 2 - genummerd"/>
    <w:basedOn w:val="Kop2"/>
    <w:next w:val="Standaard"/>
    <w:autoRedefine/>
    <w:uiPriority w:val="2"/>
    <w:unhideWhenUsed/>
    <w:qFormat/>
    <w:rsid w:val="00E55BEF"/>
    <w:pPr>
      <w:numPr>
        <w:ilvl w:val="1"/>
        <w:numId w:val="38"/>
      </w:numPr>
    </w:pPr>
  </w:style>
  <w:style w:type="paragraph" w:customStyle="1" w:styleId="Kop1-genummerd">
    <w:name w:val="Kop 1 - genummerd"/>
    <w:basedOn w:val="Kop1"/>
    <w:next w:val="Standaard"/>
    <w:autoRedefine/>
    <w:uiPriority w:val="2"/>
    <w:qFormat/>
    <w:rsid w:val="00E55BEF"/>
    <w:pPr>
      <w:numPr>
        <w:numId w:val="4"/>
      </w:numPr>
    </w:pPr>
    <w:rPr>
      <w:rFonts w:eastAsia="Times New Roman" w:cs="Times New Roman"/>
    </w:rPr>
  </w:style>
  <w:style w:type="paragraph" w:customStyle="1" w:styleId="Kop3-genummerd">
    <w:name w:val="Kop 3 - genummerd"/>
    <w:basedOn w:val="Kop3"/>
    <w:next w:val="Standaard"/>
    <w:autoRedefine/>
    <w:uiPriority w:val="2"/>
    <w:unhideWhenUsed/>
    <w:qFormat/>
    <w:rsid w:val="00D66FC4"/>
    <w:pPr>
      <w:numPr>
        <w:ilvl w:val="2"/>
        <w:numId w:val="33"/>
      </w:numPr>
    </w:pPr>
  </w:style>
  <w:style w:type="paragraph" w:customStyle="1" w:styleId="Bijlage">
    <w:name w:val="Bijlage"/>
    <w:basedOn w:val="Kop1"/>
    <w:next w:val="Standaard"/>
    <w:autoRedefine/>
    <w:uiPriority w:val="3"/>
    <w:qFormat/>
    <w:rsid w:val="00E55BEF"/>
    <w:pPr>
      <w:numPr>
        <w:numId w:val="31"/>
      </w:numPr>
      <w:ind w:left="714" w:hanging="357"/>
      <w:contextualSpacing/>
    </w:pPr>
    <w:rPr>
      <w:rFonts w:eastAsia="Times New Roman" w:cs="Times New Roman"/>
    </w:rPr>
  </w:style>
  <w:style w:type="paragraph" w:styleId="Citaat">
    <w:name w:val="Quote"/>
    <w:basedOn w:val="Standaard"/>
    <w:next w:val="Standaard"/>
    <w:link w:val="CitaatChar"/>
    <w:uiPriority w:val="29"/>
    <w:qFormat/>
    <w:rsid w:val="00FF732F"/>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FF732F"/>
    <w:rPr>
      <w:rFonts w:ascii="Trebuchet MS" w:hAnsi="Trebuchet MS"/>
      <w:i/>
      <w:iCs/>
      <w:color w:val="404040" w:themeColor="text1" w:themeTint="BF"/>
    </w:rPr>
  </w:style>
  <w:style w:type="paragraph" w:customStyle="1" w:styleId="Nummer4">
    <w:name w:val="Nummer 4"/>
    <w:basedOn w:val="Standaard"/>
    <w:link w:val="Nummer4Char"/>
    <w:autoRedefine/>
    <w:qFormat/>
    <w:rsid w:val="00AD4DA5"/>
    <w:rPr>
      <w:rFonts w:asciiTheme="majorHAnsi" w:hAnsiTheme="majorHAnsi"/>
      <w:bCs/>
      <w:color w:val="365F91" w:themeColor="accent1" w:themeShade="BF"/>
      <w:sz w:val="20"/>
      <w:lang w:val="en-GB"/>
    </w:rPr>
  </w:style>
  <w:style w:type="character" w:customStyle="1" w:styleId="Nummer4Char">
    <w:name w:val="Nummer 4 Char"/>
    <w:basedOn w:val="Standaardalinea-lettertype"/>
    <w:link w:val="Nummer4"/>
    <w:rsid w:val="00AD4DA5"/>
    <w:rPr>
      <w:rFonts w:asciiTheme="majorHAnsi" w:hAnsiTheme="majorHAnsi"/>
      <w:bCs/>
      <w:color w:val="365F91" w:themeColor="accent1" w:themeShade="BF"/>
      <w:lang w:val="en-GB"/>
    </w:rPr>
  </w:style>
  <w:style w:type="character" w:customStyle="1" w:styleId="Kop5Char">
    <w:name w:val="Kop 5 Char"/>
    <w:basedOn w:val="Standaardalinea-lettertype"/>
    <w:link w:val="Kop5"/>
    <w:uiPriority w:val="1"/>
    <w:semiHidden/>
    <w:rsid w:val="00F96FAA"/>
    <w:rPr>
      <w:rFonts w:asciiTheme="minorHAnsi" w:eastAsiaTheme="majorEastAsia" w:hAnsiTheme="minorHAnsi" w:cstheme="majorBidi"/>
      <w:color w:val="365F91" w:themeColor="accent1" w:themeShade="BF"/>
      <w:sz w:val="22"/>
    </w:rPr>
  </w:style>
  <w:style w:type="character" w:customStyle="1" w:styleId="Kop6Char">
    <w:name w:val="Kop 6 Char"/>
    <w:basedOn w:val="Standaardalinea-lettertype"/>
    <w:link w:val="Kop6"/>
    <w:uiPriority w:val="1"/>
    <w:semiHidden/>
    <w:rsid w:val="00F96FAA"/>
    <w:rPr>
      <w:rFonts w:asciiTheme="minorHAnsi" w:eastAsiaTheme="majorEastAsia" w:hAnsiTheme="minorHAnsi" w:cstheme="majorBidi"/>
      <w:i/>
      <w:iCs/>
      <w:color w:val="595959" w:themeColor="text1" w:themeTint="A6"/>
      <w:sz w:val="22"/>
    </w:rPr>
  </w:style>
  <w:style w:type="character" w:customStyle="1" w:styleId="Kop7Char">
    <w:name w:val="Kop 7 Char"/>
    <w:basedOn w:val="Standaardalinea-lettertype"/>
    <w:link w:val="Kop7"/>
    <w:uiPriority w:val="1"/>
    <w:semiHidden/>
    <w:rsid w:val="00F96FAA"/>
    <w:rPr>
      <w:rFonts w:asciiTheme="minorHAnsi" w:eastAsiaTheme="majorEastAsia" w:hAnsiTheme="minorHAnsi" w:cstheme="majorBidi"/>
      <w:color w:val="595959" w:themeColor="text1" w:themeTint="A6"/>
      <w:sz w:val="22"/>
    </w:rPr>
  </w:style>
  <w:style w:type="character" w:customStyle="1" w:styleId="Kop8Char">
    <w:name w:val="Kop 8 Char"/>
    <w:basedOn w:val="Standaardalinea-lettertype"/>
    <w:link w:val="Kop8"/>
    <w:uiPriority w:val="1"/>
    <w:semiHidden/>
    <w:rsid w:val="00F96FAA"/>
    <w:rPr>
      <w:rFonts w:asciiTheme="minorHAnsi" w:eastAsiaTheme="majorEastAsia" w:hAnsiTheme="minorHAnsi" w:cstheme="majorBidi"/>
      <w:i/>
      <w:iCs/>
      <w:color w:val="272727" w:themeColor="text1" w:themeTint="D8"/>
      <w:sz w:val="22"/>
    </w:rPr>
  </w:style>
  <w:style w:type="character" w:customStyle="1" w:styleId="Kop9Char">
    <w:name w:val="Kop 9 Char"/>
    <w:basedOn w:val="Standaardalinea-lettertype"/>
    <w:link w:val="Kop9"/>
    <w:uiPriority w:val="1"/>
    <w:semiHidden/>
    <w:rsid w:val="00F96FAA"/>
    <w:rPr>
      <w:rFonts w:asciiTheme="minorHAnsi" w:eastAsiaTheme="majorEastAsia" w:hAnsiTheme="minorHAnsi" w:cstheme="majorBidi"/>
      <w:color w:val="272727" w:themeColor="text1" w:themeTint="D8"/>
      <w:sz w:val="22"/>
    </w:rPr>
  </w:style>
  <w:style w:type="character" w:styleId="Intensievebenadrukking">
    <w:name w:val="Intense Emphasis"/>
    <w:basedOn w:val="Standaardalinea-lettertype"/>
    <w:uiPriority w:val="21"/>
    <w:rsid w:val="00F96FAA"/>
    <w:rPr>
      <w:i/>
      <w:iCs/>
      <w:color w:val="365F91" w:themeColor="accent1" w:themeShade="BF"/>
    </w:rPr>
  </w:style>
  <w:style w:type="paragraph" w:styleId="Duidelijkcitaat">
    <w:name w:val="Intense Quote"/>
    <w:basedOn w:val="Standaard"/>
    <w:next w:val="Standaard"/>
    <w:link w:val="DuidelijkcitaatChar"/>
    <w:uiPriority w:val="30"/>
    <w:rsid w:val="00F96FAA"/>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DuidelijkcitaatChar">
    <w:name w:val="Duidelijk citaat Char"/>
    <w:basedOn w:val="Standaardalinea-lettertype"/>
    <w:link w:val="Duidelijkcitaat"/>
    <w:uiPriority w:val="30"/>
    <w:rsid w:val="00F96FAA"/>
    <w:rPr>
      <w:rFonts w:asciiTheme="minorHAnsi" w:hAnsiTheme="minorHAnsi"/>
      <w:i/>
      <w:iCs/>
      <w:color w:val="365F91" w:themeColor="accent1" w:themeShade="BF"/>
      <w:sz w:val="22"/>
    </w:rPr>
  </w:style>
  <w:style w:type="character" w:styleId="Intensieveverwijzing">
    <w:name w:val="Intense Reference"/>
    <w:basedOn w:val="Standaardalinea-lettertype"/>
    <w:uiPriority w:val="32"/>
    <w:rsid w:val="00F96FAA"/>
    <w:rPr>
      <w:b/>
      <w:bCs/>
      <w:smallCaps/>
      <w:color w:val="365F91" w:themeColor="accent1" w:themeShade="BF"/>
      <w:spacing w:val="5"/>
    </w:rPr>
  </w:style>
  <w:style w:type="character" w:styleId="Nadruk">
    <w:name w:val="Emphasis"/>
    <w:basedOn w:val="Standaardalinea-lettertype"/>
    <w:uiPriority w:val="20"/>
    <w:qFormat/>
    <w:rsid w:val="00F96FAA"/>
    <w:rPr>
      <w:i/>
      <w:iCs/>
    </w:rPr>
  </w:style>
  <w:style w:type="character" w:styleId="Hyperlink">
    <w:name w:val="Hyperlink"/>
    <w:basedOn w:val="Standaardalinea-lettertype"/>
    <w:uiPriority w:val="99"/>
    <w:unhideWhenUsed/>
    <w:rsid w:val="00F96FAA"/>
    <w:rPr>
      <w:color w:val="0000FF"/>
      <w:u w:val="single"/>
    </w:rPr>
  </w:style>
  <w:style w:type="paragraph" w:styleId="Geenafstand">
    <w:name w:val="No Spacing"/>
    <w:uiPriority w:val="1"/>
    <w:qFormat/>
    <w:rsid w:val="00F96FAA"/>
    <w:rPr>
      <w:rFonts w:asciiTheme="minorHAnsi" w:eastAsiaTheme="minorHAnsi" w:hAnsiTheme="minorHAnsi" w:cstheme="minorBidi"/>
      <w:sz w:val="22"/>
      <w:szCs w:val="22"/>
    </w:rPr>
  </w:style>
  <w:style w:type="table" w:styleId="Tabelraster">
    <w:name w:val="Table Grid"/>
    <w:basedOn w:val="Standaardtabel"/>
    <w:uiPriority w:val="59"/>
    <w:rsid w:val="00F96F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F96FAA"/>
    <w:pPr>
      <w:tabs>
        <w:tab w:val="center" w:pos="4536"/>
        <w:tab w:val="right" w:pos="9072"/>
      </w:tabs>
    </w:pPr>
  </w:style>
  <w:style w:type="character" w:customStyle="1" w:styleId="KoptekstChar">
    <w:name w:val="Koptekst Char"/>
    <w:basedOn w:val="Standaardalinea-lettertype"/>
    <w:link w:val="Koptekst"/>
    <w:uiPriority w:val="99"/>
    <w:rsid w:val="00F96FAA"/>
    <w:rPr>
      <w:rFonts w:asciiTheme="minorHAnsi" w:hAnsiTheme="minorHAnsi"/>
      <w:sz w:val="22"/>
    </w:rPr>
  </w:style>
  <w:style w:type="character" w:styleId="Onopgelostemelding">
    <w:name w:val="Unresolved Mention"/>
    <w:basedOn w:val="Standaardalinea-lettertype"/>
    <w:uiPriority w:val="99"/>
    <w:semiHidden/>
    <w:unhideWhenUsed/>
    <w:rsid w:val="002F41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0545961">
      <w:bodyDiv w:val="1"/>
      <w:marLeft w:val="0"/>
      <w:marRight w:val="0"/>
      <w:marTop w:val="0"/>
      <w:marBottom w:val="0"/>
      <w:divBdr>
        <w:top w:val="none" w:sz="0" w:space="0" w:color="auto"/>
        <w:left w:val="none" w:sz="0" w:space="0" w:color="auto"/>
        <w:bottom w:val="none" w:sz="0" w:space="0" w:color="auto"/>
        <w:right w:val="none" w:sz="0" w:space="0" w:color="auto"/>
      </w:divBdr>
    </w:div>
    <w:div w:id="421998132">
      <w:bodyDiv w:val="1"/>
      <w:marLeft w:val="0"/>
      <w:marRight w:val="0"/>
      <w:marTop w:val="0"/>
      <w:marBottom w:val="0"/>
      <w:divBdr>
        <w:top w:val="none" w:sz="0" w:space="0" w:color="auto"/>
        <w:left w:val="none" w:sz="0" w:space="0" w:color="auto"/>
        <w:bottom w:val="none" w:sz="0" w:space="0" w:color="auto"/>
        <w:right w:val="none" w:sz="0" w:space="0" w:color="auto"/>
      </w:divBdr>
    </w:div>
    <w:div w:id="1022589322">
      <w:bodyDiv w:val="1"/>
      <w:marLeft w:val="0"/>
      <w:marRight w:val="0"/>
      <w:marTop w:val="0"/>
      <w:marBottom w:val="0"/>
      <w:divBdr>
        <w:top w:val="none" w:sz="0" w:space="0" w:color="auto"/>
        <w:left w:val="none" w:sz="0" w:space="0" w:color="auto"/>
        <w:bottom w:val="none" w:sz="0" w:space="0" w:color="auto"/>
        <w:right w:val="none" w:sz="0" w:space="0" w:color="auto"/>
      </w:divBdr>
    </w:div>
    <w:div w:id="1593582165">
      <w:bodyDiv w:val="1"/>
      <w:marLeft w:val="0"/>
      <w:marRight w:val="0"/>
      <w:marTop w:val="0"/>
      <w:marBottom w:val="0"/>
      <w:divBdr>
        <w:top w:val="none" w:sz="0" w:space="0" w:color="auto"/>
        <w:left w:val="none" w:sz="0" w:space="0" w:color="auto"/>
        <w:bottom w:val="none" w:sz="0" w:space="0" w:color="auto"/>
        <w:right w:val="none" w:sz="0" w:space="0" w:color="auto"/>
      </w:divBdr>
    </w:div>
    <w:div w:id="1628975658">
      <w:bodyDiv w:val="1"/>
      <w:marLeft w:val="0"/>
      <w:marRight w:val="0"/>
      <w:marTop w:val="0"/>
      <w:marBottom w:val="0"/>
      <w:divBdr>
        <w:top w:val="none" w:sz="0" w:space="0" w:color="auto"/>
        <w:left w:val="none" w:sz="0" w:space="0" w:color="auto"/>
        <w:bottom w:val="none" w:sz="0" w:space="0" w:color="auto"/>
        <w:right w:val="none" w:sz="0" w:space="0" w:color="auto"/>
      </w:divBdr>
    </w:div>
    <w:div w:id="2110736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doi.org/10.1007/s10198-024-01579-1" TargetMode="External"/><Relationship Id="rId18" Type="http://schemas.openxmlformats.org/officeDocument/2006/relationships/hyperlink" Target="https://doi.org/10.1787/9789264307391-en" TargetMode="External"/><Relationship Id="rId26" Type="http://schemas.openxmlformats.org/officeDocument/2006/relationships/hyperlink" Target="https://doi.org/10.1007/s40273-021-01065-y" TargetMode="External"/><Relationship Id="rId3" Type="http://schemas.openxmlformats.org/officeDocument/2006/relationships/customXml" Target="../customXml/item3.xml"/><Relationship Id="rId21" Type="http://schemas.openxmlformats.org/officeDocument/2006/relationships/hyperlink" Target="https://doi.org/10.1038/nrd3078" TargetMode="External"/><Relationship Id="rId7" Type="http://schemas.openxmlformats.org/officeDocument/2006/relationships/webSettings" Target="webSettings.xml"/><Relationship Id="rId12" Type="http://schemas.openxmlformats.org/officeDocument/2006/relationships/hyperlink" Target="https://doi.org/10.1080/14737167.2022.2021513" TargetMode="External"/><Relationship Id="rId17" Type="http://schemas.openxmlformats.org/officeDocument/2006/relationships/hyperlink" Target="https://data.worldbank.org/indicator/SP.POP.TOTL?locations=OE" TargetMode="External"/><Relationship Id="rId25" Type="http://schemas.openxmlformats.org/officeDocument/2006/relationships/hyperlink" Target="https://doi.org/10.1136/bmj.e4348"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doi.org/10.1080/14737167.2018.1412508" TargetMode="External"/><Relationship Id="rId20" Type="http://schemas.openxmlformats.org/officeDocument/2006/relationships/hyperlink" Target="https://doi.org/10.1016/j.jhealeco.2016.01.012" TargetMode="External"/><Relationship Id="rId29" Type="http://schemas.openxmlformats.org/officeDocument/2006/relationships/hyperlink" Target="https://doi.org/10.1186/s12962-020-00219-y"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oi.org/10.1038/s41571-018-0027-x" TargetMode="External"/><Relationship Id="rId24" Type="http://schemas.openxmlformats.org/officeDocument/2006/relationships/hyperlink" Target="https://doi.org/10.1001/jamainternmed.2017.3601"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doi.org/10.1016/j.jhealeco.2022.102613" TargetMode="External"/><Relationship Id="rId23" Type="http://schemas.openxmlformats.org/officeDocument/2006/relationships/hyperlink" Target="https://doi.org/10.1001/jamanetworkopen.2024.15445" TargetMode="External"/><Relationship Id="rId28" Type="http://schemas.openxmlformats.org/officeDocument/2006/relationships/hyperlink" Target="https://doi.org/10.1186/s13023-019-1104-7" TargetMode="External"/><Relationship Id="rId10" Type="http://schemas.openxmlformats.org/officeDocument/2006/relationships/header" Target="header1.xml"/><Relationship Id="rId19" Type="http://schemas.openxmlformats.org/officeDocument/2006/relationships/hyperlink" Target="https://doi.org/10.1001/jamainternmed.2017.4329" TargetMode="External"/><Relationship Id="rId31"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doi.org/10.1186/s13023-024-03446-w" TargetMode="External"/><Relationship Id="rId22" Type="http://schemas.openxmlformats.org/officeDocument/2006/relationships/hyperlink" Target="https://doi.org/10.1001/jama.2020.1166" TargetMode="External"/><Relationship Id="rId27" Type="http://schemas.openxmlformats.org/officeDocument/2006/relationships/hyperlink" Target="https://doi.org/10.3390/healthcare11040558" TargetMode="External"/><Relationship Id="rId30" Type="http://schemas.openxmlformats.org/officeDocument/2006/relationships/hyperlink" Target="https://doi.org/10.1016/j.apsb.2022.02.002"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5D81473C3445442BDF3E26564559A3B" ma:contentTypeVersion="2" ma:contentTypeDescription="Een nieuw document maken." ma:contentTypeScope="" ma:versionID="1ed84e6ff209cc0ba7e5214966a74913">
  <xsd:schema xmlns:xsd="http://www.w3.org/2001/XMLSchema" xmlns:xs="http://www.w3.org/2001/XMLSchema" xmlns:p="http://schemas.microsoft.com/office/2006/metadata/properties" xmlns:ns2="cfdd5b53-9357-4da0-b98a-83bb99318b32" targetNamespace="http://schemas.microsoft.com/office/2006/metadata/properties" ma:root="true" ma:fieldsID="cdeb3c6ebd7cc2d2934b580c44adbdee" ns2:_="">
    <xsd:import namespace="cfdd5b53-9357-4da0-b98a-83bb99318b32"/>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d5b53-9357-4da0-b98a-83bb99318b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1EA6E3-639A-4968-B0FF-9D4D4193949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D233EB2-64DC-4406-8894-6E9FA12C8971}">
  <ds:schemaRefs>
    <ds:schemaRef ds:uri="http://schemas.microsoft.com/sharepoint/v3/contenttype/forms"/>
  </ds:schemaRefs>
</ds:datastoreItem>
</file>

<file path=customXml/itemProps3.xml><?xml version="1.0" encoding="utf-8"?>
<ds:datastoreItem xmlns:ds="http://schemas.openxmlformats.org/officeDocument/2006/customXml" ds:itemID="{5B9D113B-D6E8-413A-A3E9-AD46BCB3EB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d5b53-9357-4da0-b98a-83bb99318b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4909</Words>
  <Characters>27982</Characters>
  <Application>Microsoft Office Word</Application>
  <DocSecurity>0</DocSecurity>
  <Lines>233</Lines>
  <Paragraphs>65</Paragraphs>
  <ScaleCrop>false</ScaleCrop>
  <Company/>
  <LinksUpToDate>false</LinksUpToDate>
  <CharactersWithSpaces>32826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Manders, E.A. (Evert)</dc:creator>
  <cp:keywords/>
  <dc:description/>
  <cp:lastModifiedBy>Manders, E.A. (Evert)</cp:lastModifiedBy>
  <cp:revision>6</cp:revision>
  <dcterms:created xsi:type="dcterms:W3CDTF">2025-06-04T14:02:00Z</dcterms:created>
  <dcterms:modified xsi:type="dcterms:W3CDTF">2025-06-04T14:09:00Z</dcterms:modified>
</cp:coreProperties>
</file>