
<file path=[Content_Types].xml><?xml version="1.0" encoding="utf-8"?>
<Types xmlns="http://schemas.openxmlformats.org/package/2006/content-types">
  <Default Extension="tiff" ContentType="image/tif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96022F">
      <w:pPr>
        <w:spacing w:after="0" w:line="360" w:lineRule="auto"/>
        <w:jc w:val="center"/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8"/>
          <w:szCs w:val="28"/>
          <w:lang w:eastAsia="zh-CN"/>
        </w:rPr>
        <w:t>Supplementary Materials</w:t>
      </w:r>
      <w:bookmarkStart w:id="0" w:name="_GoBack"/>
      <w:bookmarkEnd w:id="0"/>
    </w:p>
    <w:p w14:paraId="584EA0CA">
      <w:pPr>
        <w:spacing w:after="0" w:line="360" w:lineRule="auto"/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</w:pPr>
    </w:p>
    <w:p w14:paraId="71333DF6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val="en-US" w:eastAsia="zh-CN" w:bidi="ar"/>
          <w14:ligatures w14:val="standardContextual"/>
        </w:rPr>
        <w:t>Table S1.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  <w14:ligatures w14:val="standardContextual"/>
        </w:rPr>
        <w:t xml:space="preserve"> Unit area content of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bendiocarb</w:t>
      </w:r>
      <w:r>
        <w:rPr>
          <w:rFonts w:hint="default" w:ascii="Times New Roman" w:hAnsi="Times New Roman" w:eastAsia="宋体" w:cs="Times New Roman"/>
          <w:color w:val="000000"/>
          <w:kern w:val="0"/>
          <w:sz w:val="24"/>
          <w:szCs w:val="24"/>
          <w:lang w:val="en-US" w:eastAsia="zh-CN" w:bidi="ar"/>
          <w14:ligatures w14:val="standardContextual"/>
        </w:rPr>
        <w:t xml:space="preserve"> in microencapsulated fabrics with different washing cycles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1538"/>
        <w:gridCol w:w="3213"/>
      </w:tblGrid>
      <w:tr w14:paraId="0BEDE2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04DB0EF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Number of washes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9D9AF51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 xml:space="preserve">Peak area of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6BBB53A8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Content per unit area (mg/m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)</w:t>
            </w:r>
          </w:p>
        </w:tc>
      </w:tr>
      <w:tr w14:paraId="68F16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722DAC1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E207C35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20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319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0894A504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127.64</w:t>
            </w:r>
          </w:p>
        </w:tc>
      </w:tr>
      <w:tr w14:paraId="29685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500564B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E9177EF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107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45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08FB23DB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67.50</w:t>
            </w:r>
          </w:p>
        </w:tc>
      </w:tr>
      <w:tr w14:paraId="1CFCE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55D834C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F441698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61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36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5C1FFF5A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38.55</w:t>
            </w:r>
          </w:p>
        </w:tc>
      </w:tr>
      <w:tr w14:paraId="1318E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6E6C63C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67DDEBF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59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90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00B86C8F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63</w:t>
            </w:r>
          </w:p>
        </w:tc>
      </w:tr>
      <w:tr w14:paraId="3A45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9D050D3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FE17052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5485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45BCD594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34.46</w:t>
            </w:r>
          </w:p>
        </w:tc>
      </w:tr>
    </w:tbl>
    <w:p w14:paraId="57CACBAC"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</w:p>
    <w:p w14:paraId="25963D74">
      <w:pPr>
        <w:jc w:val="center"/>
        <w:rPr>
          <w:rFonts w:hint="eastAsia" w:ascii="Times New Roman" w:hAnsi="Times New Roman" w:cs="Times New Roman" w:eastAsiaTheme="minorEastAsia"/>
          <w:b w:val="0"/>
          <w:bCs w:val="0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 xml:space="preserve">. 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lang w:eastAsia="zh-CN"/>
        </w:rPr>
        <w:t xml:space="preserve">Content of glufosinate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bendiocarb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lang w:eastAsia="zh-CN"/>
        </w:rPr>
        <w:t xml:space="preserve"> per unit area in microencapsulated fabrics with different slow-release cycles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1538"/>
        <w:gridCol w:w="3213"/>
      </w:tblGrid>
      <w:tr w14:paraId="766A8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CE75C5F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Number of washes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0C91BFA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 xml:space="preserve">Peak area of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2267D5A5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Content per unit area (mg/m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)</w:t>
            </w:r>
          </w:p>
        </w:tc>
      </w:tr>
      <w:tr w14:paraId="67CE3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58ED114A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44219A8D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</w:rPr>
              <w:t>20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603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1B3CBB7D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131.51</w:t>
            </w:r>
          </w:p>
        </w:tc>
      </w:tr>
      <w:tr w14:paraId="54B1C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A12F72E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4B32CD8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7854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0D79DC4F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113.96</w:t>
            </w:r>
          </w:p>
        </w:tc>
      </w:tr>
      <w:tr w14:paraId="02A3D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0AA7264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7D5778A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12259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7B7A5E05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78.25</w:t>
            </w:r>
          </w:p>
        </w:tc>
      </w:tr>
      <w:tr w14:paraId="1C37F2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1D5488D0">
            <w:pPr>
              <w:spacing w:after="0"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31B5C486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8037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033C16B6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51.30</w:t>
            </w:r>
          </w:p>
        </w:tc>
      </w:tr>
      <w:tr w14:paraId="1AC5A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62E5A83B">
            <w:pPr>
              <w:spacing w:after="0" w:line="360" w:lineRule="auto"/>
              <w:jc w:val="center"/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left w:val="nil"/>
              <w:right w:val="nil"/>
            </w:tcBorders>
            <w:vAlign w:val="center"/>
          </w:tcPr>
          <w:p w14:paraId="07EE5985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6336</w:t>
            </w:r>
          </w:p>
        </w:tc>
        <w:tc>
          <w:tcPr>
            <w:tcW w:w="3213" w:type="dxa"/>
            <w:tcBorders>
              <w:left w:val="nil"/>
              <w:right w:val="nil"/>
            </w:tcBorders>
            <w:vAlign w:val="center"/>
          </w:tcPr>
          <w:p w14:paraId="6B60A798">
            <w:pPr>
              <w:pStyle w:val="2"/>
              <w:keepNext w:val="0"/>
              <w:keepLines w:val="0"/>
              <w:widowControl/>
              <w:suppressLineNumbers w:val="0"/>
              <w:kinsoku/>
              <w:wordWrap/>
              <w:overflowPunct/>
              <w:ind w:left="0" w:leftChars="0" w:right="0" w:rightChars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40.44</w:t>
            </w:r>
          </w:p>
        </w:tc>
      </w:tr>
    </w:tbl>
    <w:p w14:paraId="014685D7"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</w:p>
    <w:p w14:paraId="1D59515D"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</w:p>
    <w:p w14:paraId="19122D97">
      <w:pPr>
        <w:spacing w:after="0" w:line="360" w:lineRule="auto"/>
        <w:jc w:val="both"/>
        <w:rPr>
          <w:rFonts w:hint="default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drawing>
          <wp:inline distT="0" distB="0" distL="114300" distR="114300">
            <wp:extent cx="5793740" cy="3285490"/>
            <wp:effectExtent l="0" t="0" r="16510" b="10160"/>
            <wp:docPr id="4" name="图片 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3740" cy="3285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0E69C">
      <w:pPr>
        <w:spacing w:after="0" w:line="360" w:lineRule="auto"/>
        <w:jc w:val="center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vertAlign w:val="baseline"/>
          <w:lang w:val="en-US" w:eastAsia="zh-CN"/>
        </w:rPr>
        <w:t xml:space="preserve">Figure S1. 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Plot of liquid phase test for 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>bendiocarb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vertAlign w:val="baseline"/>
          <w:lang w:val="en-US" w:eastAsia="zh-CN"/>
        </w:rPr>
        <w:t xml:space="preserve"> content in microencapsulated fabrics with different washing cycles</w:t>
      </w:r>
    </w:p>
    <w:p w14:paraId="239EB63F"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</w:p>
    <w:p w14:paraId="73921AED"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drawing>
          <wp:inline distT="0" distB="0" distL="114300" distR="114300">
            <wp:extent cx="5266690" cy="3026410"/>
            <wp:effectExtent l="0" t="0" r="10160" b="2540"/>
            <wp:docPr id="36" name="图片 36" descr="缓释液相图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缓释液相图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02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EEBB5">
      <w:pPr>
        <w:jc w:val="center"/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>Fig. S1.</w:t>
      </w:r>
      <w:r>
        <w:rPr>
          <w:rFonts w:hint="eastAsia" w:ascii="Times New Roman" w:hAnsi="Times New Roman" w:cs="Times New Roman" w:eastAsiaTheme="minorEastAsia"/>
          <w:b w:val="0"/>
          <w:bCs w:val="0"/>
          <w:sz w:val="24"/>
          <w:lang w:eastAsia="zh-CN"/>
        </w:rPr>
        <w:t xml:space="preserve"> Liquid phase test of oxamethonium content in microencapsulated fabrics with different slow-release cycles</w:t>
      </w:r>
    </w:p>
    <w:p w14:paraId="1EAD18D6"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</w:p>
    <w:p w14:paraId="4FDD87C1">
      <w:pP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A528C0"/>
    <w:rsid w:val="13D351E1"/>
    <w:rsid w:val="25465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tiff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345</Words>
  <Characters>656</Characters>
  <Lines>0</Lines>
  <Paragraphs>0</Paragraphs>
  <TotalTime>63</TotalTime>
  <ScaleCrop>false</ScaleCrop>
  <LinksUpToDate>false</LinksUpToDate>
  <CharactersWithSpaces>710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2025-05-22T13:02:00Z</dcterms:created>
  <dc:creator>双木非林</dc:creator>
  <cp:lastModifiedBy>双木非林</cp:lastModifiedBy>
  <dcterms:modified xsi:type="dcterms:W3CDTF">2025-06-04T09:44:04Z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9B2873A7FBA544BF81F7B60F2933C079_11</vt:lpwstr>
  </property>
  <property fmtid="{D5CDD505-2E9C-101B-9397-08002B2CF9AE}" pid="4" name="KSOTemplateDocerSaveRecord">
    <vt:lpwstr>eyJoZGlkIjoiOTdhZGZjMWE3M2RhMGQzM2IzZDg1NzVkMDQwMmM2M2MiLCJ1c2VySWQiOiI5MDQyOTgzNTYifQ==</vt:lpwstr>
  </property>
</Properties>
</file>