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79C" w:rsidRDefault="00C96E17" w:rsidP="001016F9">
      <w:pPr>
        <w:spacing w:line="360" w:lineRule="auto"/>
        <w:jc w:val="both"/>
        <w:rPr>
          <w:rFonts w:ascii="Times New Roman" w:hAnsi="Times New Roman" w:cs="Times New Roman"/>
          <w:b/>
          <w:sz w:val="24"/>
          <w:szCs w:val="24"/>
        </w:rPr>
      </w:pPr>
      <w:r w:rsidRPr="00C96E17">
        <w:rPr>
          <w:rFonts w:ascii="Times New Roman" w:hAnsi="Times New Roman" w:cs="Times New Roman"/>
          <w:b/>
          <w:sz w:val="24"/>
          <w:szCs w:val="24"/>
        </w:rPr>
        <w:t>Sample Collection and Processing</w:t>
      </w:r>
    </w:p>
    <w:p w:rsidR="00C96E17" w:rsidRPr="00FB5706" w:rsidRDefault="00FB5706" w:rsidP="001016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Approximately 8mls of whole blood was collected in Roche </w:t>
      </w:r>
      <w:proofErr w:type="spellStart"/>
      <w:r>
        <w:rPr>
          <w:rFonts w:ascii="Times New Roman" w:hAnsi="Times New Roman" w:cs="Times New Roman"/>
          <w:sz w:val="24"/>
          <w:szCs w:val="24"/>
        </w:rPr>
        <w:t>ccfDNA</w:t>
      </w:r>
      <w:proofErr w:type="spellEnd"/>
      <w:r>
        <w:rPr>
          <w:rFonts w:ascii="Times New Roman" w:hAnsi="Times New Roman" w:cs="Times New Roman"/>
          <w:sz w:val="24"/>
          <w:szCs w:val="24"/>
        </w:rPr>
        <w:t xml:space="preserve"> tubes or </w:t>
      </w:r>
      <w:proofErr w:type="spellStart"/>
      <w:r>
        <w:rPr>
          <w:rFonts w:ascii="Times New Roman" w:hAnsi="Times New Roman" w:cs="Times New Roman"/>
          <w:sz w:val="24"/>
          <w:szCs w:val="24"/>
        </w:rPr>
        <w:t>PAXgene</w:t>
      </w:r>
      <w:proofErr w:type="spellEnd"/>
      <w:r>
        <w:rPr>
          <w:rFonts w:ascii="Times New Roman" w:hAnsi="Times New Roman" w:cs="Times New Roman"/>
          <w:sz w:val="24"/>
          <w:szCs w:val="24"/>
        </w:rPr>
        <w:t xml:space="preserve"> blood </w:t>
      </w:r>
      <w:proofErr w:type="spellStart"/>
      <w:r>
        <w:rPr>
          <w:rFonts w:ascii="Times New Roman" w:hAnsi="Times New Roman" w:cs="Times New Roman"/>
          <w:sz w:val="24"/>
          <w:szCs w:val="24"/>
        </w:rPr>
        <w:t>ccfDNA</w:t>
      </w:r>
      <w:proofErr w:type="spellEnd"/>
      <w:r>
        <w:rPr>
          <w:rFonts w:ascii="Times New Roman" w:hAnsi="Times New Roman" w:cs="Times New Roman"/>
          <w:sz w:val="24"/>
          <w:szCs w:val="24"/>
        </w:rPr>
        <w:t xml:space="preserve"> tubes.  Plasma was separated by centrifugation at 1600g for a duration of 15 minutes</w:t>
      </w:r>
      <w:r w:rsidR="00BA368F">
        <w:rPr>
          <w:rFonts w:ascii="Times New Roman" w:hAnsi="Times New Roman" w:cs="Times New Roman"/>
          <w:sz w:val="24"/>
          <w:szCs w:val="24"/>
        </w:rPr>
        <w:t xml:space="preserve"> continuously</w:t>
      </w:r>
      <w:r>
        <w:rPr>
          <w:rFonts w:ascii="Times New Roman" w:hAnsi="Times New Roman" w:cs="Times New Roman"/>
          <w:sz w:val="24"/>
          <w:szCs w:val="24"/>
        </w:rPr>
        <w:t xml:space="preserve">, followed by a second centrifugation of the separated plasma at 4500g for 15 minutes.  Separated plasma was stored in 1.5ml Eppendorf tubes at </w:t>
      </w:r>
      <w:r w:rsidR="00126901">
        <w:rPr>
          <w:rFonts w:ascii="Times New Roman" w:hAnsi="Times New Roman" w:cs="Times New Roman"/>
          <w:sz w:val="24"/>
          <w:szCs w:val="24"/>
        </w:rPr>
        <w:t>–</w:t>
      </w:r>
      <w:r>
        <w:rPr>
          <w:rFonts w:ascii="Times New Roman" w:hAnsi="Times New Roman" w:cs="Times New Roman"/>
          <w:sz w:val="24"/>
          <w:szCs w:val="24"/>
        </w:rPr>
        <w:t>80°C.</w:t>
      </w:r>
    </w:p>
    <w:p w:rsidR="00C96E17" w:rsidRDefault="00C96E17" w:rsidP="001016F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Extraction </w:t>
      </w:r>
      <w:r w:rsidR="00126901">
        <w:rPr>
          <w:rFonts w:ascii="Times New Roman" w:hAnsi="Times New Roman" w:cs="Times New Roman"/>
          <w:b/>
          <w:sz w:val="24"/>
          <w:szCs w:val="24"/>
        </w:rPr>
        <w:t xml:space="preserve">and Quantification </w:t>
      </w:r>
      <w:r>
        <w:rPr>
          <w:rFonts w:ascii="Times New Roman" w:hAnsi="Times New Roman" w:cs="Times New Roman"/>
          <w:b/>
          <w:sz w:val="24"/>
          <w:szCs w:val="24"/>
        </w:rPr>
        <w:t xml:space="preserve">of </w:t>
      </w:r>
      <w:proofErr w:type="spellStart"/>
      <w:r>
        <w:rPr>
          <w:rFonts w:ascii="Times New Roman" w:hAnsi="Times New Roman" w:cs="Times New Roman"/>
          <w:b/>
          <w:sz w:val="24"/>
          <w:szCs w:val="24"/>
        </w:rPr>
        <w:t>cfDNA</w:t>
      </w:r>
      <w:proofErr w:type="spellEnd"/>
      <w:r w:rsidR="00126901">
        <w:rPr>
          <w:rFonts w:ascii="Times New Roman" w:hAnsi="Times New Roman" w:cs="Times New Roman"/>
          <w:b/>
          <w:sz w:val="24"/>
          <w:szCs w:val="24"/>
        </w:rPr>
        <w:t xml:space="preserve"> </w:t>
      </w:r>
    </w:p>
    <w:p w:rsidR="00C96E17" w:rsidRPr="00334BA4" w:rsidRDefault="00334BA4" w:rsidP="001016F9">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cfDNA</w:t>
      </w:r>
      <w:proofErr w:type="spellEnd"/>
      <w:proofErr w:type="gramEnd"/>
      <w:r>
        <w:rPr>
          <w:rFonts w:ascii="Times New Roman" w:hAnsi="Times New Roman" w:cs="Times New Roman"/>
          <w:sz w:val="24"/>
          <w:szCs w:val="24"/>
        </w:rPr>
        <w:t xml:space="preserve"> was extracted from plasma using the </w:t>
      </w:r>
      <w:proofErr w:type="spellStart"/>
      <w:r w:rsidRPr="00552D10">
        <w:rPr>
          <w:rFonts w:ascii="Times New Roman" w:hAnsi="Times New Roman"/>
          <w:szCs w:val="24"/>
          <w:lang w:eastAsia="en-GB"/>
        </w:rPr>
        <w:t>QIAamp</w:t>
      </w:r>
      <w:proofErr w:type="spellEnd"/>
      <w:r w:rsidRPr="00552D10">
        <w:rPr>
          <w:rFonts w:ascii="Times New Roman" w:hAnsi="Times New Roman"/>
          <w:szCs w:val="24"/>
          <w:lang w:eastAsia="en-GB"/>
        </w:rPr>
        <w:t xml:space="preserve"> Circulating Nucleic Acid Kit </w:t>
      </w:r>
      <w:r w:rsidRPr="00552D10">
        <w:rPr>
          <w:rFonts w:ascii="Times New Roman" w:hAnsi="Times New Roman"/>
          <w:szCs w:val="24"/>
        </w:rPr>
        <w:t>(</w:t>
      </w:r>
      <w:proofErr w:type="spellStart"/>
      <w:r w:rsidRPr="00552D10">
        <w:rPr>
          <w:rFonts w:ascii="Times New Roman" w:hAnsi="Times New Roman"/>
          <w:szCs w:val="24"/>
        </w:rPr>
        <w:t>Qiagen</w:t>
      </w:r>
      <w:proofErr w:type="spellEnd"/>
      <w:r w:rsidRPr="00552D10">
        <w:rPr>
          <w:rFonts w:ascii="Times New Roman" w:hAnsi="Times New Roman"/>
          <w:szCs w:val="24"/>
        </w:rPr>
        <w:t>, Cat no – 51304, 51306)</w:t>
      </w:r>
      <w:r>
        <w:rPr>
          <w:rFonts w:ascii="Times New Roman" w:hAnsi="Times New Roman"/>
          <w:szCs w:val="24"/>
        </w:rPr>
        <w:t xml:space="preserve"> according to th</w:t>
      </w:r>
      <w:r w:rsidR="00126901">
        <w:rPr>
          <w:rFonts w:ascii="Times New Roman" w:hAnsi="Times New Roman"/>
          <w:szCs w:val="24"/>
        </w:rPr>
        <w:t>e manufacturers instruction</w:t>
      </w:r>
      <w:r>
        <w:rPr>
          <w:rFonts w:ascii="Times New Roman" w:hAnsi="Times New Roman"/>
          <w:szCs w:val="24"/>
        </w:rPr>
        <w:t>.  Briefly, it involved</w:t>
      </w:r>
      <w:r w:rsidR="00285EAD">
        <w:rPr>
          <w:rFonts w:ascii="Times New Roman" w:hAnsi="Times New Roman"/>
          <w:szCs w:val="24"/>
        </w:rPr>
        <w:t xml:space="preserve"> four main steps; first, samples are lysed to inactivate DNases and RNases and allow complete release of nucleic acids from bound proteins, lipids and vesicles.</w:t>
      </w:r>
      <w:r w:rsidR="00CF5398">
        <w:rPr>
          <w:rFonts w:ascii="Times New Roman" w:hAnsi="Times New Roman"/>
          <w:szCs w:val="24"/>
        </w:rPr>
        <w:t xml:space="preserve"> Second, the lysates </w:t>
      </w:r>
      <w:r w:rsidR="00126901">
        <w:rPr>
          <w:rFonts w:ascii="Times New Roman" w:hAnsi="Times New Roman"/>
          <w:szCs w:val="24"/>
        </w:rPr>
        <w:t xml:space="preserve">are </w:t>
      </w:r>
      <w:r w:rsidR="00CF5398" w:rsidRPr="00CF5398">
        <w:rPr>
          <w:rFonts w:ascii="Times New Roman" w:hAnsi="Times New Roman"/>
          <w:szCs w:val="24"/>
        </w:rPr>
        <w:t xml:space="preserve">transferred onto a </w:t>
      </w:r>
      <w:proofErr w:type="spellStart"/>
      <w:r w:rsidR="00CF5398" w:rsidRPr="00CF5398">
        <w:rPr>
          <w:rFonts w:ascii="Times New Roman" w:hAnsi="Times New Roman"/>
          <w:szCs w:val="24"/>
        </w:rPr>
        <w:t>QIAamp</w:t>
      </w:r>
      <w:proofErr w:type="spellEnd"/>
      <w:r w:rsidR="00CF5398" w:rsidRPr="00CF5398">
        <w:rPr>
          <w:rFonts w:ascii="Times New Roman" w:hAnsi="Times New Roman"/>
          <w:szCs w:val="24"/>
        </w:rPr>
        <w:t xml:space="preserve"> Mini column, and circulating nucleic acids are adsorbed from a large volume onto the small silica membrane as the lysate is drawn through by vacuum pressure</w:t>
      </w:r>
      <w:r w:rsidR="00CF5398">
        <w:rPr>
          <w:rFonts w:ascii="Times New Roman" w:hAnsi="Times New Roman"/>
          <w:szCs w:val="24"/>
        </w:rPr>
        <w:t xml:space="preserve">.  Third, while the nucleic acids remain bound to the membrane, </w:t>
      </w:r>
      <w:r w:rsidR="00126901">
        <w:rPr>
          <w:rFonts w:ascii="Times New Roman" w:hAnsi="Times New Roman"/>
          <w:szCs w:val="24"/>
        </w:rPr>
        <w:t>contaminants are washed away in a 3 step wash process.  The final step involves elution of highly purified nucleic acid.</w:t>
      </w:r>
      <w:r w:rsidR="00BA368F">
        <w:rPr>
          <w:rFonts w:ascii="Times New Roman" w:hAnsi="Times New Roman"/>
          <w:szCs w:val="24"/>
        </w:rPr>
        <w:t xml:space="preserve"> The quantification of </w:t>
      </w:r>
      <w:proofErr w:type="spellStart"/>
      <w:r w:rsidR="00BA368F">
        <w:rPr>
          <w:rFonts w:ascii="Times New Roman" w:hAnsi="Times New Roman"/>
          <w:szCs w:val="24"/>
        </w:rPr>
        <w:t>cfDNA</w:t>
      </w:r>
      <w:proofErr w:type="spellEnd"/>
      <w:r w:rsidR="00BA368F">
        <w:rPr>
          <w:rFonts w:ascii="Times New Roman" w:hAnsi="Times New Roman"/>
          <w:szCs w:val="24"/>
        </w:rPr>
        <w:t xml:space="preserve"> was done by Qubit fluorimeter 3.0 using the qubit high-sensitivity assay (</w:t>
      </w:r>
      <w:proofErr w:type="spellStart"/>
      <w:r w:rsidR="00BA368F">
        <w:rPr>
          <w:rFonts w:ascii="Times New Roman" w:hAnsi="Times New Roman"/>
          <w:szCs w:val="24"/>
        </w:rPr>
        <w:t>Thermo</w:t>
      </w:r>
      <w:proofErr w:type="spellEnd"/>
      <w:r w:rsidR="00BA368F">
        <w:rPr>
          <w:rFonts w:ascii="Times New Roman" w:hAnsi="Times New Roman"/>
          <w:szCs w:val="24"/>
        </w:rPr>
        <w:t xml:space="preserve"> Fisher Scientific, </w:t>
      </w:r>
      <w:proofErr w:type="spellStart"/>
      <w:r w:rsidR="00BA368F">
        <w:rPr>
          <w:rFonts w:ascii="Times New Roman" w:hAnsi="Times New Roman"/>
          <w:szCs w:val="24"/>
        </w:rPr>
        <w:t>Walthan</w:t>
      </w:r>
      <w:proofErr w:type="spellEnd"/>
      <w:r w:rsidR="00BA368F">
        <w:rPr>
          <w:rFonts w:ascii="Times New Roman" w:hAnsi="Times New Roman"/>
          <w:szCs w:val="24"/>
        </w:rPr>
        <w:t>, MA, USA)</w:t>
      </w:r>
    </w:p>
    <w:p w:rsidR="00C96E17" w:rsidRDefault="00C96E17" w:rsidP="001016F9">
      <w:pPr>
        <w:spacing w:line="360" w:lineRule="auto"/>
        <w:jc w:val="both"/>
        <w:rPr>
          <w:rFonts w:ascii="Times New Roman" w:hAnsi="Times New Roman" w:cs="Times New Roman"/>
          <w:b/>
          <w:sz w:val="24"/>
          <w:szCs w:val="24"/>
        </w:rPr>
      </w:pPr>
      <w:r>
        <w:rPr>
          <w:rFonts w:ascii="Times New Roman" w:hAnsi="Times New Roman" w:cs="Times New Roman"/>
          <w:b/>
          <w:sz w:val="24"/>
          <w:szCs w:val="24"/>
        </w:rPr>
        <w:t>Library Preparation</w:t>
      </w:r>
      <w:r w:rsidR="00126901">
        <w:rPr>
          <w:rFonts w:ascii="Times New Roman" w:hAnsi="Times New Roman" w:cs="Times New Roman"/>
          <w:b/>
          <w:sz w:val="24"/>
          <w:szCs w:val="24"/>
        </w:rPr>
        <w:t xml:space="preserve"> and</w:t>
      </w:r>
      <w:r w:rsidR="00B953EF">
        <w:rPr>
          <w:rFonts w:ascii="Times New Roman" w:hAnsi="Times New Roman" w:cs="Times New Roman"/>
          <w:b/>
          <w:sz w:val="24"/>
          <w:szCs w:val="24"/>
        </w:rPr>
        <w:t xml:space="preserve"> targeted</w:t>
      </w:r>
      <w:r w:rsidR="00126901">
        <w:rPr>
          <w:rFonts w:ascii="Times New Roman" w:hAnsi="Times New Roman" w:cs="Times New Roman"/>
          <w:b/>
          <w:sz w:val="24"/>
          <w:szCs w:val="24"/>
        </w:rPr>
        <w:t xml:space="preserve"> sequencing</w:t>
      </w:r>
    </w:p>
    <w:p w:rsidR="007830A4" w:rsidRDefault="00126901" w:rsidP="001016F9">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Libraries were constructed using 50ng (in 30ul) of extracted </w:t>
      </w:r>
      <w:proofErr w:type="spellStart"/>
      <w:r>
        <w:rPr>
          <w:rFonts w:ascii="Times New Roman" w:hAnsi="Times New Roman" w:cs="Times New Roman"/>
          <w:sz w:val="24"/>
          <w:szCs w:val="24"/>
        </w:rPr>
        <w:t>cfDNA</w:t>
      </w:r>
      <w:proofErr w:type="spellEnd"/>
      <w:r>
        <w:rPr>
          <w:rFonts w:ascii="Times New Roman" w:hAnsi="Times New Roman" w:cs="Times New Roman"/>
          <w:sz w:val="24"/>
          <w:szCs w:val="24"/>
        </w:rPr>
        <w:t xml:space="preserve"> </w:t>
      </w:r>
      <w:r w:rsidR="003F6D0E">
        <w:rPr>
          <w:rFonts w:ascii="Times New Roman" w:hAnsi="Times New Roman" w:cs="Times New Roman"/>
          <w:sz w:val="24"/>
          <w:szCs w:val="24"/>
        </w:rPr>
        <w:t>using</w:t>
      </w:r>
      <w:r>
        <w:rPr>
          <w:rFonts w:ascii="Times New Roman" w:hAnsi="Times New Roman" w:cs="Times New Roman"/>
          <w:sz w:val="24"/>
          <w:szCs w:val="24"/>
        </w:rPr>
        <w:t xml:space="preserve"> the</w:t>
      </w:r>
      <w:r w:rsidR="003F6D0E">
        <w:rPr>
          <w:rFonts w:ascii="Times New Roman" w:hAnsi="Times New Roman" w:cs="Times New Roman"/>
          <w:sz w:val="24"/>
          <w:szCs w:val="24"/>
        </w:rPr>
        <w:t xml:space="preserve"> </w:t>
      </w:r>
      <w:proofErr w:type="spellStart"/>
      <w:r w:rsidR="003F6D0E" w:rsidRPr="00F82EC6">
        <w:rPr>
          <w:rFonts w:ascii="Times New Roman" w:hAnsi="Times New Roman" w:cs="Times New Roman"/>
          <w:bCs/>
          <w:sz w:val="24"/>
          <w:szCs w:val="24"/>
        </w:rPr>
        <w:t>ThruPLEX</w:t>
      </w:r>
      <w:proofErr w:type="spellEnd"/>
      <w:r w:rsidR="003F6D0E" w:rsidRPr="00F82EC6">
        <w:rPr>
          <w:rFonts w:ascii="Times New Roman" w:hAnsi="Times New Roman" w:cs="Times New Roman"/>
          <w:bCs/>
          <w:sz w:val="24"/>
          <w:szCs w:val="24"/>
        </w:rPr>
        <w:t xml:space="preserve"> Tag-</w:t>
      </w:r>
      <w:proofErr w:type="spellStart"/>
      <w:r w:rsidR="003F6D0E" w:rsidRPr="00F82EC6">
        <w:rPr>
          <w:rFonts w:ascii="Times New Roman" w:hAnsi="Times New Roman" w:cs="Times New Roman"/>
          <w:bCs/>
          <w:sz w:val="24"/>
          <w:szCs w:val="24"/>
        </w:rPr>
        <w:t>Seq</w:t>
      </w:r>
      <w:proofErr w:type="spellEnd"/>
      <w:r w:rsidR="003F6D0E" w:rsidRPr="00F82EC6">
        <w:rPr>
          <w:rFonts w:ascii="Times New Roman" w:hAnsi="Times New Roman" w:cs="Times New Roman"/>
          <w:bCs/>
          <w:sz w:val="24"/>
          <w:szCs w:val="24"/>
        </w:rPr>
        <w:t xml:space="preserve"> HV kit</w:t>
      </w:r>
      <w:r w:rsidR="003F6D0E">
        <w:rPr>
          <w:rFonts w:ascii="Times New Roman" w:hAnsi="Times New Roman" w:cs="Times New Roman"/>
          <w:bCs/>
          <w:sz w:val="24"/>
          <w:szCs w:val="24"/>
        </w:rPr>
        <w:t xml:space="preserve"> according to the </w:t>
      </w:r>
      <w:r>
        <w:rPr>
          <w:rFonts w:ascii="Times New Roman" w:hAnsi="Times New Roman" w:cs="Times New Roman"/>
          <w:bCs/>
          <w:sz w:val="24"/>
          <w:szCs w:val="24"/>
        </w:rPr>
        <w:t>manufacturer’s</w:t>
      </w:r>
      <w:r w:rsidR="00726877">
        <w:rPr>
          <w:rFonts w:ascii="Times New Roman" w:hAnsi="Times New Roman" w:cs="Times New Roman"/>
          <w:bCs/>
          <w:sz w:val="24"/>
          <w:szCs w:val="24"/>
        </w:rPr>
        <w:t xml:space="preserve"> protocol. </w:t>
      </w:r>
      <w:r>
        <w:rPr>
          <w:rFonts w:ascii="Times New Roman" w:hAnsi="Times New Roman" w:cs="Times New Roman"/>
          <w:bCs/>
          <w:sz w:val="24"/>
          <w:szCs w:val="24"/>
        </w:rPr>
        <w:t xml:space="preserve">The process involved addition of unique </w:t>
      </w:r>
      <w:proofErr w:type="spellStart"/>
      <w:proofErr w:type="gramStart"/>
      <w:r>
        <w:rPr>
          <w:rFonts w:ascii="Times New Roman" w:hAnsi="Times New Roman" w:cs="Times New Roman"/>
          <w:bCs/>
          <w:sz w:val="24"/>
          <w:szCs w:val="24"/>
        </w:rPr>
        <w:t>ThruPLEX</w:t>
      </w:r>
      <w:proofErr w:type="spellEnd"/>
      <w:r>
        <w:rPr>
          <w:rFonts w:ascii="Times New Roman" w:hAnsi="Times New Roman" w:cs="Times New Roman"/>
          <w:bCs/>
          <w:sz w:val="24"/>
          <w:szCs w:val="24"/>
        </w:rPr>
        <w:t xml:space="preserve">  HV</w:t>
      </w:r>
      <w:proofErr w:type="gramEnd"/>
      <w:r>
        <w:rPr>
          <w:rFonts w:ascii="Times New Roman" w:hAnsi="Times New Roman" w:cs="Times New Roman"/>
          <w:bCs/>
          <w:sz w:val="24"/>
          <w:szCs w:val="24"/>
        </w:rPr>
        <w:t xml:space="preserve"> Unique Dual indexed (UDI) PCR primers to aid with sample tracking. Seven cycles were performed to ensure a yield of &gt;500ng</w:t>
      </w:r>
      <w:r w:rsidR="00BA368F">
        <w:rPr>
          <w:rFonts w:ascii="Times New Roman" w:hAnsi="Times New Roman" w:cs="Times New Roman"/>
          <w:bCs/>
          <w:sz w:val="24"/>
          <w:szCs w:val="24"/>
        </w:rPr>
        <w:t xml:space="preserve"> depending on the concentration of the input DNA</w:t>
      </w:r>
      <w:r>
        <w:rPr>
          <w:rFonts w:ascii="Times New Roman" w:hAnsi="Times New Roman" w:cs="Times New Roman"/>
          <w:bCs/>
          <w:sz w:val="24"/>
          <w:szCs w:val="24"/>
        </w:rPr>
        <w:t xml:space="preserve">.  This was followed by a purification step through magnetic separation using </w:t>
      </w:r>
      <w:proofErr w:type="spellStart"/>
      <w:r>
        <w:rPr>
          <w:rFonts w:ascii="Times New Roman" w:hAnsi="Times New Roman" w:cs="Times New Roman"/>
          <w:bCs/>
          <w:sz w:val="24"/>
          <w:szCs w:val="24"/>
        </w:rPr>
        <w:t>AMPure</w:t>
      </w:r>
      <w:proofErr w:type="spellEnd"/>
      <w:r>
        <w:rPr>
          <w:rFonts w:ascii="Times New Roman" w:hAnsi="Times New Roman" w:cs="Times New Roman"/>
          <w:bCs/>
          <w:sz w:val="24"/>
          <w:szCs w:val="24"/>
        </w:rPr>
        <w:t xml:space="preserve"> XP beads</w:t>
      </w:r>
      <w:r w:rsidR="00BA368F">
        <w:rPr>
          <w:rFonts w:ascii="Times New Roman" w:hAnsi="Times New Roman" w:cs="Times New Roman"/>
          <w:bCs/>
          <w:sz w:val="24"/>
          <w:szCs w:val="24"/>
        </w:rPr>
        <w:t xml:space="preserve"> (Beckman coulter, CA USA)</w:t>
      </w:r>
      <w:r>
        <w:rPr>
          <w:rFonts w:ascii="Times New Roman" w:hAnsi="Times New Roman" w:cs="Times New Roman"/>
          <w:bCs/>
          <w:sz w:val="24"/>
          <w:szCs w:val="24"/>
        </w:rPr>
        <w:t>.  The final library was quantified and validated using the Qubit HS kit and the Bio-</w:t>
      </w:r>
      <w:proofErr w:type="spellStart"/>
      <w:r>
        <w:rPr>
          <w:rFonts w:ascii="Times New Roman" w:hAnsi="Times New Roman" w:cs="Times New Roman"/>
          <w:bCs/>
          <w:sz w:val="24"/>
          <w:szCs w:val="24"/>
        </w:rPr>
        <w:t>analyser</w:t>
      </w:r>
      <w:proofErr w:type="spellEnd"/>
      <w:r>
        <w:rPr>
          <w:rFonts w:ascii="Times New Roman" w:hAnsi="Times New Roman" w:cs="Times New Roman"/>
          <w:bCs/>
          <w:sz w:val="24"/>
          <w:szCs w:val="24"/>
        </w:rPr>
        <w:t xml:space="preserve"> High Sensitivity DNA kit, according to manufacturer’s instructions. Library hybridization and capture was done using the </w:t>
      </w:r>
      <w:proofErr w:type="spellStart"/>
      <w:r>
        <w:rPr>
          <w:rFonts w:ascii="Times New Roman" w:hAnsi="Times New Roman" w:cs="Times New Roman"/>
          <w:bCs/>
          <w:sz w:val="24"/>
          <w:szCs w:val="24"/>
        </w:rPr>
        <w:t>xGen</w:t>
      </w:r>
      <w:proofErr w:type="spellEnd"/>
      <w:r>
        <w:rPr>
          <w:rFonts w:ascii="Times New Roman" w:hAnsi="Times New Roman" w:cs="Times New Roman"/>
          <w:bCs/>
          <w:sz w:val="24"/>
          <w:szCs w:val="24"/>
        </w:rPr>
        <w:t xml:space="preserve"> hybridization capture kit according to the manufacturer’s instruction.  </w:t>
      </w:r>
    </w:p>
    <w:p w:rsidR="007830A4" w:rsidRPr="007830A4" w:rsidRDefault="007830A4" w:rsidP="001016F9">
      <w:pPr>
        <w:spacing w:line="360" w:lineRule="auto"/>
        <w:jc w:val="both"/>
        <w:rPr>
          <w:rFonts w:ascii="Times New Roman" w:hAnsi="Times New Roman" w:cs="Times New Roman"/>
          <w:b/>
          <w:bCs/>
          <w:sz w:val="24"/>
          <w:szCs w:val="24"/>
        </w:rPr>
      </w:pPr>
      <w:r w:rsidRPr="007830A4">
        <w:rPr>
          <w:rFonts w:ascii="Times New Roman" w:hAnsi="Times New Roman" w:cs="Times New Roman"/>
          <w:b/>
          <w:bCs/>
          <w:sz w:val="24"/>
          <w:szCs w:val="24"/>
        </w:rPr>
        <w:t>Panel Design and Verification</w:t>
      </w:r>
    </w:p>
    <w:p w:rsidR="00726877" w:rsidRDefault="00126901" w:rsidP="001016F9">
      <w:pPr>
        <w:spacing w:line="360" w:lineRule="auto"/>
        <w:jc w:val="both"/>
        <w:rPr>
          <w:rFonts w:ascii="Times New Roman" w:hAnsi="Times New Roman" w:cs="Times New Roman"/>
          <w:sz w:val="24"/>
          <w:szCs w:val="24"/>
        </w:rPr>
        <w:sectPr w:rsidR="00726877">
          <w:headerReference w:type="default" r:id="rId8"/>
          <w:footerReference w:type="default" r:id="rId9"/>
          <w:pgSz w:w="12240" w:h="15840"/>
          <w:pgMar w:top="1440" w:right="1440" w:bottom="1440" w:left="1440" w:header="720" w:footer="720" w:gutter="0"/>
          <w:cols w:space="720"/>
          <w:docGrid w:linePitch="360"/>
        </w:sectPr>
      </w:pPr>
      <w:r>
        <w:rPr>
          <w:rFonts w:ascii="Times New Roman" w:hAnsi="Times New Roman" w:cs="Times New Roman"/>
          <w:bCs/>
          <w:sz w:val="24"/>
          <w:szCs w:val="24"/>
        </w:rPr>
        <w:t xml:space="preserve">The procedure used a </w:t>
      </w:r>
      <w:r w:rsidR="007830A4">
        <w:rPr>
          <w:rFonts w:ascii="Times New Roman" w:hAnsi="Times New Roman" w:cs="Times New Roman"/>
          <w:bCs/>
          <w:sz w:val="24"/>
          <w:szCs w:val="24"/>
        </w:rPr>
        <w:t>custom-made</w:t>
      </w:r>
      <w:r>
        <w:rPr>
          <w:rFonts w:ascii="Times New Roman" w:hAnsi="Times New Roman" w:cs="Times New Roman"/>
          <w:bCs/>
          <w:sz w:val="24"/>
          <w:szCs w:val="24"/>
        </w:rPr>
        <w:t xml:space="preserve"> NGS panel targeting mutational hotspots in 17 EBL and </w:t>
      </w:r>
      <w:r w:rsidR="007830A4">
        <w:rPr>
          <w:rFonts w:ascii="Times New Roman" w:hAnsi="Times New Roman" w:cs="Times New Roman"/>
          <w:bCs/>
          <w:sz w:val="24"/>
          <w:szCs w:val="24"/>
        </w:rPr>
        <w:t>HL-related</w:t>
      </w:r>
      <w:r>
        <w:rPr>
          <w:rFonts w:ascii="Times New Roman" w:hAnsi="Times New Roman" w:cs="Times New Roman"/>
          <w:bCs/>
          <w:sz w:val="24"/>
          <w:szCs w:val="24"/>
        </w:rPr>
        <w:t xml:space="preserve"> genes</w:t>
      </w:r>
      <w:r>
        <w:rPr>
          <w:rFonts w:ascii="Times New Roman" w:hAnsi="Times New Roman" w:cs="Times New Roman"/>
          <w:sz w:val="24"/>
          <w:szCs w:val="24"/>
        </w:rPr>
        <w:t xml:space="preserve"> (</w:t>
      </w:r>
      <w:r w:rsidRPr="00126901">
        <w:rPr>
          <w:rFonts w:ascii="Times New Roman" w:hAnsi="Times New Roman" w:cs="Times New Roman"/>
          <w:i/>
          <w:sz w:val="24"/>
          <w:szCs w:val="24"/>
        </w:rPr>
        <w:t>MYC, IGH, IGK, IGL, ID3, TP53, TNFAIP3, NFKBIE</w:t>
      </w:r>
      <w:r>
        <w:rPr>
          <w:rFonts w:ascii="Times New Roman" w:hAnsi="Times New Roman" w:cs="Times New Roman"/>
          <w:sz w:val="24"/>
          <w:szCs w:val="24"/>
        </w:rPr>
        <w:t xml:space="preserve">, </w:t>
      </w:r>
      <w:r w:rsidRPr="00126901">
        <w:rPr>
          <w:rFonts w:ascii="Times New Roman" w:hAnsi="Times New Roman" w:cs="Times New Roman"/>
          <w:i/>
          <w:sz w:val="24"/>
          <w:szCs w:val="24"/>
        </w:rPr>
        <w:t xml:space="preserve">SOCS1, EP300, BTK, STAT6, </w:t>
      </w:r>
      <w:r w:rsidR="007830A4">
        <w:rPr>
          <w:rFonts w:ascii="Times New Roman" w:hAnsi="Times New Roman" w:cs="Times New Roman"/>
          <w:i/>
          <w:sz w:val="24"/>
          <w:szCs w:val="24"/>
        </w:rPr>
        <w:t>CSF2RB, ITPBK, XPO1</w:t>
      </w:r>
      <w:r w:rsidRPr="00126901">
        <w:rPr>
          <w:rFonts w:ascii="Times New Roman" w:hAnsi="Times New Roman" w:cs="Times New Roman"/>
          <w:i/>
          <w:sz w:val="24"/>
          <w:szCs w:val="24"/>
        </w:rPr>
        <w:t>, B2M</w:t>
      </w:r>
      <w:r>
        <w:rPr>
          <w:rFonts w:ascii="Times New Roman" w:hAnsi="Times New Roman" w:cs="Times New Roman"/>
          <w:sz w:val="24"/>
          <w:szCs w:val="24"/>
        </w:rPr>
        <w:t xml:space="preserve">) selected based on results from previous studies, and EBV </w:t>
      </w:r>
      <w:r>
        <w:rPr>
          <w:rFonts w:ascii="Times New Roman" w:hAnsi="Times New Roman" w:cs="Times New Roman"/>
          <w:sz w:val="24"/>
          <w:szCs w:val="24"/>
        </w:rPr>
        <w:lastRenderedPageBreak/>
        <w:t xml:space="preserve">genes expressed in latently infected cells; </w:t>
      </w:r>
      <w:r w:rsidRPr="00126901">
        <w:rPr>
          <w:rFonts w:ascii="Times New Roman" w:hAnsi="Times New Roman" w:cs="Times New Roman"/>
          <w:i/>
          <w:sz w:val="24"/>
          <w:szCs w:val="24"/>
        </w:rPr>
        <w:t>EBER1, EBER2</w:t>
      </w:r>
      <w:r>
        <w:rPr>
          <w:rFonts w:ascii="Times New Roman" w:hAnsi="Times New Roman" w:cs="Times New Roman"/>
          <w:sz w:val="24"/>
          <w:szCs w:val="24"/>
        </w:rPr>
        <w:t xml:space="preserve"> and </w:t>
      </w:r>
      <w:r w:rsidRPr="00126901">
        <w:rPr>
          <w:rFonts w:ascii="Times New Roman" w:hAnsi="Times New Roman" w:cs="Times New Roman"/>
          <w:i/>
          <w:sz w:val="24"/>
          <w:szCs w:val="24"/>
        </w:rPr>
        <w:t>EBNA2</w:t>
      </w:r>
      <w:r w:rsidR="00726877">
        <w:rPr>
          <w:rFonts w:ascii="Times New Roman" w:hAnsi="Times New Roman" w:cs="Times New Roman"/>
          <w:i/>
          <w:sz w:val="24"/>
          <w:szCs w:val="24"/>
        </w:rPr>
        <w:t xml:space="preserve">. </w:t>
      </w:r>
      <w:r>
        <w:rPr>
          <w:rFonts w:ascii="Times New Roman" w:hAnsi="Times New Roman" w:cs="Times New Roman"/>
          <w:sz w:val="24"/>
          <w:szCs w:val="24"/>
          <w:lang w:val="en-GB"/>
        </w:rPr>
        <w:t xml:space="preserve">The final panel manufactured by Integrated DNA </w:t>
      </w:r>
      <w:r w:rsidR="007830A4">
        <w:rPr>
          <w:rFonts w:ascii="Times New Roman" w:hAnsi="Times New Roman" w:cs="Times New Roman"/>
          <w:sz w:val="24"/>
          <w:szCs w:val="24"/>
          <w:lang w:val="en-GB"/>
        </w:rPr>
        <w:t>Technologies</w:t>
      </w:r>
      <w:r>
        <w:rPr>
          <w:rFonts w:ascii="Times New Roman" w:hAnsi="Times New Roman" w:cs="Times New Roman"/>
          <w:sz w:val="24"/>
          <w:szCs w:val="24"/>
          <w:lang w:val="en-GB"/>
        </w:rPr>
        <w:t xml:space="preserve"> (IDT) consisted of 731 probes at a size of 148 kilo</w:t>
      </w:r>
      <w:r w:rsidR="007830A4">
        <w:rPr>
          <w:rFonts w:ascii="Times New Roman" w:hAnsi="Times New Roman" w:cs="Times New Roman"/>
          <w:sz w:val="24"/>
          <w:szCs w:val="24"/>
          <w:lang w:val="en-GB"/>
        </w:rPr>
        <w:t>-</w:t>
      </w:r>
      <w:r>
        <w:rPr>
          <w:rFonts w:ascii="Times New Roman" w:hAnsi="Times New Roman" w:cs="Times New Roman"/>
          <w:sz w:val="24"/>
          <w:szCs w:val="24"/>
          <w:lang w:val="en-GB"/>
        </w:rPr>
        <w:t xml:space="preserve">bases to permit for compatibility with either the iSeq100 or </w:t>
      </w:r>
      <w:proofErr w:type="spellStart"/>
      <w:r>
        <w:rPr>
          <w:rFonts w:ascii="Times New Roman" w:hAnsi="Times New Roman" w:cs="Times New Roman"/>
          <w:sz w:val="24"/>
          <w:szCs w:val="24"/>
          <w:lang w:val="en-GB"/>
        </w:rPr>
        <w:t>MiSeq</w:t>
      </w:r>
      <w:proofErr w:type="spellEnd"/>
      <w:r>
        <w:rPr>
          <w:rFonts w:ascii="Times New Roman" w:hAnsi="Times New Roman" w:cs="Times New Roman"/>
          <w:sz w:val="24"/>
          <w:szCs w:val="24"/>
          <w:lang w:val="en-GB"/>
        </w:rPr>
        <w:t xml:space="preserve"> sequencing platforms.  The final panel design </w:t>
      </w:r>
      <w:r w:rsidR="00317444">
        <w:rPr>
          <w:rFonts w:ascii="Times New Roman" w:hAnsi="Times New Roman" w:cs="Times New Roman"/>
          <w:sz w:val="24"/>
          <w:szCs w:val="24"/>
          <w:lang w:val="en-GB"/>
        </w:rPr>
        <w:t>with</w:t>
      </w:r>
      <w:r>
        <w:rPr>
          <w:rFonts w:ascii="Times New Roman" w:hAnsi="Times New Roman" w:cs="Times New Roman"/>
          <w:sz w:val="24"/>
          <w:szCs w:val="24"/>
          <w:lang w:val="en-GB"/>
        </w:rPr>
        <w:t xml:space="preserve"> the genomic coordinates of our genes of interest </w:t>
      </w:r>
      <w:r w:rsidR="007830A4">
        <w:rPr>
          <w:rFonts w:ascii="Times New Roman" w:hAnsi="Times New Roman" w:cs="Times New Roman"/>
          <w:sz w:val="24"/>
          <w:szCs w:val="24"/>
          <w:lang w:val="en-GB"/>
        </w:rPr>
        <w:t>is</w:t>
      </w:r>
      <w:r>
        <w:rPr>
          <w:rFonts w:ascii="Times New Roman" w:hAnsi="Times New Roman" w:cs="Times New Roman"/>
          <w:sz w:val="24"/>
          <w:szCs w:val="24"/>
          <w:lang w:val="en-GB"/>
        </w:rPr>
        <w:t xml:space="preserve"> listed in </w:t>
      </w:r>
      <w:r w:rsidR="00726877">
        <w:rPr>
          <w:rFonts w:ascii="Times New Roman" w:hAnsi="Times New Roman" w:cs="Times New Roman"/>
          <w:sz w:val="24"/>
          <w:szCs w:val="24"/>
          <w:lang w:val="en-GB"/>
        </w:rPr>
        <w:t>T</w:t>
      </w:r>
      <w:r>
        <w:rPr>
          <w:rFonts w:ascii="Times New Roman" w:hAnsi="Times New Roman" w:cs="Times New Roman"/>
          <w:sz w:val="24"/>
          <w:szCs w:val="24"/>
          <w:lang w:val="en-GB"/>
        </w:rPr>
        <w:t>able I.</w:t>
      </w:r>
      <w:r w:rsidR="00A375D6">
        <w:rPr>
          <w:rFonts w:ascii="Times New Roman" w:hAnsi="Times New Roman" w:cs="Times New Roman"/>
          <w:sz w:val="24"/>
          <w:szCs w:val="24"/>
          <w:lang w:val="en-GB"/>
        </w:rPr>
        <w:t xml:space="preserve">  </w:t>
      </w:r>
      <w:r w:rsidR="00A375D6">
        <w:rPr>
          <w:rFonts w:ascii="Times New Roman" w:hAnsi="Times New Roman" w:cs="Times New Roman"/>
          <w:sz w:val="24"/>
          <w:szCs w:val="24"/>
        </w:rPr>
        <w:t>Sequencing</w:t>
      </w:r>
      <w:r>
        <w:rPr>
          <w:rFonts w:ascii="Times New Roman" w:hAnsi="Times New Roman" w:cs="Times New Roman"/>
          <w:sz w:val="24"/>
          <w:szCs w:val="24"/>
        </w:rPr>
        <w:t xml:space="preserve"> was conducted on the </w:t>
      </w:r>
      <w:proofErr w:type="spellStart"/>
      <w:r>
        <w:rPr>
          <w:rFonts w:ascii="Times New Roman" w:hAnsi="Times New Roman" w:cs="Times New Roman"/>
          <w:sz w:val="24"/>
          <w:szCs w:val="24"/>
        </w:rPr>
        <w:t>MiSeq</w:t>
      </w:r>
      <w:proofErr w:type="spellEnd"/>
      <w:r>
        <w:rPr>
          <w:rFonts w:ascii="Times New Roman" w:hAnsi="Times New Roman" w:cs="Times New Roman"/>
          <w:sz w:val="24"/>
          <w:szCs w:val="24"/>
        </w:rPr>
        <w:t xml:space="preserve"> platform using the </w:t>
      </w:r>
      <w:proofErr w:type="spellStart"/>
      <w:r>
        <w:rPr>
          <w:rFonts w:ascii="Times New Roman" w:hAnsi="Times New Roman" w:cs="Times New Roman"/>
          <w:sz w:val="24"/>
          <w:szCs w:val="24"/>
        </w:rPr>
        <w:t>MiSeq</w:t>
      </w:r>
      <w:proofErr w:type="spellEnd"/>
      <w:r>
        <w:rPr>
          <w:rFonts w:ascii="Times New Roman" w:hAnsi="Times New Roman" w:cs="Times New Roman"/>
          <w:sz w:val="24"/>
          <w:szCs w:val="24"/>
        </w:rPr>
        <w:t xml:space="preserve"> reagent kit v2 (300 cycles) at a loading concentration of </w:t>
      </w:r>
      <w:r w:rsidR="007830A4">
        <w:rPr>
          <w:rFonts w:ascii="Times New Roman" w:hAnsi="Times New Roman" w:cs="Times New Roman"/>
          <w:sz w:val="24"/>
          <w:szCs w:val="24"/>
        </w:rPr>
        <w:t xml:space="preserve">10 </w:t>
      </w:r>
      <w:proofErr w:type="spellStart"/>
      <w:r w:rsidR="007830A4">
        <w:rPr>
          <w:rFonts w:ascii="Times New Roman" w:hAnsi="Times New Roman" w:cs="Times New Roman"/>
          <w:sz w:val="24"/>
          <w:szCs w:val="24"/>
        </w:rPr>
        <w:t>pM</w:t>
      </w:r>
      <w:proofErr w:type="spellEnd"/>
      <w:r>
        <w:rPr>
          <w:rFonts w:ascii="Times New Roman" w:hAnsi="Times New Roman" w:cs="Times New Roman"/>
          <w:sz w:val="24"/>
          <w:szCs w:val="24"/>
        </w:rPr>
        <w:t>, with 6 samples per run.</w:t>
      </w:r>
    </w:p>
    <w:p w:rsidR="00726877" w:rsidRDefault="00726877" w:rsidP="001016F9">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 Genomic Targets for EBVL Next Generation Sequencing Panel</w:t>
      </w:r>
    </w:p>
    <w:tbl>
      <w:tblPr>
        <w:tblStyle w:val="TableGrid"/>
        <w:tblW w:w="14376" w:type="dxa"/>
        <w:tblInd w:w="-815" w:type="dxa"/>
        <w:tblLook w:val="04A0" w:firstRow="1" w:lastRow="0" w:firstColumn="1" w:lastColumn="0" w:noHBand="0" w:noVBand="1"/>
      </w:tblPr>
      <w:tblGrid>
        <w:gridCol w:w="999"/>
        <w:gridCol w:w="1161"/>
        <w:gridCol w:w="1255"/>
        <w:gridCol w:w="2141"/>
        <w:gridCol w:w="924"/>
        <w:gridCol w:w="630"/>
        <w:gridCol w:w="1350"/>
        <w:gridCol w:w="1350"/>
        <w:gridCol w:w="4566"/>
      </w:tblGrid>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b/>
                <w:szCs w:val="24"/>
              </w:rPr>
            </w:pPr>
            <w:r w:rsidRPr="00726877">
              <w:rPr>
                <w:rFonts w:ascii="Times New Roman" w:hAnsi="Times New Roman" w:cs="Times New Roman"/>
                <w:b/>
                <w:szCs w:val="24"/>
              </w:rPr>
              <w:t>Genome</w:t>
            </w:r>
          </w:p>
        </w:tc>
        <w:tc>
          <w:tcPr>
            <w:tcW w:w="1161" w:type="dxa"/>
            <w:noWrap/>
            <w:hideMark/>
          </w:tcPr>
          <w:p w:rsidR="00726877" w:rsidRPr="00726877" w:rsidRDefault="00726877" w:rsidP="00726877">
            <w:pPr>
              <w:spacing w:line="360" w:lineRule="auto"/>
              <w:jc w:val="both"/>
              <w:rPr>
                <w:rFonts w:ascii="Times New Roman" w:hAnsi="Times New Roman" w:cs="Times New Roman"/>
                <w:b/>
                <w:i/>
                <w:iCs/>
                <w:szCs w:val="24"/>
              </w:rPr>
            </w:pPr>
            <w:r w:rsidRPr="00726877">
              <w:rPr>
                <w:rFonts w:ascii="Times New Roman" w:hAnsi="Times New Roman" w:cs="Times New Roman"/>
                <w:b/>
                <w:i/>
                <w:iCs/>
                <w:szCs w:val="24"/>
              </w:rPr>
              <w:t>Reference</w:t>
            </w:r>
          </w:p>
        </w:tc>
        <w:tc>
          <w:tcPr>
            <w:tcW w:w="1255" w:type="dxa"/>
            <w:noWrap/>
            <w:hideMark/>
          </w:tcPr>
          <w:p w:rsidR="00726877" w:rsidRPr="00726877" w:rsidRDefault="00726877" w:rsidP="00726877">
            <w:pPr>
              <w:spacing w:line="360" w:lineRule="auto"/>
              <w:jc w:val="both"/>
              <w:rPr>
                <w:rFonts w:ascii="Times New Roman" w:hAnsi="Times New Roman" w:cs="Times New Roman"/>
                <w:b/>
                <w:i/>
                <w:iCs/>
                <w:szCs w:val="24"/>
              </w:rPr>
            </w:pPr>
            <w:r w:rsidRPr="00726877">
              <w:rPr>
                <w:rFonts w:ascii="Times New Roman" w:hAnsi="Times New Roman" w:cs="Times New Roman"/>
                <w:b/>
                <w:i/>
                <w:iCs/>
                <w:szCs w:val="24"/>
              </w:rPr>
              <w:t>Ref.</w:t>
            </w:r>
          </w:p>
        </w:tc>
        <w:tc>
          <w:tcPr>
            <w:tcW w:w="2141" w:type="dxa"/>
            <w:noWrap/>
            <w:hideMark/>
          </w:tcPr>
          <w:p w:rsidR="00726877" w:rsidRPr="00726877" w:rsidRDefault="00726877" w:rsidP="00726877">
            <w:pPr>
              <w:spacing w:line="360" w:lineRule="auto"/>
              <w:jc w:val="both"/>
              <w:rPr>
                <w:rFonts w:ascii="Times New Roman" w:hAnsi="Times New Roman" w:cs="Times New Roman"/>
                <w:b/>
                <w:i/>
                <w:iCs/>
                <w:szCs w:val="24"/>
              </w:rPr>
            </w:pPr>
            <w:r w:rsidRPr="00726877">
              <w:rPr>
                <w:rFonts w:ascii="Times New Roman" w:hAnsi="Times New Roman" w:cs="Times New Roman"/>
                <w:b/>
                <w:i/>
                <w:iCs/>
                <w:szCs w:val="24"/>
              </w:rPr>
              <w:t>Transcript</w:t>
            </w:r>
          </w:p>
        </w:tc>
        <w:tc>
          <w:tcPr>
            <w:tcW w:w="924" w:type="dxa"/>
            <w:noWrap/>
            <w:hideMark/>
          </w:tcPr>
          <w:p w:rsidR="00726877" w:rsidRPr="00726877" w:rsidRDefault="00726877" w:rsidP="00726877">
            <w:pPr>
              <w:spacing w:line="360" w:lineRule="auto"/>
              <w:jc w:val="both"/>
              <w:rPr>
                <w:rFonts w:ascii="Times New Roman" w:hAnsi="Times New Roman" w:cs="Times New Roman"/>
                <w:b/>
                <w:i/>
                <w:iCs/>
                <w:szCs w:val="24"/>
              </w:rPr>
            </w:pPr>
            <w:r w:rsidRPr="00726877">
              <w:rPr>
                <w:rFonts w:ascii="Times New Roman" w:hAnsi="Times New Roman" w:cs="Times New Roman"/>
                <w:b/>
                <w:i/>
                <w:iCs/>
                <w:szCs w:val="24"/>
              </w:rPr>
              <w:t>Target (exons)</w:t>
            </w:r>
          </w:p>
        </w:tc>
        <w:tc>
          <w:tcPr>
            <w:tcW w:w="630" w:type="dxa"/>
            <w:noWrap/>
            <w:hideMark/>
          </w:tcPr>
          <w:p w:rsidR="00726877" w:rsidRPr="00726877" w:rsidRDefault="00726877" w:rsidP="00726877">
            <w:pPr>
              <w:spacing w:line="360" w:lineRule="auto"/>
              <w:jc w:val="both"/>
              <w:rPr>
                <w:rFonts w:ascii="Times New Roman" w:hAnsi="Times New Roman" w:cs="Times New Roman"/>
                <w:b/>
                <w:i/>
                <w:iCs/>
                <w:szCs w:val="24"/>
              </w:rPr>
            </w:pPr>
            <w:proofErr w:type="spellStart"/>
            <w:r w:rsidRPr="00726877">
              <w:rPr>
                <w:rFonts w:ascii="Times New Roman" w:hAnsi="Times New Roman" w:cs="Times New Roman"/>
                <w:b/>
                <w:i/>
                <w:iCs/>
                <w:szCs w:val="24"/>
              </w:rPr>
              <w:t>Chr</w:t>
            </w:r>
            <w:proofErr w:type="spellEnd"/>
          </w:p>
        </w:tc>
        <w:tc>
          <w:tcPr>
            <w:tcW w:w="1350" w:type="dxa"/>
            <w:noWrap/>
            <w:hideMark/>
          </w:tcPr>
          <w:p w:rsidR="00726877" w:rsidRPr="00726877" w:rsidRDefault="00726877" w:rsidP="00726877">
            <w:pPr>
              <w:spacing w:line="360" w:lineRule="auto"/>
              <w:jc w:val="both"/>
              <w:rPr>
                <w:rFonts w:ascii="Times New Roman" w:hAnsi="Times New Roman" w:cs="Times New Roman"/>
                <w:b/>
                <w:i/>
                <w:iCs/>
                <w:szCs w:val="24"/>
              </w:rPr>
            </w:pPr>
            <w:r w:rsidRPr="00726877">
              <w:rPr>
                <w:rFonts w:ascii="Times New Roman" w:hAnsi="Times New Roman" w:cs="Times New Roman"/>
                <w:b/>
                <w:i/>
                <w:iCs/>
                <w:szCs w:val="24"/>
              </w:rPr>
              <w:t>Start</w:t>
            </w:r>
          </w:p>
        </w:tc>
        <w:tc>
          <w:tcPr>
            <w:tcW w:w="1350" w:type="dxa"/>
            <w:noWrap/>
            <w:hideMark/>
          </w:tcPr>
          <w:p w:rsidR="00726877" w:rsidRPr="00726877" w:rsidRDefault="00726877" w:rsidP="00726877">
            <w:pPr>
              <w:spacing w:line="360" w:lineRule="auto"/>
              <w:jc w:val="both"/>
              <w:rPr>
                <w:rFonts w:ascii="Times New Roman" w:hAnsi="Times New Roman" w:cs="Times New Roman"/>
                <w:b/>
                <w:i/>
                <w:iCs/>
                <w:szCs w:val="24"/>
              </w:rPr>
            </w:pPr>
            <w:r w:rsidRPr="00726877">
              <w:rPr>
                <w:rFonts w:ascii="Times New Roman" w:hAnsi="Times New Roman" w:cs="Times New Roman"/>
                <w:b/>
                <w:i/>
                <w:iCs/>
                <w:szCs w:val="24"/>
              </w:rPr>
              <w:t>Stop</w:t>
            </w:r>
          </w:p>
        </w:tc>
        <w:tc>
          <w:tcPr>
            <w:tcW w:w="4566" w:type="dxa"/>
            <w:noWrap/>
            <w:hideMark/>
          </w:tcPr>
          <w:p w:rsidR="00726877" w:rsidRPr="00726877" w:rsidRDefault="00726877" w:rsidP="00726877">
            <w:pPr>
              <w:spacing w:line="360" w:lineRule="auto"/>
              <w:jc w:val="both"/>
              <w:rPr>
                <w:rFonts w:ascii="Times New Roman" w:hAnsi="Times New Roman" w:cs="Times New Roman"/>
                <w:b/>
                <w:i/>
                <w:iCs/>
                <w:szCs w:val="24"/>
              </w:rPr>
            </w:pPr>
            <w:r w:rsidRPr="00726877">
              <w:rPr>
                <w:rFonts w:ascii="Times New Roman" w:hAnsi="Times New Roman" w:cs="Times New Roman"/>
                <w:b/>
                <w:i/>
                <w:iCs/>
                <w:szCs w:val="24"/>
              </w:rPr>
              <w:t>Comments</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EBV</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EBV-WT</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EBER1</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NC_007605.1</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6,629</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6,795</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100% identical to EBV type 2 EBER1, for EBV detection</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EBV </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EBV-WT</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EBER2</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NC_007605.1</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6,956</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7,128</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100% identical to EBV type 2 EBER2, for EBV detection</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EBV</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EBV-WT</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EBNA2</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YP_401644.1_10</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659</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790</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Specific to EBV Type 1. For EBV strain identification</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5' MYC</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8</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128,746,246</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128,747,679</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Class 2 breakpoints, covers 20 breakpoints from study referenced</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MYC</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NM_002467.5</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8</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128,747,680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128,748,869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Class 1/2 breakpoints, typically seen in </w:t>
            </w:r>
            <w:proofErr w:type="spellStart"/>
            <w:r w:rsidRPr="00726877">
              <w:rPr>
                <w:rFonts w:ascii="Times New Roman" w:hAnsi="Times New Roman" w:cs="Times New Roman"/>
                <w:szCs w:val="24"/>
              </w:rPr>
              <w:t>eBL</w:t>
            </w:r>
            <w:proofErr w:type="spellEnd"/>
            <w:r w:rsidRPr="00726877">
              <w:rPr>
                <w:rFonts w:ascii="Times New Roman" w:hAnsi="Times New Roman" w:cs="Times New Roman"/>
                <w:szCs w:val="24"/>
              </w:rPr>
              <w:t xml:space="preserve"> </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MYC</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NM_002467.5</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8</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128,748,870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128,750,493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Class 1 breakpoints</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MYC</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NM_002467.5</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8</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128,750,494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128,751,265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Commonly mutated in BL. Included as 'safety net'  encase translocations aren't captured</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ITPKB</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NM_002221.3</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226,923,228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226,925,159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XPO1</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NM_003400</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1-15</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61,719,470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61,719,471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c.1711-12 (p.E517) </w:t>
            </w:r>
            <w:proofErr w:type="spellStart"/>
            <w:r w:rsidRPr="00726877">
              <w:rPr>
                <w:rFonts w:ascii="Times New Roman" w:hAnsi="Times New Roman" w:cs="Times New Roman"/>
                <w:szCs w:val="24"/>
              </w:rPr>
              <w:t>cHL</w:t>
            </w:r>
            <w:proofErr w:type="spellEnd"/>
            <w:r w:rsidRPr="00726877">
              <w:rPr>
                <w:rFonts w:ascii="Times New Roman" w:hAnsi="Times New Roman" w:cs="Times New Roman"/>
                <w:szCs w:val="24"/>
              </w:rPr>
              <w:t xml:space="preserve"> hotspot, but also PMBL (1711) &amp; CLL (1712)</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TNFAIP3</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NM_001270508.1</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1-9</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6</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138,188,581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138,204,449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lastRenderedPageBreak/>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NFKBIE</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NM_004556.2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1-6</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6</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44,226,953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44,233,502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STAT6</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NM_001178078</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11-18</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57,492,575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57,498,369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c.1249A&gt;T and c.1255G&gt;A hotspots, but common in PMBL</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EP300</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NM_001429.3</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24-29</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41,564,453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41,569,788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BTK</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NM_00128734</w:t>
            </w:r>
            <w:r w:rsidRPr="00726877">
              <w:rPr>
                <w:rFonts w:ascii="Times New Roman" w:hAnsi="Times New Roman" w:cs="Times New Roman"/>
                <w:bCs/>
                <w:szCs w:val="24"/>
              </w:rPr>
              <w:t>4</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1-19</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X</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100,604,438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100,641,183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B2M</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NM_004048.2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15</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45,003,675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45,007,899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Mutations frequent in splice donor/acceptor region of intron 1</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SOCS1</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NM_003745</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16</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11,348,262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11,350,036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CSF2RB</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NM_00395.3</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6, 14</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37,325,681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37,335,000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TP53</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NM_000546.5 </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4-8</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17</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7,577,019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7,579,590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BL and HL</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ID3</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NM_002167.4</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1-3</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23,884,409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23,886,285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IGHA2</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ENST00000390539.2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1-3</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106,053,226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106,054,732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 C gene</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IGHA2</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106,056,222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106,056,838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S</w:t>
            </w:r>
            <w:r w:rsidRPr="00726877">
              <w:rPr>
                <w:rFonts w:ascii="Times New Roman" w:hAnsi="Times New Roman" w:cs="Times New Roman"/>
                <w:i/>
                <w:iCs/>
                <w:szCs w:val="24"/>
              </w:rPr>
              <w:t>α</w:t>
            </w:r>
            <w:r w:rsidRPr="00726877">
              <w:rPr>
                <w:rFonts w:ascii="Times New Roman" w:hAnsi="Times New Roman" w:cs="Times New Roman"/>
                <w:szCs w:val="24"/>
              </w:rPr>
              <w:t xml:space="preserve"> region</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IGHA2</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106,057,056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106,057,601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S</w:t>
            </w:r>
            <w:r w:rsidRPr="00726877">
              <w:rPr>
                <w:rFonts w:ascii="Times New Roman" w:hAnsi="Times New Roman" w:cs="Times New Roman"/>
                <w:i/>
                <w:iCs/>
                <w:szCs w:val="24"/>
              </w:rPr>
              <w:t>α</w:t>
            </w:r>
            <w:r w:rsidRPr="00726877">
              <w:rPr>
                <w:rFonts w:ascii="Times New Roman" w:hAnsi="Times New Roman" w:cs="Times New Roman"/>
                <w:szCs w:val="24"/>
              </w:rPr>
              <w:t xml:space="preserve"> region</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lastRenderedPageBreak/>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IGHA1</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ENST00000390547.2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1-3</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106,173,457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106,175,002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 C gene</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IGHA1</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106,177,009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106,177,963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S</w:t>
            </w:r>
            <w:r w:rsidRPr="00726877">
              <w:rPr>
                <w:rFonts w:ascii="Times New Roman" w:hAnsi="Times New Roman" w:cs="Times New Roman"/>
                <w:i/>
                <w:iCs/>
                <w:szCs w:val="24"/>
              </w:rPr>
              <w:t>α</w:t>
            </w:r>
            <w:r w:rsidRPr="00726877">
              <w:rPr>
                <w:rFonts w:ascii="Times New Roman" w:hAnsi="Times New Roman" w:cs="Times New Roman"/>
                <w:szCs w:val="24"/>
              </w:rPr>
              <w:t xml:space="preserve"> region</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IGHG1</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ENST00000390548.2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1-6</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106,202,680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106,209,408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 C gene</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IGHG1</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106,210,947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106,211,836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roofErr w:type="spellStart"/>
            <w:r w:rsidRPr="00726877">
              <w:rPr>
                <w:rFonts w:ascii="Times New Roman" w:hAnsi="Times New Roman" w:cs="Times New Roman"/>
                <w:szCs w:val="24"/>
              </w:rPr>
              <w:t>S</w:t>
            </w:r>
            <w:r w:rsidRPr="00726877">
              <w:rPr>
                <w:rFonts w:ascii="Times New Roman" w:hAnsi="Times New Roman" w:cs="Times New Roman"/>
                <w:i/>
                <w:iCs/>
                <w:szCs w:val="24"/>
              </w:rPr>
              <w:t>γ</w:t>
            </w:r>
            <w:proofErr w:type="spellEnd"/>
            <w:r w:rsidRPr="00726877">
              <w:rPr>
                <w:rFonts w:ascii="Times New Roman" w:hAnsi="Times New Roman" w:cs="Times New Roman"/>
                <w:szCs w:val="24"/>
              </w:rPr>
              <w:t xml:space="preserve"> region. Contains 7 breakpoints from 2 publications</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IGHG1</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106,212,432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106,212,705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roofErr w:type="spellStart"/>
            <w:r w:rsidRPr="00726877">
              <w:rPr>
                <w:rFonts w:ascii="Times New Roman" w:hAnsi="Times New Roman" w:cs="Times New Roman"/>
                <w:szCs w:val="24"/>
              </w:rPr>
              <w:t>S</w:t>
            </w:r>
            <w:r w:rsidRPr="00726877">
              <w:rPr>
                <w:rFonts w:ascii="Times New Roman" w:hAnsi="Times New Roman" w:cs="Times New Roman"/>
                <w:i/>
                <w:iCs/>
                <w:szCs w:val="24"/>
              </w:rPr>
              <w:t>γ</w:t>
            </w:r>
            <w:proofErr w:type="spellEnd"/>
            <w:r w:rsidRPr="00726877">
              <w:rPr>
                <w:rFonts w:ascii="Times New Roman" w:hAnsi="Times New Roman" w:cs="Times New Roman"/>
                <w:szCs w:val="24"/>
              </w:rPr>
              <w:t xml:space="preserve"> region. Contains 4 breakpoints from 2 publications</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IGHG3</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106,213,054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106,213,828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roofErr w:type="spellStart"/>
            <w:proofErr w:type="gramStart"/>
            <w:r w:rsidRPr="00726877">
              <w:rPr>
                <w:rFonts w:ascii="Times New Roman" w:hAnsi="Times New Roman" w:cs="Times New Roman"/>
                <w:szCs w:val="24"/>
              </w:rPr>
              <w:t>nc</w:t>
            </w:r>
            <w:proofErr w:type="spellEnd"/>
            <w:proofErr w:type="gramEnd"/>
            <w:r w:rsidRPr="00726877">
              <w:rPr>
                <w:rFonts w:ascii="Times New Roman" w:hAnsi="Times New Roman" w:cs="Times New Roman"/>
                <w:szCs w:val="24"/>
              </w:rPr>
              <w:t xml:space="preserve"> region. Contains 3 breakpoints from 2 publications</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IGHG3</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ENST00000390551.2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1-7</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106,235,439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106,237,742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 C gene</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IGHG3</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106,239,969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106,240,335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roofErr w:type="spellStart"/>
            <w:r w:rsidRPr="00726877">
              <w:rPr>
                <w:rFonts w:ascii="Times New Roman" w:hAnsi="Times New Roman" w:cs="Times New Roman"/>
                <w:szCs w:val="24"/>
              </w:rPr>
              <w:t>S</w:t>
            </w:r>
            <w:r w:rsidRPr="00726877">
              <w:rPr>
                <w:rFonts w:ascii="Times New Roman" w:hAnsi="Times New Roman" w:cs="Times New Roman"/>
                <w:i/>
                <w:iCs/>
                <w:szCs w:val="24"/>
              </w:rPr>
              <w:t>γ</w:t>
            </w:r>
            <w:proofErr w:type="spellEnd"/>
            <w:r w:rsidRPr="00726877">
              <w:rPr>
                <w:rFonts w:ascii="Times New Roman" w:hAnsi="Times New Roman" w:cs="Times New Roman"/>
                <w:szCs w:val="24"/>
              </w:rPr>
              <w:t xml:space="preserve"> region. Contains 6 breakpoints from 2 publications</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IGHM</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ENST00000390559.2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106,320,349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106,322,323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 C gene</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IGHM</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106,324,109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106,324,904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roofErr w:type="spellStart"/>
            <w:r w:rsidRPr="00726877">
              <w:rPr>
                <w:rFonts w:ascii="Times New Roman" w:hAnsi="Times New Roman" w:cs="Times New Roman"/>
                <w:szCs w:val="24"/>
              </w:rPr>
              <w:t>S</w:t>
            </w:r>
            <w:r w:rsidRPr="00726877">
              <w:rPr>
                <w:rFonts w:ascii="Times New Roman" w:hAnsi="Times New Roman" w:cs="Times New Roman"/>
                <w:i/>
                <w:iCs/>
                <w:szCs w:val="24"/>
              </w:rPr>
              <w:t>μ</w:t>
            </w:r>
            <w:proofErr w:type="spellEnd"/>
            <w:r w:rsidRPr="00726877">
              <w:rPr>
                <w:rFonts w:ascii="Times New Roman" w:hAnsi="Times New Roman" w:cs="Times New Roman"/>
                <w:i/>
                <w:iCs/>
                <w:szCs w:val="24"/>
              </w:rPr>
              <w:t xml:space="preserve"> </w:t>
            </w:r>
            <w:r w:rsidRPr="00726877">
              <w:rPr>
                <w:rFonts w:ascii="Times New Roman" w:hAnsi="Times New Roman" w:cs="Times New Roman"/>
                <w:szCs w:val="24"/>
              </w:rPr>
              <w:t>region. Contains 7 breakpoints from 2 publications</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IGHM</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106,325,023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106,325,998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roofErr w:type="spellStart"/>
            <w:r w:rsidRPr="00726877">
              <w:rPr>
                <w:rFonts w:ascii="Times New Roman" w:hAnsi="Times New Roman" w:cs="Times New Roman"/>
                <w:szCs w:val="24"/>
              </w:rPr>
              <w:t>S</w:t>
            </w:r>
            <w:r w:rsidRPr="00726877">
              <w:rPr>
                <w:rFonts w:ascii="Times New Roman" w:hAnsi="Times New Roman" w:cs="Times New Roman"/>
                <w:i/>
                <w:iCs/>
                <w:szCs w:val="24"/>
              </w:rPr>
              <w:t>μ</w:t>
            </w:r>
            <w:proofErr w:type="spellEnd"/>
            <w:r w:rsidRPr="00726877">
              <w:rPr>
                <w:rFonts w:ascii="Times New Roman" w:hAnsi="Times New Roman" w:cs="Times New Roman"/>
                <w:i/>
                <w:iCs/>
                <w:szCs w:val="24"/>
              </w:rPr>
              <w:t xml:space="preserve"> </w:t>
            </w:r>
            <w:r w:rsidRPr="00726877">
              <w:rPr>
                <w:rFonts w:ascii="Times New Roman" w:hAnsi="Times New Roman" w:cs="Times New Roman"/>
                <w:szCs w:val="24"/>
              </w:rPr>
              <w:t>region. Contains 12 breakpoints from 2 publications</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IGHM</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106,326,019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106,326,648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roofErr w:type="spellStart"/>
            <w:r w:rsidRPr="00726877">
              <w:rPr>
                <w:rFonts w:ascii="Times New Roman" w:hAnsi="Times New Roman" w:cs="Times New Roman"/>
                <w:szCs w:val="24"/>
              </w:rPr>
              <w:t>S</w:t>
            </w:r>
            <w:r w:rsidRPr="00726877">
              <w:rPr>
                <w:rFonts w:ascii="Times New Roman" w:hAnsi="Times New Roman" w:cs="Times New Roman"/>
                <w:i/>
                <w:iCs/>
                <w:szCs w:val="24"/>
              </w:rPr>
              <w:t>μ</w:t>
            </w:r>
            <w:proofErr w:type="spellEnd"/>
            <w:r w:rsidRPr="00726877">
              <w:rPr>
                <w:rFonts w:ascii="Times New Roman" w:hAnsi="Times New Roman" w:cs="Times New Roman"/>
                <w:i/>
                <w:iCs/>
                <w:szCs w:val="24"/>
              </w:rPr>
              <w:t xml:space="preserve"> </w:t>
            </w:r>
            <w:r w:rsidRPr="00726877">
              <w:rPr>
                <w:rFonts w:ascii="Times New Roman" w:hAnsi="Times New Roman" w:cs="Times New Roman"/>
                <w:szCs w:val="24"/>
              </w:rPr>
              <w:t>region. Contains 18 breakpoints from 2 publications</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lastRenderedPageBreak/>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IGHM</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106,326,933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106,327,173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roofErr w:type="spellStart"/>
            <w:r w:rsidRPr="00726877">
              <w:rPr>
                <w:rFonts w:ascii="Times New Roman" w:hAnsi="Times New Roman" w:cs="Times New Roman"/>
                <w:szCs w:val="24"/>
              </w:rPr>
              <w:t>S</w:t>
            </w:r>
            <w:r w:rsidRPr="00726877">
              <w:rPr>
                <w:rFonts w:ascii="Times New Roman" w:hAnsi="Times New Roman" w:cs="Times New Roman"/>
                <w:i/>
                <w:iCs/>
                <w:szCs w:val="24"/>
              </w:rPr>
              <w:t>μ</w:t>
            </w:r>
            <w:proofErr w:type="spellEnd"/>
            <w:r w:rsidRPr="00726877">
              <w:rPr>
                <w:rFonts w:ascii="Times New Roman" w:hAnsi="Times New Roman" w:cs="Times New Roman"/>
                <w:i/>
                <w:iCs/>
                <w:szCs w:val="24"/>
              </w:rPr>
              <w:t xml:space="preserve"> </w:t>
            </w:r>
            <w:r w:rsidRPr="00726877">
              <w:rPr>
                <w:rFonts w:ascii="Times New Roman" w:hAnsi="Times New Roman" w:cs="Times New Roman"/>
                <w:szCs w:val="24"/>
              </w:rPr>
              <w:t>region. Contains 3 breakpoints from 2 publications</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IGJ</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106,328,547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106,329,405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roofErr w:type="spellStart"/>
            <w:proofErr w:type="gramStart"/>
            <w:r w:rsidRPr="00726877">
              <w:rPr>
                <w:rFonts w:ascii="Times New Roman" w:hAnsi="Times New Roman" w:cs="Times New Roman"/>
                <w:szCs w:val="24"/>
              </w:rPr>
              <w:t>nc</w:t>
            </w:r>
            <w:proofErr w:type="spellEnd"/>
            <w:proofErr w:type="gramEnd"/>
            <w:r w:rsidRPr="00726877">
              <w:rPr>
                <w:rFonts w:ascii="Times New Roman" w:hAnsi="Times New Roman" w:cs="Times New Roman"/>
                <w:szCs w:val="24"/>
              </w:rPr>
              <w:t xml:space="preserve"> region. Contains 8 breakpoints from 2 publications</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IGHJ6</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ENST00000390560.2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106,329,406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106,329,470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 J gene</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IGHJ6-J5</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106,329,469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106,330,023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roofErr w:type="spellStart"/>
            <w:proofErr w:type="gramStart"/>
            <w:r w:rsidRPr="00726877">
              <w:rPr>
                <w:rFonts w:ascii="Times New Roman" w:hAnsi="Times New Roman" w:cs="Times New Roman"/>
                <w:szCs w:val="24"/>
              </w:rPr>
              <w:t>nc</w:t>
            </w:r>
            <w:proofErr w:type="spellEnd"/>
            <w:proofErr w:type="gramEnd"/>
            <w:r w:rsidRPr="00726877">
              <w:rPr>
                <w:rFonts w:ascii="Times New Roman" w:hAnsi="Times New Roman" w:cs="Times New Roman"/>
                <w:szCs w:val="24"/>
              </w:rPr>
              <w:t xml:space="preserve"> region. 11 breakpoints from 1 publication</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IGHJ5</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ENST00000488476</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106,330,024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106,330,072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 J gene</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IGHJ5-J4</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106,330,073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106,330,423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roofErr w:type="spellStart"/>
            <w:r w:rsidRPr="00726877">
              <w:rPr>
                <w:rFonts w:ascii="Times New Roman" w:hAnsi="Times New Roman" w:cs="Times New Roman"/>
                <w:szCs w:val="24"/>
              </w:rPr>
              <w:t>nc</w:t>
            </w:r>
            <w:proofErr w:type="spellEnd"/>
            <w:r w:rsidRPr="00726877">
              <w:rPr>
                <w:rFonts w:ascii="Times New Roman" w:hAnsi="Times New Roman" w:cs="Times New Roman"/>
                <w:szCs w:val="24"/>
              </w:rPr>
              <w:t xml:space="preserve"> region</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IGHJ4</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ENST00000461719</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106,330,424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106,330,470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 J gene</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IGHJ3</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ENST00000463911</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106,330,797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106,330,845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 J gene</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IGHJ2</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ENST00000390564.2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106,331,409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106,331,460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 J gene</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IGHJ1</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ENST00000390565.1</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106,331,617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106,331,668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 J gene</w:t>
            </w:r>
          </w:p>
        </w:tc>
      </w:tr>
      <w:tr w:rsidR="00726877" w:rsidRPr="00726877" w:rsidTr="00726877">
        <w:trPr>
          <w:trHeight w:val="58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IGHV1-2</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ENST00000390594.2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106,452,671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106,453,170 </w:t>
            </w:r>
          </w:p>
        </w:tc>
        <w:tc>
          <w:tcPr>
            <w:tcW w:w="4566" w:type="dxa"/>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 V gene. Contains 3 breakpoints from 2 publications</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IGHV1-3</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ENST00000390595.2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106,471,246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106,471,723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lastRenderedPageBreak/>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IGHV2-5</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ENST00000390597</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106,494,135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106,494,597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IGHV3-7</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ENST00000390598</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106,518,400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106,518,932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IGHV1-8</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ENST00000390599.2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106,539,079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106,539,577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Associated predominantly with EBV-negative e/</w:t>
            </w:r>
            <w:proofErr w:type="spellStart"/>
            <w:r w:rsidRPr="00726877">
              <w:rPr>
                <w:rFonts w:ascii="Times New Roman" w:hAnsi="Times New Roman" w:cs="Times New Roman"/>
                <w:szCs w:val="24"/>
              </w:rPr>
              <w:t>sBL</w:t>
            </w:r>
            <w:proofErr w:type="spellEnd"/>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IGHV1-18</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ENST00000390605.2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106,641,563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106,642,056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3 breakpoint positions from 2 publications</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IGHV3-21</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ENST00000390607.2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106,691,673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106,692,203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Associated with EBV-positive e/</w:t>
            </w:r>
            <w:proofErr w:type="spellStart"/>
            <w:r w:rsidRPr="00726877">
              <w:rPr>
                <w:rFonts w:ascii="Times New Roman" w:hAnsi="Times New Roman" w:cs="Times New Roman"/>
                <w:szCs w:val="24"/>
              </w:rPr>
              <w:t>sBL</w:t>
            </w:r>
            <w:proofErr w:type="spellEnd"/>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IGHV3-23</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ENST00000390609</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106,725,198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106,725,733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 breakpoint positions from 2 publications, more prevalent in DLBCL than s/</w:t>
            </w:r>
            <w:proofErr w:type="spellStart"/>
            <w:r w:rsidRPr="00726877">
              <w:rPr>
                <w:rFonts w:ascii="Times New Roman" w:hAnsi="Times New Roman" w:cs="Times New Roman"/>
                <w:szCs w:val="24"/>
              </w:rPr>
              <w:t>eBL</w:t>
            </w:r>
            <w:proofErr w:type="spellEnd"/>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IGHV3-30</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ENST00000390613.2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106,791,005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106,791,536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 breakpoint position from 2 publications</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IGHV4-31</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ENST00000438142.2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106,805,209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106,805,716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IGHV3-33</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ENST00000390615.2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106,815,722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106,816,253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IGHV4-34</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ENST00000390616.2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106,829,594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106,830,076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Equally prevalent in DLBCL</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IGHV4-39</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ENST00000390619.2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106,877,619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106,878,126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IGHV1-46</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ENST00000390622.2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106,967,049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106,967,788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 breakpoints from 2 publications</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lastRenderedPageBreak/>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IGHV5-51</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ENST00000390626.2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107,034,729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107,035,221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IGHV4-59</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ENST00000455737.1</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1-3</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107,081,806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107,083,830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IGHV1-69</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ENST00000390633.2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107,169,931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107,170,428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IGHV2-70</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ENST00000390634.2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107,178,820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107,179,338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IGLJ1</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ENST00000390320</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23,235,872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23,235,998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IGLJ2</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ENST00000390322.2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23,241,661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23,241,835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IGLJ3</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ENST00000390324.2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23,247,030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23,247,205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IGLJ4</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ENST00000390326.2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23,252,744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23,252,776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IGLJ5</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ENST00000390327.2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23,256,408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23,256,479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IGLJ6</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ENST00000390328</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23,260,304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23,260,373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IGLV6-57</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ENST00000390285.3</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22,550,113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22,550,860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IGLV1-51</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ENST00000390290.2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22,676,828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22,677,336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lastRenderedPageBreak/>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IGLV1-44</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ENST00000390297.2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22,735,135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22,735,715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More frequent than that observed in DLBCL</w:t>
            </w: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IGLV1-40</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ENST00000390299.2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22,764,098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22,764,614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IGLV3-25</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ENST00000390305.2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23,029,190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23,029,735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IGLV2-14</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ENST00000390312.2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23,101,189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23,101,707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IGKJ1</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ENST00000390242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89,161,398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89,161,435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IGKJ2</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ENST00000390241.2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89,161,037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89,161,074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IGKJ3</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ENST00000390240</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89,160,733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89,160,770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IGKJ4</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ENST00000390239.2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89,160,398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89,160,434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IGKJ5</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ENST00000390238</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89,160,080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89,160,117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IGKC</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ENST00000390237.2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89,156,674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89,157,196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IGKV4-1</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ENST00000390243.2</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89,184,913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89,185,669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IGKV1-5</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ENST00000496168.1</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89,246,819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89,247,475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lastRenderedPageBreak/>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IGKV3-20</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ENST00000492167.1</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89,442,057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89,442,643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IGKV1-33</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ENST00000473726.1</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89,567,758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89,568,263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IGKV1-37</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ENST00000465170.1</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89,597,021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89,597,542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IGKV1-39</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ENST00000498574.1</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89,619,383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89,619,904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IGKV1-27</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ENST00000498435</w:t>
            </w: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w:t>
            </w: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89,512,908 </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       89,513,413 </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rs28372410</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248,512,064</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248,512,064</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unique human </w:t>
            </w:r>
            <w:proofErr w:type="spellStart"/>
            <w:r w:rsidRPr="00726877">
              <w:rPr>
                <w:rFonts w:ascii="Times New Roman" w:hAnsi="Times New Roman" w:cs="Times New Roman"/>
                <w:szCs w:val="24"/>
              </w:rPr>
              <w:t>snps</w:t>
            </w:r>
            <w:proofErr w:type="spellEnd"/>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rs4542826</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33,413,949</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33,413,949</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unique human </w:t>
            </w:r>
            <w:proofErr w:type="spellStart"/>
            <w:r w:rsidRPr="00726877">
              <w:rPr>
                <w:rFonts w:ascii="Times New Roman" w:hAnsi="Times New Roman" w:cs="Times New Roman"/>
                <w:szCs w:val="24"/>
              </w:rPr>
              <w:t>snps</w:t>
            </w:r>
            <w:proofErr w:type="spellEnd"/>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rs2717225</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3</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122,873,923</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122,873,923</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unique human </w:t>
            </w:r>
            <w:proofErr w:type="spellStart"/>
            <w:r w:rsidRPr="00726877">
              <w:rPr>
                <w:rFonts w:ascii="Times New Roman" w:hAnsi="Times New Roman" w:cs="Times New Roman"/>
                <w:szCs w:val="24"/>
              </w:rPr>
              <w:t>snps</w:t>
            </w:r>
            <w:proofErr w:type="spellEnd"/>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rs2303808</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5</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39,074,296</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39,074,296</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unique human </w:t>
            </w:r>
            <w:proofErr w:type="spellStart"/>
            <w:r w:rsidRPr="00726877">
              <w:rPr>
                <w:rFonts w:ascii="Times New Roman" w:hAnsi="Times New Roman" w:cs="Times New Roman"/>
                <w:szCs w:val="24"/>
              </w:rPr>
              <w:t>snps</w:t>
            </w:r>
            <w:proofErr w:type="spellEnd"/>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rs2286213</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7</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18,914,251</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18,914,251</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unique human </w:t>
            </w:r>
            <w:proofErr w:type="spellStart"/>
            <w:r w:rsidRPr="00726877">
              <w:rPr>
                <w:rFonts w:ascii="Times New Roman" w:hAnsi="Times New Roman" w:cs="Times New Roman"/>
                <w:szCs w:val="24"/>
              </w:rPr>
              <w:t>snps</w:t>
            </w:r>
            <w:proofErr w:type="spellEnd"/>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rs7039358</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9</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90,401,638</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90,401,638</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unique human </w:t>
            </w:r>
            <w:proofErr w:type="spellStart"/>
            <w:r w:rsidRPr="00726877">
              <w:rPr>
                <w:rFonts w:ascii="Times New Roman" w:hAnsi="Times New Roman" w:cs="Times New Roman"/>
                <w:szCs w:val="24"/>
              </w:rPr>
              <w:t>snps</w:t>
            </w:r>
            <w:proofErr w:type="spellEnd"/>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rs34084011</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10</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28,233,933</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28,233,933</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unique human </w:t>
            </w:r>
            <w:proofErr w:type="spellStart"/>
            <w:r w:rsidRPr="00726877">
              <w:rPr>
                <w:rFonts w:ascii="Times New Roman" w:hAnsi="Times New Roman" w:cs="Times New Roman"/>
                <w:szCs w:val="24"/>
              </w:rPr>
              <w:t>snps</w:t>
            </w:r>
            <w:proofErr w:type="spellEnd"/>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rs7497712</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15</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100,821,647</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100,821,647</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unique human </w:t>
            </w:r>
            <w:proofErr w:type="spellStart"/>
            <w:r w:rsidRPr="00726877">
              <w:rPr>
                <w:rFonts w:ascii="Times New Roman" w:hAnsi="Times New Roman" w:cs="Times New Roman"/>
                <w:szCs w:val="24"/>
              </w:rPr>
              <w:t>snps</w:t>
            </w:r>
            <w:proofErr w:type="spellEnd"/>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rs3816550</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19</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17,173,487</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17,173,487</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unique human </w:t>
            </w:r>
            <w:proofErr w:type="spellStart"/>
            <w:r w:rsidRPr="00726877">
              <w:rPr>
                <w:rFonts w:ascii="Times New Roman" w:hAnsi="Times New Roman" w:cs="Times New Roman"/>
                <w:szCs w:val="24"/>
              </w:rPr>
              <w:t>snps</w:t>
            </w:r>
            <w:proofErr w:type="spellEnd"/>
          </w:p>
        </w:tc>
      </w:tr>
      <w:tr w:rsidR="00726877" w:rsidRPr="00726877" w:rsidTr="00726877">
        <w:trPr>
          <w:trHeight w:val="290"/>
        </w:trPr>
        <w:tc>
          <w:tcPr>
            <w:tcW w:w="999"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Human</w:t>
            </w:r>
          </w:p>
        </w:tc>
        <w:tc>
          <w:tcPr>
            <w:tcW w:w="1161"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hg19</w:t>
            </w:r>
          </w:p>
        </w:tc>
        <w:tc>
          <w:tcPr>
            <w:tcW w:w="1255"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rs723469</w:t>
            </w:r>
          </w:p>
        </w:tc>
        <w:tc>
          <w:tcPr>
            <w:tcW w:w="2141" w:type="dxa"/>
            <w:noWrap/>
            <w:hideMark/>
          </w:tcPr>
          <w:p w:rsidR="00726877" w:rsidRPr="00726877" w:rsidRDefault="00726877" w:rsidP="00726877">
            <w:pPr>
              <w:spacing w:line="360" w:lineRule="auto"/>
              <w:jc w:val="both"/>
              <w:rPr>
                <w:rFonts w:ascii="Times New Roman" w:hAnsi="Times New Roman" w:cs="Times New Roman"/>
                <w:szCs w:val="24"/>
              </w:rPr>
            </w:pPr>
          </w:p>
        </w:tc>
        <w:tc>
          <w:tcPr>
            <w:tcW w:w="924" w:type="dxa"/>
            <w:noWrap/>
            <w:hideMark/>
          </w:tcPr>
          <w:p w:rsidR="00726877" w:rsidRPr="00726877" w:rsidRDefault="00726877" w:rsidP="00726877">
            <w:pPr>
              <w:spacing w:line="360" w:lineRule="auto"/>
              <w:jc w:val="both"/>
              <w:rPr>
                <w:rFonts w:ascii="Times New Roman" w:hAnsi="Times New Roman" w:cs="Times New Roman"/>
                <w:szCs w:val="24"/>
              </w:rPr>
            </w:pPr>
          </w:p>
        </w:tc>
        <w:tc>
          <w:tcPr>
            <w:tcW w:w="63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21</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32,525,345</w:t>
            </w:r>
          </w:p>
        </w:tc>
        <w:tc>
          <w:tcPr>
            <w:tcW w:w="1350"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32,525,345</w:t>
            </w:r>
          </w:p>
        </w:tc>
        <w:tc>
          <w:tcPr>
            <w:tcW w:w="4566" w:type="dxa"/>
            <w:noWrap/>
            <w:hideMark/>
          </w:tcPr>
          <w:p w:rsidR="00726877" w:rsidRPr="00726877" w:rsidRDefault="00726877" w:rsidP="00726877">
            <w:pPr>
              <w:spacing w:line="360" w:lineRule="auto"/>
              <w:jc w:val="both"/>
              <w:rPr>
                <w:rFonts w:ascii="Times New Roman" w:hAnsi="Times New Roman" w:cs="Times New Roman"/>
                <w:szCs w:val="24"/>
              </w:rPr>
            </w:pPr>
            <w:r w:rsidRPr="00726877">
              <w:rPr>
                <w:rFonts w:ascii="Times New Roman" w:hAnsi="Times New Roman" w:cs="Times New Roman"/>
                <w:szCs w:val="24"/>
              </w:rPr>
              <w:t xml:space="preserve">unique human </w:t>
            </w:r>
            <w:proofErr w:type="spellStart"/>
            <w:r w:rsidRPr="00726877">
              <w:rPr>
                <w:rFonts w:ascii="Times New Roman" w:hAnsi="Times New Roman" w:cs="Times New Roman"/>
                <w:szCs w:val="24"/>
              </w:rPr>
              <w:t>snps</w:t>
            </w:r>
            <w:proofErr w:type="spellEnd"/>
          </w:p>
        </w:tc>
      </w:tr>
    </w:tbl>
    <w:p w:rsidR="00726877" w:rsidRDefault="00726877" w:rsidP="001016F9">
      <w:pPr>
        <w:spacing w:line="360" w:lineRule="auto"/>
        <w:jc w:val="both"/>
        <w:rPr>
          <w:rFonts w:ascii="Times New Roman" w:hAnsi="Times New Roman" w:cs="Times New Roman"/>
          <w:b/>
          <w:sz w:val="24"/>
          <w:szCs w:val="24"/>
        </w:rPr>
      </w:pPr>
    </w:p>
    <w:p w:rsidR="00726877" w:rsidRDefault="00726877" w:rsidP="001016F9">
      <w:pPr>
        <w:spacing w:line="360" w:lineRule="auto"/>
        <w:jc w:val="both"/>
        <w:rPr>
          <w:rFonts w:ascii="Times New Roman" w:hAnsi="Times New Roman" w:cs="Times New Roman"/>
          <w:b/>
          <w:sz w:val="24"/>
          <w:szCs w:val="24"/>
        </w:rPr>
      </w:pPr>
    </w:p>
    <w:p w:rsidR="00726877" w:rsidRDefault="00726877" w:rsidP="001016F9">
      <w:pPr>
        <w:spacing w:line="360" w:lineRule="auto"/>
        <w:jc w:val="both"/>
        <w:rPr>
          <w:rFonts w:ascii="Times New Roman" w:hAnsi="Times New Roman" w:cs="Times New Roman"/>
          <w:b/>
          <w:sz w:val="24"/>
          <w:szCs w:val="24"/>
        </w:rPr>
        <w:sectPr w:rsidR="00726877" w:rsidSect="00726877">
          <w:pgSz w:w="15840" w:h="12240" w:orient="landscape"/>
          <w:pgMar w:top="1440" w:right="1440" w:bottom="1440" w:left="1440" w:header="720" w:footer="720" w:gutter="0"/>
          <w:cols w:space="720"/>
          <w:docGrid w:linePitch="360"/>
        </w:sectPr>
      </w:pPr>
    </w:p>
    <w:p w:rsidR="00C96E17" w:rsidRDefault="0096534B" w:rsidP="001016F9">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Bio-informatics</w:t>
      </w:r>
      <w:r w:rsidR="00A5507B">
        <w:rPr>
          <w:rFonts w:ascii="Times New Roman" w:hAnsi="Times New Roman" w:cs="Times New Roman"/>
          <w:b/>
          <w:sz w:val="24"/>
          <w:szCs w:val="24"/>
        </w:rPr>
        <w:t xml:space="preserve"> Analysis</w:t>
      </w:r>
    </w:p>
    <w:p w:rsidR="00F21A19" w:rsidRPr="00F533E3" w:rsidRDefault="00E1274D" w:rsidP="00F21A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sequence data was analyzed </w:t>
      </w:r>
      <w:r w:rsidR="005E7204">
        <w:rPr>
          <w:rFonts w:ascii="Times New Roman" w:hAnsi="Times New Roman" w:cs="Times New Roman"/>
          <w:sz w:val="24"/>
          <w:szCs w:val="24"/>
        </w:rPr>
        <w:t xml:space="preserve">and stored </w:t>
      </w:r>
      <w:r>
        <w:rPr>
          <w:rFonts w:ascii="Times New Roman" w:hAnsi="Times New Roman" w:cs="Times New Roman"/>
          <w:sz w:val="24"/>
          <w:szCs w:val="24"/>
        </w:rPr>
        <w:t>by a bespoke pipeline</w:t>
      </w:r>
      <w:r w:rsidR="005E7204">
        <w:rPr>
          <w:rFonts w:ascii="Times New Roman" w:hAnsi="Times New Roman" w:cs="Times New Roman"/>
          <w:sz w:val="24"/>
          <w:szCs w:val="24"/>
        </w:rPr>
        <w:t xml:space="preserve"> (courtesy of </w:t>
      </w:r>
      <w:r w:rsidR="007830A4">
        <w:rPr>
          <w:rFonts w:ascii="Times New Roman" w:hAnsi="Times New Roman" w:cs="Times New Roman"/>
          <w:sz w:val="24"/>
          <w:szCs w:val="24"/>
        </w:rPr>
        <w:t>the Oxford Molecular Diagnostic Centre</w:t>
      </w:r>
      <w:r w:rsidR="005E7204">
        <w:rPr>
          <w:rFonts w:ascii="Times New Roman" w:hAnsi="Times New Roman" w:cs="Times New Roman"/>
          <w:sz w:val="24"/>
          <w:szCs w:val="24"/>
        </w:rPr>
        <w:t>)</w:t>
      </w:r>
      <w:r>
        <w:rPr>
          <w:rFonts w:ascii="Times New Roman" w:hAnsi="Times New Roman" w:cs="Times New Roman"/>
          <w:sz w:val="24"/>
          <w:szCs w:val="24"/>
        </w:rPr>
        <w:t xml:space="preserve"> in a HIPAA (Health Insurance Portability and Accountability Act of 1996) compliant</w:t>
      </w:r>
      <w:r w:rsidR="005E7204">
        <w:rPr>
          <w:rFonts w:ascii="Times New Roman" w:hAnsi="Times New Roman" w:cs="Times New Roman"/>
          <w:sz w:val="24"/>
          <w:szCs w:val="24"/>
        </w:rPr>
        <w:t xml:space="preserve">, </w:t>
      </w:r>
      <w:r>
        <w:rPr>
          <w:rFonts w:ascii="Times New Roman" w:hAnsi="Times New Roman" w:cs="Times New Roman"/>
          <w:sz w:val="24"/>
          <w:szCs w:val="24"/>
        </w:rPr>
        <w:t>AWS</w:t>
      </w:r>
      <w:r w:rsidR="005E7204">
        <w:rPr>
          <w:rFonts w:ascii="Times New Roman" w:hAnsi="Times New Roman" w:cs="Times New Roman"/>
          <w:sz w:val="24"/>
          <w:szCs w:val="24"/>
        </w:rPr>
        <w:t xml:space="preserve"> (Amazon Web Services) cloud.  </w:t>
      </w:r>
      <w:r w:rsidR="00ED2283">
        <w:rPr>
          <w:rFonts w:ascii="Times New Roman" w:hAnsi="Times New Roman" w:cs="Times New Roman"/>
          <w:sz w:val="24"/>
          <w:szCs w:val="24"/>
        </w:rPr>
        <w:t>Paired reads were combined and statistics</w:t>
      </w:r>
      <w:r w:rsidR="00A17351">
        <w:rPr>
          <w:rFonts w:ascii="Times New Roman" w:hAnsi="Times New Roman" w:cs="Times New Roman"/>
          <w:sz w:val="24"/>
          <w:szCs w:val="24"/>
        </w:rPr>
        <w:t xml:space="preserve"> generated</w:t>
      </w:r>
      <w:r w:rsidR="00ED2283">
        <w:rPr>
          <w:rFonts w:ascii="Times New Roman" w:hAnsi="Times New Roman" w:cs="Times New Roman"/>
          <w:sz w:val="24"/>
          <w:szCs w:val="24"/>
        </w:rPr>
        <w:t xml:space="preserve"> on the total number of re</w:t>
      </w:r>
      <w:r w:rsidR="00A17351">
        <w:rPr>
          <w:rFonts w:ascii="Times New Roman" w:hAnsi="Times New Roman" w:cs="Times New Roman"/>
          <w:sz w:val="24"/>
          <w:szCs w:val="24"/>
        </w:rPr>
        <w:t>ads and invalid reads,</w:t>
      </w:r>
      <w:r w:rsidR="00ED2283">
        <w:rPr>
          <w:rFonts w:ascii="Times New Roman" w:hAnsi="Times New Roman" w:cs="Times New Roman"/>
          <w:sz w:val="24"/>
          <w:szCs w:val="24"/>
        </w:rPr>
        <w:t xml:space="preserve"> using a custom tool (</w:t>
      </w:r>
      <w:proofErr w:type="spellStart"/>
      <w:r w:rsidR="00ED2283" w:rsidRPr="00ED2283">
        <w:rPr>
          <w:rFonts w:ascii="Times New Roman" w:hAnsi="Times New Roman" w:cs="Times New Roman"/>
          <w:i/>
          <w:sz w:val="24"/>
          <w:szCs w:val="24"/>
        </w:rPr>
        <w:t>udini</w:t>
      </w:r>
      <w:proofErr w:type="spellEnd"/>
      <w:r w:rsidR="00ED2283">
        <w:rPr>
          <w:rFonts w:ascii="Times New Roman" w:hAnsi="Times New Roman" w:cs="Times New Roman"/>
          <w:sz w:val="24"/>
          <w:szCs w:val="24"/>
        </w:rPr>
        <w:t xml:space="preserve">).  The raw sequence data in FASTQ format was aligned to GRCh37 (hs37d5) with BWA-MEM2.  Sorting was done using </w:t>
      </w:r>
      <w:proofErr w:type="spellStart"/>
      <w:r w:rsidR="00ED2283">
        <w:rPr>
          <w:rFonts w:ascii="Times New Roman" w:hAnsi="Times New Roman" w:cs="Times New Roman"/>
          <w:i/>
          <w:sz w:val="24"/>
          <w:szCs w:val="24"/>
        </w:rPr>
        <w:t>samtools</w:t>
      </w:r>
      <w:proofErr w:type="spellEnd"/>
      <w:r w:rsidR="00ED2283">
        <w:rPr>
          <w:rFonts w:ascii="Times New Roman" w:hAnsi="Times New Roman" w:cs="Times New Roman"/>
          <w:sz w:val="24"/>
          <w:szCs w:val="24"/>
        </w:rPr>
        <w:t>.  De-duplication of reads and generation of error rates and fa</w:t>
      </w:r>
      <w:r w:rsidR="00A17351">
        <w:rPr>
          <w:rFonts w:ascii="Times New Roman" w:hAnsi="Times New Roman" w:cs="Times New Roman"/>
          <w:sz w:val="24"/>
          <w:szCs w:val="24"/>
        </w:rPr>
        <w:t>mily sizes was done by a custom-</w:t>
      </w:r>
      <w:r w:rsidR="00ED2283">
        <w:rPr>
          <w:rFonts w:ascii="Times New Roman" w:hAnsi="Times New Roman" w:cs="Times New Roman"/>
          <w:sz w:val="24"/>
          <w:szCs w:val="24"/>
        </w:rPr>
        <w:t>made tool (</w:t>
      </w:r>
      <w:proofErr w:type="spellStart"/>
      <w:r w:rsidR="00ED2283" w:rsidRPr="00ED2283">
        <w:rPr>
          <w:rFonts w:ascii="Times New Roman" w:hAnsi="Times New Roman" w:cs="Times New Roman"/>
          <w:i/>
          <w:sz w:val="24"/>
          <w:szCs w:val="24"/>
        </w:rPr>
        <w:t>elduderino</w:t>
      </w:r>
      <w:proofErr w:type="spellEnd"/>
      <w:r w:rsidR="00ED2283">
        <w:rPr>
          <w:rFonts w:ascii="Times New Roman" w:hAnsi="Times New Roman" w:cs="Times New Roman"/>
          <w:sz w:val="24"/>
          <w:szCs w:val="24"/>
        </w:rPr>
        <w:t>).  The de-duplicated FASQ was re-aligned to GRCh37 with BWA-MEM2 and fragment sizes calculated using read pairs by a custom script (available on request).  Another custom script (available on request) was used to map the reads onto the genomic regions (targeted genes) of interest and calculate copies per cell for the EBV genes (</w:t>
      </w:r>
      <w:r w:rsidR="00F35411">
        <w:rPr>
          <w:rFonts w:ascii="Times New Roman" w:hAnsi="Times New Roman" w:cs="Times New Roman"/>
          <w:sz w:val="24"/>
          <w:szCs w:val="24"/>
        </w:rPr>
        <w:t>mean depth of EBV gene/mean depth for all other targeted genes).  The last base at the end of each read was trimmed using a custom tool (</w:t>
      </w:r>
      <w:r w:rsidR="00F35411" w:rsidRPr="00F35411">
        <w:rPr>
          <w:rFonts w:ascii="Times New Roman" w:hAnsi="Times New Roman" w:cs="Times New Roman"/>
          <w:i/>
          <w:sz w:val="24"/>
          <w:szCs w:val="24"/>
        </w:rPr>
        <w:t>trim</w:t>
      </w:r>
      <w:r w:rsidR="00F35411">
        <w:rPr>
          <w:rFonts w:ascii="Times New Roman" w:hAnsi="Times New Roman" w:cs="Times New Roman"/>
          <w:sz w:val="24"/>
          <w:szCs w:val="24"/>
        </w:rPr>
        <w:t xml:space="preserve">) and the trimmed SAM file converted into a BAM file and indexed.  A custom script (available on request) was used to generate summary statistics for coverage for all targets at different coverage depths and for different genes.  Custom scripts (available on request) were developed for variant calling using </w:t>
      </w:r>
      <w:proofErr w:type="spellStart"/>
      <w:r w:rsidR="00991299">
        <w:rPr>
          <w:rFonts w:ascii="Times New Roman" w:hAnsi="Times New Roman" w:cs="Times New Roman"/>
          <w:i/>
          <w:sz w:val="24"/>
          <w:szCs w:val="24"/>
        </w:rPr>
        <w:t>varscan</w:t>
      </w:r>
      <w:proofErr w:type="spellEnd"/>
      <w:r w:rsidR="00F35411">
        <w:rPr>
          <w:rFonts w:ascii="Times New Roman" w:hAnsi="Times New Roman" w:cs="Times New Roman"/>
          <w:sz w:val="24"/>
          <w:szCs w:val="24"/>
        </w:rPr>
        <w:t xml:space="preserve">, and annotation of the variants using </w:t>
      </w:r>
      <w:proofErr w:type="spellStart"/>
      <w:r w:rsidR="00F35411">
        <w:rPr>
          <w:rFonts w:ascii="Times New Roman" w:hAnsi="Times New Roman" w:cs="Times New Roman"/>
          <w:sz w:val="24"/>
          <w:szCs w:val="24"/>
        </w:rPr>
        <w:t>ensembls</w:t>
      </w:r>
      <w:proofErr w:type="spellEnd"/>
      <w:r w:rsidR="00F35411">
        <w:rPr>
          <w:rFonts w:ascii="Times New Roman" w:hAnsi="Times New Roman" w:cs="Times New Roman"/>
          <w:sz w:val="24"/>
          <w:szCs w:val="24"/>
        </w:rPr>
        <w:t xml:space="preserve"> </w:t>
      </w:r>
      <w:r w:rsidR="00A17351">
        <w:rPr>
          <w:rFonts w:ascii="Times New Roman" w:hAnsi="Times New Roman" w:cs="Times New Roman"/>
          <w:sz w:val="24"/>
          <w:szCs w:val="24"/>
        </w:rPr>
        <w:t xml:space="preserve">Variant Effect Predictor (VEP).  </w:t>
      </w:r>
      <w:proofErr w:type="spellStart"/>
      <w:r w:rsidR="00F21A19" w:rsidRPr="00F533E3">
        <w:rPr>
          <w:rFonts w:ascii="Times New Roman" w:hAnsi="Times New Roman" w:cs="Times New Roman"/>
          <w:sz w:val="24"/>
          <w:szCs w:val="24"/>
        </w:rPr>
        <w:t>IgCaller</w:t>
      </w:r>
      <w:proofErr w:type="spellEnd"/>
      <w:r w:rsidR="00F21A19" w:rsidRPr="00F533E3">
        <w:rPr>
          <w:rFonts w:ascii="Times New Roman" w:hAnsi="Times New Roman" w:cs="Times New Roman"/>
          <w:sz w:val="24"/>
          <w:szCs w:val="24"/>
        </w:rPr>
        <w:t xml:space="preserve"> (Version 1.2 software utilizing the hg19 reference genome) was used to comprehensive analyze the rearrangements of the immunoglobulin genes and identify oncogenic translocations and Genomic Rearrangement Identification Software Suite with additional </w:t>
      </w:r>
      <w:proofErr w:type="spellStart"/>
      <w:r w:rsidR="00F21A19" w:rsidRPr="00F533E3">
        <w:rPr>
          <w:rFonts w:ascii="Times New Roman" w:hAnsi="Times New Roman" w:cs="Times New Roman"/>
          <w:sz w:val="24"/>
          <w:szCs w:val="24"/>
        </w:rPr>
        <w:t>Picards</w:t>
      </w:r>
      <w:proofErr w:type="spellEnd"/>
      <w:r w:rsidR="00F21A19" w:rsidRPr="00F533E3">
        <w:rPr>
          <w:rFonts w:ascii="Times New Roman" w:hAnsi="Times New Roman" w:cs="Times New Roman"/>
          <w:sz w:val="24"/>
          <w:szCs w:val="24"/>
        </w:rPr>
        <w:t xml:space="preserve"> options and </w:t>
      </w:r>
      <w:proofErr w:type="spellStart"/>
      <w:r w:rsidR="00F21A19" w:rsidRPr="00F533E3">
        <w:rPr>
          <w:rFonts w:ascii="Times New Roman" w:hAnsi="Times New Roman" w:cs="Times New Roman"/>
          <w:sz w:val="24"/>
          <w:szCs w:val="24"/>
        </w:rPr>
        <w:t>Samtools</w:t>
      </w:r>
      <w:proofErr w:type="spellEnd"/>
      <w:r w:rsidR="00F21A19" w:rsidRPr="00F533E3">
        <w:rPr>
          <w:rFonts w:ascii="Times New Roman" w:hAnsi="Times New Roman" w:cs="Times New Roman"/>
          <w:sz w:val="24"/>
          <w:szCs w:val="24"/>
        </w:rPr>
        <w:t xml:space="preserve"> as aligner (GRIDSS, version 2.13.2) was also included as structural variation caller. To visualize and distinguish true variants from false variants, Integrated Genome Viewer (</w:t>
      </w:r>
      <w:r w:rsidR="00F21A19" w:rsidRPr="00F533E3">
        <w:rPr>
          <w:rFonts w:ascii="Times New Roman" w:hAnsi="Times New Roman" w:cs="Times New Roman"/>
          <w:sz w:val="24"/>
          <w:szCs w:val="24"/>
          <w:u w:val="single"/>
        </w:rPr>
        <w:t>IGV</w:t>
      </w:r>
      <w:r w:rsidR="00F21A19" w:rsidRPr="00F533E3">
        <w:rPr>
          <w:rFonts w:ascii="Times New Roman" w:hAnsi="Times New Roman" w:cs="Times New Roman"/>
          <w:sz w:val="24"/>
          <w:szCs w:val="24"/>
        </w:rPr>
        <w:t>, version 2.13.0)</w:t>
      </w:r>
      <w:r w:rsidR="00F21A19">
        <w:rPr>
          <w:rFonts w:ascii="Times New Roman" w:hAnsi="Times New Roman" w:cs="Times New Roman"/>
          <w:sz w:val="24"/>
          <w:szCs w:val="24"/>
        </w:rPr>
        <w:t xml:space="preserve"> was used. </w:t>
      </w:r>
      <w:r w:rsidR="00F21A19" w:rsidRPr="00A76C38">
        <w:rPr>
          <w:rFonts w:ascii="Times New Roman" w:hAnsi="Times New Roman" w:cs="Times New Roman"/>
          <w:sz w:val="24"/>
          <w:szCs w:val="24"/>
        </w:rPr>
        <w:t xml:space="preserve">EBV DNA size ratio was calculated as the proportion of EBV DNA fragments with size between 180 - 200 base pairs (Total EBV DNA with size 180 - 200bp/Total autosomal DNA with size between 180 - 200 </w:t>
      </w:r>
      <w:proofErr w:type="spellStart"/>
      <w:r w:rsidR="00F21A19" w:rsidRPr="00A76C38">
        <w:rPr>
          <w:rFonts w:ascii="Times New Roman" w:hAnsi="Times New Roman" w:cs="Times New Roman"/>
          <w:sz w:val="24"/>
          <w:szCs w:val="24"/>
        </w:rPr>
        <w:t>bp</w:t>
      </w:r>
      <w:proofErr w:type="spellEnd"/>
      <w:r w:rsidR="00F21A19" w:rsidRPr="00A76C38">
        <w:rPr>
          <w:rFonts w:ascii="Times New Roman" w:hAnsi="Times New Roman" w:cs="Times New Roman"/>
          <w:sz w:val="24"/>
          <w:szCs w:val="24"/>
        </w:rPr>
        <w:t xml:space="preserve">).  Calculation of the size ratio and selection of the fragment size window was determined based on the methodology of a previous study looking at EBV DNA in nasopharyngeal carcinoma </w:t>
      </w:r>
      <w:r w:rsidR="00F21A19">
        <w:rPr>
          <w:rFonts w:ascii="Times New Roman" w:hAnsi="Times New Roman" w:cs="Times New Roman"/>
          <w:sz w:val="24"/>
          <w:szCs w:val="24"/>
        </w:rPr>
        <w:t>(</w:t>
      </w:r>
      <w:r w:rsidR="00F21A19" w:rsidRPr="00F21A19">
        <w:rPr>
          <w:rFonts w:ascii="Times New Roman" w:hAnsi="Times New Roman" w:cs="Times New Roman"/>
          <w:sz w:val="24"/>
          <w:szCs w:val="24"/>
        </w:rPr>
        <w:t>W.K.J. Lam,</w:t>
      </w:r>
      <w:r w:rsidR="00F21A19">
        <w:rPr>
          <w:rFonts w:ascii="Times New Roman" w:hAnsi="Times New Roman" w:cs="Times New Roman"/>
          <w:sz w:val="24"/>
          <w:szCs w:val="24"/>
        </w:rPr>
        <w:t xml:space="preserve"> et al, </w:t>
      </w:r>
      <w:r w:rsidR="00F21A19" w:rsidRPr="00F21A19">
        <w:rPr>
          <w:rFonts w:ascii="Times New Roman" w:hAnsi="Times New Roman" w:cs="Times New Roman"/>
          <w:sz w:val="24"/>
          <w:szCs w:val="24"/>
        </w:rPr>
        <w:t>Proc. Natl. Acad. Sci. U.S.A</w:t>
      </w:r>
      <w:r w:rsidR="00F21A19">
        <w:rPr>
          <w:rFonts w:ascii="Times New Roman" w:hAnsi="Times New Roman" w:cs="Times New Roman"/>
          <w:sz w:val="24"/>
          <w:szCs w:val="24"/>
        </w:rPr>
        <w:t xml:space="preserve">, </w:t>
      </w:r>
      <w:r w:rsidR="00F21A19" w:rsidRPr="00F21A19">
        <w:rPr>
          <w:rFonts w:ascii="Times New Roman" w:hAnsi="Times New Roman" w:cs="Times New Roman"/>
          <w:sz w:val="24"/>
          <w:szCs w:val="24"/>
        </w:rPr>
        <w:t>2018</w:t>
      </w:r>
      <w:proofErr w:type="gramStart"/>
      <w:r w:rsidR="00F21A19" w:rsidRPr="00F21A19">
        <w:rPr>
          <w:rFonts w:ascii="Times New Roman" w:hAnsi="Times New Roman" w:cs="Times New Roman"/>
          <w:sz w:val="24"/>
          <w:szCs w:val="24"/>
        </w:rPr>
        <w:t xml:space="preserve">) </w:t>
      </w:r>
      <w:r w:rsidR="00F21A19" w:rsidRPr="00A76C38">
        <w:rPr>
          <w:rFonts w:ascii="Times New Roman" w:hAnsi="Times New Roman" w:cs="Times New Roman"/>
          <w:sz w:val="24"/>
          <w:szCs w:val="24"/>
        </w:rPr>
        <w:t>.</w:t>
      </w:r>
      <w:proofErr w:type="gramEnd"/>
      <w:r w:rsidR="00F21A19" w:rsidRPr="00A76C38">
        <w:rPr>
          <w:rFonts w:ascii="Times New Roman" w:hAnsi="Times New Roman" w:cs="Times New Roman"/>
          <w:sz w:val="24"/>
          <w:szCs w:val="24"/>
        </w:rPr>
        <w:t xml:space="preserve"> The lower the EBV size ratio, the lower the proportion of EBV DNA molecules of size 180 – 200bp. The distribution of the fragment sizes for reads that map to regions of EBV and for reads that map to the autosomes was calculated and recorded as the EBV entropy and autosome entropy respectively. This gives a </w:t>
      </w:r>
      <w:r w:rsidR="00F21A19" w:rsidRPr="00A76C38">
        <w:rPr>
          <w:rFonts w:ascii="Times New Roman" w:hAnsi="Times New Roman" w:cs="Times New Roman"/>
          <w:sz w:val="24"/>
          <w:szCs w:val="24"/>
        </w:rPr>
        <w:lastRenderedPageBreak/>
        <w:t xml:space="preserve">measure of how wide or clustered the distribution is of fragment sizes. </w:t>
      </w:r>
      <w:r w:rsidR="00F21A19">
        <w:rPr>
          <w:rFonts w:ascii="Times New Roman" w:hAnsi="Times New Roman" w:cs="Times New Roman"/>
          <w:sz w:val="24"/>
          <w:szCs w:val="24"/>
        </w:rPr>
        <w:t>The EBV DNA size ratio, EBV entropy and autosome entropy were calculated using custom scripts (Figure 1).</w:t>
      </w:r>
    </w:p>
    <w:p w:rsidR="00F21A19" w:rsidRPr="00F533E3" w:rsidRDefault="00F21A19" w:rsidP="00F21A19">
      <w:pPr>
        <w:spacing w:line="360" w:lineRule="auto"/>
        <w:jc w:val="both"/>
        <w:rPr>
          <w:rFonts w:ascii="Times New Roman" w:hAnsi="Times New Roman" w:cs="Times New Roman"/>
          <w:sz w:val="24"/>
          <w:szCs w:val="24"/>
        </w:rPr>
      </w:pPr>
    </w:p>
    <w:p w:rsidR="00F21A19" w:rsidRDefault="00F21A19" w:rsidP="001016F9">
      <w:pPr>
        <w:spacing w:line="360" w:lineRule="auto"/>
        <w:jc w:val="both"/>
        <w:rPr>
          <w:rFonts w:ascii="Times New Roman" w:hAnsi="Times New Roman" w:cs="Times New Roman"/>
          <w:sz w:val="24"/>
          <w:szCs w:val="24"/>
        </w:rPr>
        <w:sectPr w:rsidR="00F21A19" w:rsidSect="00726877">
          <w:pgSz w:w="12240" w:h="15840"/>
          <w:pgMar w:top="1440" w:right="1440" w:bottom="1440" w:left="1440" w:header="720" w:footer="720" w:gutter="0"/>
          <w:cols w:space="720"/>
          <w:docGrid w:linePitch="360"/>
        </w:sectPr>
      </w:pPr>
    </w:p>
    <w:p w:rsidR="00C96E17" w:rsidRDefault="00F21A19" w:rsidP="001016F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lastRenderedPageBreak/>
        <w:drawing>
          <wp:inline distT="0" distB="0" distL="0" distR="0" wp14:anchorId="52EB8A33">
            <wp:extent cx="8463473" cy="438116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3653" cy="4401968"/>
                    </a:xfrm>
                    <a:prstGeom prst="rect">
                      <a:avLst/>
                    </a:prstGeom>
                    <a:noFill/>
                  </pic:spPr>
                </pic:pic>
              </a:graphicData>
            </a:graphic>
          </wp:inline>
        </w:drawing>
      </w:r>
    </w:p>
    <w:p w:rsidR="00F21A19" w:rsidRDefault="00F21A19" w:rsidP="001016F9">
      <w:pPr>
        <w:spacing w:line="360" w:lineRule="auto"/>
        <w:jc w:val="both"/>
        <w:rPr>
          <w:rFonts w:ascii="Times New Roman" w:hAnsi="Times New Roman" w:cs="Times New Roman"/>
          <w:b/>
          <w:sz w:val="24"/>
          <w:szCs w:val="24"/>
        </w:rPr>
      </w:pPr>
      <w:r w:rsidRPr="00F21A19">
        <w:rPr>
          <w:rFonts w:ascii="Times New Roman" w:hAnsi="Times New Roman" w:cs="Times New Roman"/>
          <w:b/>
          <w:sz w:val="24"/>
          <w:szCs w:val="24"/>
        </w:rPr>
        <w:t>Figure 1: Bio-informatics pipeline</w:t>
      </w:r>
    </w:p>
    <w:p w:rsidR="00D80B2F" w:rsidRDefault="00D80B2F" w:rsidP="001016F9">
      <w:pPr>
        <w:spacing w:line="360" w:lineRule="auto"/>
        <w:jc w:val="both"/>
        <w:rPr>
          <w:rFonts w:ascii="Times New Roman" w:hAnsi="Times New Roman" w:cs="Times New Roman"/>
          <w:b/>
          <w:sz w:val="24"/>
          <w:szCs w:val="24"/>
        </w:rPr>
      </w:pPr>
    </w:p>
    <w:p w:rsidR="00D80B2F" w:rsidRDefault="00D80B2F" w:rsidP="001016F9">
      <w:pPr>
        <w:spacing w:line="360" w:lineRule="auto"/>
        <w:jc w:val="both"/>
        <w:rPr>
          <w:rFonts w:ascii="Times New Roman" w:hAnsi="Times New Roman" w:cs="Times New Roman"/>
          <w:b/>
          <w:sz w:val="24"/>
          <w:szCs w:val="24"/>
        </w:rPr>
      </w:pPr>
    </w:p>
    <w:p w:rsidR="005E6586" w:rsidRDefault="005E6586" w:rsidP="001016F9">
      <w:pPr>
        <w:spacing w:line="360" w:lineRule="auto"/>
        <w:jc w:val="both"/>
        <w:rPr>
          <w:rFonts w:ascii="Times New Roman" w:hAnsi="Times New Roman" w:cs="Times New Roman"/>
          <w:b/>
          <w:sz w:val="24"/>
          <w:szCs w:val="24"/>
        </w:rPr>
      </w:pPr>
    </w:p>
    <w:p w:rsidR="00D80B2F" w:rsidRDefault="00D80B2F" w:rsidP="001016F9">
      <w:pPr>
        <w:spacing w:line="360" w:lineRule="auto"/>
        <w:jc w:val="both"/>
        <w:rPr>
          <w:rFonts w:ascii="Times New Roman" w:hAnsi="Times New Roman" w:cs="Times New Roman"/>
          <w:b/>
          <w:sz w:val="24"/>
          <w:szCs w:val="24"/>
        </w:rPr>
        <w:sectPr w:rsidR="00D80B2F" w:rsidSect="00F21A19">
          <w:pgSz w:w="15840" w:h="12240" w:orient="landscape"/>
          <w:pgMar w:top="1440" w:right="1440" w:bottom="1440" w:left="1440" w:header="720" w:footer="720" w:gutter="0"/>
          <w:cols w:space="720"/>
          <w:docGrid w:linePitch="360"/>
        </w:sectPr>
      </w:pPr>
    </w:p>
    <w:tbl>
      <w:tblPr>
        <w:tblStyle w:val="TableGrid"/>
        <w:tblpPr w:leftFromText="180" w:rightFromText="180" w:vertAnchor="page" w:horzAnchor="margin" w:tblpY="1940"/>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D80B2F" w:rsidRPr="00D80B2F" w:rsidTr="00D80B2F">
        <w:tc>
          <w:tcPr>
            <w:tcW w:w="4675" w:type="dxa"/>
          </w:tcPr>
          <w:p w:rsidR="00D80B2F" w:rsidRPr="00D80B2F" w:rsidRDefault="00D80B2F" w:rsidP="00D80B2F">
            <w:pPr>
              <w:spacing w:after="160" w:line="360" w:lineRule="auto"/>
              <w:jc w:val="both"/>
              <w:rPr>
                <w:rFonts w:ascii="Times New Roman" w:hAnsi="Times New Roman" w:cs="Times New Roman"/>
                <w:b/>
                <w:sz w:val="24"/>
                <w:szCs w:val="24"/>
              </w:rPr>
            </w:pPr>
            <w:r w:rsidRPr="00D80B2F">
              <w:rPr>
                <w:rFonts w:ascii="Times New Roman" w:hAnsi="Times New Roman" w:cs="Times New Roman"/>
                <w:b/>
                <w:sz w:val="24"/>
                <w:szCs w:val="24"/>
              </w:rPr>
              <w:lastRenderedPageBreak/>
              <w:t>Sequencing Metric (units)</w:t>
            </w:r>
          </w:p>
        </w:tc>
        <w:tc>
          <w:tcPr>
            <w:tcW w:w="4675" w:type="dxa"/>
          </w:tcPr>
          <w:p w:rsidR="00D80B2F" w:rsidRPr="00D80B2F" w:rsidRDefault="00D80B2F" w:rsidP="00D80B2F">
            <w:pPr>
              <w:spacing w:after="160" w:line="360" w:lineRule="auto"/>
              <w:jc w:val="both"/>
              <w:rPr>
                <w:rFonts w:ascii="Times New Roman" w:hAnsi="Times New Roman" w:cs="Times New Roman"/>
                <w:b/>
                <w:sz w:val="24"/>
                <w:szCs w:val="24"/>
              </w:rPr>
            </w:pPr>
            <w:r w:rsidRPr="00D80B2F">
              <w:rPr>
                <w:rFonts w:ascii="Times New Roman" w:hAnsi="Times New Roman" w:cs="Times New Roman"/>
                <w:b/>
                <w:sz w:val="24"/>
                <w:szCs w:val="24"/>
              </w:rPr>
              <w:t>Median (Range)</w:t>
            </w:r>
          </w:p>
        </w:tc>
      </w:tr>
      <w:tr w:rsidR="00D80B2F" w:rsidRPr="00D80B2F" w:rsidTr="00D80B2F">
        <w:tc>
          <w:tcPr>
            <w:tcW w:w="4675" w:type="dxa"/>
          </w:tcPr>
          <w:p w:rsidR="00D80B2F" w:rsidRPr="00D80B2F" w:rsidRDefault="00D80B2F" w:rsidP="00D80B2F">
            <w:pPr>
              <w:spacing w:after="160" w:line="360" w:lineRule="auto"/>
              <w:jc w:val="both"/>
              <w:rPr>
                <w:rFonts w:ascii="Times New Roman" w:hAnsi="Times New Roman" w:cs="Times New Roman"/>
                <w:b/>
                <w:sz w:val="24"/>
                <w:szCs w:val="24"/>
              </w:rPr>
            </w:pPr>
            <w:r w:rsidRPr="00D80B2F">
              <w:rPr>
                <w:rFonts w:ascii="Times New Roman" w:hAnsi="Times New Roman" w:cs="Times New Roman"/>
                <w:b/>
                <w:sz w:val="24"/>
                <w:szCs w:val="24"/>
              </w:rPr>
              <w:t>Coverage depth</w:t>
            </w:r>
          </w:p>
        </w:tc>
        <w:tc>
          <w:tcPr>
            <w:tcW w:w="4675" w:type="dxa"/>
          </w:tcPr>
          <w:p w:rsidR="00D80B2F" w:rsidRPr="00D80B2F" w:rsidRDefault="00D80B2F" w:rsidP="00D80B2F">
            <w:pPr>
              <w:spacing w:after="160" w:line="360" w:lineRule="auto"/>
              <w:jc w:val="both"/>
              <w:rPr>
                <w:rFonts w:ascii="Times New Roman" w:hAnsi="Times New Roman" w:cs="Times New Roman"/>
                <w:b/>
                <w:sz w:val="24"/>
                <w:szCs w:val="24"/>
              </w:rPr>
            </w:pPr>
            <w:r w:rsidRPr="00D80B2F">
              <w:rPr>
                <w:rFonts w:ascii="Times New Roman" w:hAnsi="Times New Roman" w:cs="Times New Roman"/>
                <w:b/>
                <w:sz w:val="24"/>
                <w:szCs w:val="24"/>
              </w:rPr>
              <w:t>1966 (97 – 5836)</w:t>
            </w:r>
          </w:p>
        </w:tc>
      </w:tr>
      <w:tr w:rsidR="00D80B2F" w:rsidRPr="00D80B2F" w:rsidTr="00D80B2F">
        <w:tc>
          <w:tcPr>
            <w:tcW w:w="4675" w:type="dxa"/>
          </w:tcPr>
          <w:p w:rsidR="00D80B2F" w:rsidRPr="00D80B2F" w:rsidRDefault="00D80B2F" w:rsidP="00D80B2F">
            <w:pPr>
              <w:spacing w:after="160" w:line="360" w:lineRule="auto"/>
              <w:jc w:val="both"/>
              <w:rPr>
                <w:rFonts w:ascii="Times New Roman" w:hAnsi="Times New Roman" w:cs="Times New Roman"/>
                <w:b/>
                <w:sz w:val="24"/>
                <w:szCs w:val="24"/>
              </w:rPr>
            </w:pPr>
            <w:r w:rsidRPr="00D80B2F">
              <w:rPr>
                <w:rFonts w:ascii="Times New Roman" w:hAnsi="Times New Roman" w:cs="Times New Roman"/>
                <w:b/>
                <w:sz w:val="24"/>
                <w:szCs w:val="24"/>
              </w:rPr>
              <w:t>Alignment (%)</w:t>
            </w:r>
          </w:p>
        </w:tc>
        <w:tc>
          <w:tcPr>
            <w:tcW w:w="4675" w:type="dxa"/>
          </w:tcPr>
          <w:p w:rsidR="00D80B2F" w:rsidRPr="00D80B2F" w:rsidRDefault="00D80B2F" w:rsidP="00D80B2F">
            <w:pPr>
              <w:spacing w:after="160" w:line="360" w:lineRule="auto"/>
              <w:jc w:val="both"/>
              <w:rPr>
                <w:rFonts w:ascii="Times New Roman" w:hAnsi="Times New Roman" w:cs="Times New Roman"/>
                <w:b/>
                <w:sz w:val="24"/>
                <w:szCs w:val="24"/>
              </w:rPr>
            </w:pPr>
            <w:r w:rsidRPr="00D80B2F">
              <w:rPr>
                <w:rFonts w:ascii="Times New Roman" w:hAnsi="Times New Roman" w:cs="Times New Roman"/>
                <w:b/>
                <w:sz w:val="24"/>
                <w:szCs w:val="24"/>
              </w:rPr>
              <w:t>2.82 (0.33 – 7.48)</w:t>
            </w:r>
          </w:p>
        </w:tc>
      </w:tr>
      <w:tr w:rsidR="00D80B2F" w:rsidRPr="00D80B2F" w:rsidTr="00D80B2F">
        <w:tc>
          <w:tcPr>
            <w:tcW w:w="4675" w:type="dxa"/>
          </w:tcPr>
          <w:p w:rsidR="00D80B2F" w:rsidRPr="00D80B2F" w:rsidRDefault="00D80B2F" w:rsidP="00D80B2F">
            <w:pPr>
              <w:spacing w:after="160" w:line="360" w:lineRule="auto"/>
              <w:jc w:val="both"/>
              <w:rPr>
                <w:rFonts w:ascii="Times New Roman" w:hAnsi="Times New Roman" w:cs="Times New Roman"/>
                <w:b/>
                <w:sz w:val="24"/>
                <w:szCs w:val="24"/>
              </w:rPr>
            </w:pPr>
            <w:r w:rsidRPr="00D80B2F">
              <w:rPr>
                <w:rFonts w:ascii="Times New Roman" w:hAnsi="Times New Roman" w:cs="Times New Roman"/>
                <w:b/>
                <w:sz w:val="24"/>
                <w:szCs w:val="24"/>
              </w:rPr>
              <w:t>Yield (</w:t>
            </w:r>
            <w:proofErr w:type="spellStart"/>
            <w:r w:rsidRPr="00D80B2F">
              <w:rPr>
                <w:rFonts w:ascii="Times New Roman" w:hAnsi="Times New Roman" w:cs="Times New Roman"/>
                <w:b/>
                <w:sz w:val="24"/>
                <w:szCs w:val="24"/>
              </w:rPr>
              <w:t>gb</w:t>
            </w:r>
            <w:proofErr w:type="spellEnd"/>
            <w:r w:rsidRPr="00D80B2F">
              <w:rPr>
                <w:rFonts w:ascii="Times New Roman" w:hAnsi="Times New Roman" w:cs="Times New Roman"/>
                <w:b/>
                <w:sz w:val="24"/>
                <w:szCs w:val="24"/>
              </w:rPr>
              <w:t>)</w:t>
            </w:r>
          </w:p>
        </w:tc>
        <w:tc>
          <w:tcPr>
            <w:tcW w:w="4675" w:type="dxa"/>
          </w:tcPr>
          <w:p w:rsidR="00D80B2F" w:rsidRPr="00D80B2F" w:rsidRDefault="00D80B2F" w:rsidP="00D80B2F">
            <w:pPr>
              <w:spacing w:after="160" w:line="360" w:lineRule="auto"/>
              <w:jc w:val="both"/>
              <w:rPr>
                <w:rFonts w:ascii="Times New Roman" w:hAnsi="Times New Roman" w:cs="Times New Roman"/>
                <w:b/>
                <w:sz w:val="24"/>
                <w:szCs w:val="24"/>
              </w:rPr>
            </w:pPr>
            <w:r w:rsidRPr="00D80B2F">
              <w:rPr>
                <w:rFonts w:ascii="Times New Roman" w:hAnsi="Times New Roman" w:cs="Times New Roman"/>
                <w:b/>
                <w:sz w:val="24"/>
                <w:szCs w:val="24"/>
              </w:rPr>
              <w:t>5.7 (1.4 – 8.05)</w:t>
            </w:r>
          </w:p>
        </w:tc>
      </w:tr>
      <w:tr w:rsidR="00D80B2F" w:rsidRPr="00D80B2F" w:rsidTr="00D80B2F">
        <w:tc>
          <w:tcPr>
            <w:tcW w:w="4675" w:type="dxa"/>
          </w:tcPr>
          <w:p w:rsidR="00D80B2F" w:rsidRPr="00D80B2F" w:rsidRDefault="00D80B2F" w:rsidP="00D80B2F">
            <w:pPr>
              <w:spacing w:after="160" w:line="360" w:lineRule="auto"/>
              <w:jc w:val="both"/>
              <w:rPr>
                <w:rFonts w:ascii="Times New Roman" w:hAnsi="Times New Roman" w:cs="Times New Roman"/>
                <w:b/>
                <w:sz w:val="24"/>
                <w:szCs w:val="24"/>
              </w:rPr>
            </w:pPr>
            <w:r w:rsidRPr="00D80B2F">
              <w:rPr>
                <w:rFonts w:ascii="Times New Roman" w:hAnsi="Times New Roman" w:cs="Times New Roman"/>
                <w:b/>
                <w:sz w:val="24"/>
                <w:szCs w:val="24"/>
              </w:rPr>
              <w:t>Cluster (%)</w:t>
            </w:r>
          </w:p>
        </w:tc>
        <w:tc>
          <w:tcPr>
            <w:tcW w:w="4675" w:type="dxa"/>
          </w:tcPr>
          <w:p w:rsidR="00D80B2F" w:rsidRPr="00D80B2F" w:rsidRDefault="00D80B2F" w:rsidP="00D80B2F">
            <w:pPr>
              <w:spacing w:after="160" w:line="360" w:lineRule="auto"/>
              <w:jc w:val="both"/>
              <w:rPr>
                <w:rFonts w:ascii="Times New Roman" w:hAnsi="Times New Roman" w:cs="Times New Roman"/>
                <w:b/>
                <w:sz w:val="24"/>
                <w:szCs w:val="24"/>
              </w:rPr>
            </w:pPr>
            <w:r w:rsidRPr="00D80B2F">
              <w:rPr>
                <w:rFonts w:ascii="Times New Roman" w:hAnsi="Times New Roman" w:cs="Times New Roman"/>
                <w:b/>
                <w:sz w:val="24"/>
                <w:szCs w:val="24"/>
              </w:rPr>
              <w:t>88.56 (58.5 – 96.04)</w:t>
            </w:r>
          </w:p>
        </w:tc>
      </w:tr>
      <w:tr w:rsidR="00D80B2F" w:rsidRPr="00D80B2F" w:rsidTr="00D80B2F">
        <w:tc>
          <w:tcPr>
            <w:tcW w:w="4675" w:type="dxa"/>
          </w:tcPr>
          <w:p w:rsidR="00D80B2F" w:rsidRPr="00D80B2F" w:rsidRDefault="00D80B2F" w:rsidP="00D80B2F">
            <w:pPr>
              <w:spacing w:after="160" w:line="360" w:lineRule="auto"/>
              <w:jc w:val="both"/>
              <w:rPr>
                <w:rFonts w:ascii="Times New Roman" w:hAnsi="Times New Roman" w:cs="Times New Roman"/>
                <w:b/>
                <w:sz w:val="24"/>
                <w:szCs w:val="24"/>
              </w:rPr>
            </w:pPr>
            <w:r w:rsidRPr="00D80B2F">
              <w:rPr>
                <w:rFonts w:ascii="Times New Roman" w:hAnsi="Times New Roman" w:cs="Times New Roman"/>
                <w:b/>
                <w:sz w:val="24"/>
                <w:szCs w:val="24"/>
              </w:rPr>
              <w:t>Error rate (%)</w:t>
            </w:r>
          </w:p>
        </w:tc>
        <w:tc>
          <w:tcPr>
            <w:tcW w:w="4675" w:type="dxa"/>
          </w:tcPr>
          <w:p w:rsidR="00D80B2F" w:rsidRPr="00D80B2F" w:rsidRDefault="00D80B2F" w:rsidP="00D80B2F">
            <w:pPr>
              <w:spacing w:after="160" w:line="360" w:lineRule="auto"/>
              <w:jc w:val="both"/>
              <w:rPr>
                <w:rFonts w:ascii="Times New Roman" w:hAnsi="Times New Roman" w:cs="Times New Roman"/>
                <w:b/>
                <w:sz w:val="24"/>
                <w:szCs w:val="24"/>
              </w:rPr>
            </w:pPr>
            <w:r w:rsidRPr="00D80B2F">
              <w:rPr>
                <w:rFonts w:ascii="Times New Roman" w:hAnsi="Times New Roman" w:cs="Times New Roman"/>
                <w:b/>
                <w:sz w:val="24"/>
                <w:szCs w:val="24"/>
              </w:rPr>
              <w:t>0.56 (0.3 – 2.79)</w:t>
            </w:r>
          </w:p>
        </w:tc>
      </w:tr>
      <w:tr w:rsidR="00D80B2F" w:rsidRPr="00D80B2F" w:rsidTr="00D80B2F">
        <w:tc>
          <w:tcPr>
            <w:tcW w:w="4675" w:type="dxa"/>
          </w:tcPr>
          <w:p w:rsidR="00D80B2F" w:rsidRPr="00D80B2F" w:rsidRDefault="00D80B2F" w:rsidP="00D80B2F">
            <w:pPr>
              <w:spacing w:after="160" w:line="360" w:lineRule="auto"/>
              <w:jc w:val="both"/>
              <w:rPr>
                <w:rFonts w:ascii="Times New Roman" w:hAnsi="Times New Roman" w:cs="Times New Roman"/>
                <w:b/>
                <w:sz w:val="24"/>
                <w:szCs w:val="24"/>
              </w:rPr>
            </w:pPr>
            <w:r w:rsidRPr="00D80B2F">
              <w:rPr>
                <w:rFonts w:ascii="Times New Roman" w:hAnsi="Times New Roman" w:cs="Times New Roman"/>
                <w:b/>
                <w:sz w:val="24"/>
                <w:szCs w:val="24"/>
              </w:rPr>
              <w:t>Q30 (%)</w:t>
            </w:r>
          </w:p>
        </w:tc>
        <w:tc>
          <w:tcPr>
            <w:tcW w:w="4675" w:type="dxa"/>
          </w:tcPr>
          <w:p w:rsidR="00D80B2F" w:rsidRPr="00D80B2F" w:rsidRDefault="00D80B2F" w:rsidP="00D80B2F">
            <w:pPr>
              <w:spacing w:after="160" w:line="360" w:lineRule="auto"/>
              <w:jc w:val="both"/>
              <w:rPr>
                <w:rFonts w:ascii="Times New Roman" w:hAnsi="Times New Roman" w:cs="Times New Roman"/>
                <w:b/>
                <w:sz w:val="24"/>
                <w:szCs w:val="24"/>
              </w:rPr>
            </w:pPr>
            <w:r w:rsidRPr="00D80B2F">
              <w:rPr>
                <w:rFonts w:ascii="Times New Roman" w:hAnsi="Times New Roman" w:cs="Times New Roman"/>
                <w:b/>
                <w:sz w:val="24"/>
                <w:szCs w:val="24"/>
              </w:rPr>
              <w:t>93.59 (64.18 – 98.01)</w:t>
            </w:r>
          </w:p>
        </w:tc>
      </w:tr>
      <w:tr w:rsidR="00D80B2F" w:rsidRPr="00D80B2F" w:rsidTr="00D80B2F">
        <w:tc>
          <w:tcPr>
            <w:tcW w:w="4675" w:type="dxa"/>
          </w:tcPr>
          <w:p w:rsidR="00D80B2F" w:rsidRPr="00D80B2F" w:rsidRDefault="00D80B2F" w:rsidP="00D80B2F">
            <w:pPr>
              <w:spacing w:after="160" w:line="360" w:lineRule="auto"/>
              <w:jc w:val="both"/>
              <w:rPr>
                <w:rFonts w:ascii="Times New Roman" w:hAnsi="Times New Roman" w:cs="Times New Roman"/>
                <w:b/>
                <w:sz w:val="24"/>
                <w:szCs w:val="24"/>
              </w:rPr>
            </w:pPr>
            <w:r w:rsidRPr="00D80B2F">
              <w:rPr>
                <w:rFonts w:ascii="Times New Roman" w:hAnsi="Times New Roman" w:cs="Times New Roman"/>
                <w:b/>
                <w:sz w:val="24"/>
                <w:szCs w:val="24"/>
              </w:rPr>
              <w:t>Percentage panel covered at least 100x</w:t>
            </w:r>
          </w:p>
        </w:tc>
        <w:tc>
          <w:tcPr>
            <w:tcW w:w="4675" w:type="dxa"/>
          </w:tcPr>
          <w:p w:rsidR="00D80B2F" w:rsidRPr="00D80B2F" w:rsidRDefault="00D80B2F" w:rsidP="00D80B2F">
            <w:pPr>
              <w:spacing w:after="160" w:line="360" w:lineRule="auto"/>
              <w:jc w:val="both"/>
              <w:rPr>
                <w:rFonts w:ascii="Times New Roman" w:hAnsi="Times New Roman" w:cs="Times New Roman"/>
                <w:b/>
                <w:sz w:val="24"/>
                <w:szCs w:val="24"/>
              </w:rPr>
            </w:pPr>
            <w:r w:rsidRPr="00D80B2F">
              <w:rPr>
                <w:rFonts w:ascii="Times New Roman" w:hAnsi="Times New Roman" w:cs="Times New Roman"/>
                <w:b/>
                <w:sz w:val="24"/>
                <w:szCs w:val="24"/>
              </w:rPr>
              <w:t>98 (0 – 99)</w:t>
            </w:r>
          </w:p>
        </w:tc>
      </w:tr>
      <w:tr w:rsidR="00D80B2F" w:rsidRPr="00D80B2F" w:rsidTr="00D80B2F">
        <w:tc>
          <w:tcPr>
            <w:tcW w:w="4675" w:type="dxa"/>
          </w:tcPr>
          <w:p w:rsidR="00D80B2F" w:rsidRPr="00D80B2F" w:rsidRDefault="00D80B2F" w:rsidP="00D80B2F">
            <w:pPr>
              <w:spacing w:after="160" w:line="360" w:lineRule="auto"/>
              <w:jc w:val="both"/>
              <w:rPr>
                <w:rFonts w:ascii="Times New Roman" w:hAnsi="Times New Roman" w:cs="Times New Roman"/>
                <w:b/>
                <w:sz w:val="24"/>
                <w:szCs w:val="24"/>
              </w:rPr>
            </w:pPr>
            <w:proofErr w:type="spellStart"/>
            <w:r w:rsidRPr="00D80B2F">
              <w:rPr>
                <w:rFonts w:ascii="Times New Roman" w:hAnsi="Times New Roman" w:cs="Times New Roman"/>
                <w:b/>
                <w:sz w:val="24"/>
                <w:szCs w:val="24"/>
              </w:rPr>
              <w:t>Ti</w:t>
            </w:r>
            <w:proofErr w:type="spellEnd"/>
            <w:r w:rsidRPr="00D80B2F">
              <w:rPr>
                <w:rFonts w:ascii="Times New Roman" w:hAnsi="Times New Roman" w:cs="Times New Roman"/>
                <w:b/>
                <w:sz w:val="24"/>
                <w:szCs w:val="24"/>
              </w:rPr>
              <w:t>/</w:t>
            </w:r>
            <w:proofErr w:type="spellStart"/>
            <w:r w:rsidRPr="00D80B2F">
              <w:rPr>
                <w:rFonts w:ascii="Times New Roman" w:hAnsi="Times New Roman" w:cs="Times New Roman"/>
                <w:b/>
                <w:sz w:val="24"/>
                <w:szCs w:val="24"/>
              </w:rPr>
              <w:t>tv</w:t>
            </w:r>
            <w:proofErr w:type="spellEnd"/>
            <w:r w:rsidRPr="00D80B2F">
              <w:rPr>
                <w:rFonts w:ascii="Times New Roman" w:hAnsi="Times New Roman" w:cs="Times New Roman"/>
                <w:b/>
                <w:sz w:val="24"/>
                <w:szCs w:val="24"/>
              </w:rPr>
              <w:t xml:space="preserve"> ratio</w:t>
            </w:r>
          </w:p>
        </w:tc>
        <w:tc>
          <w:tcPr>
            <w:tcW w:w="4675" w:type="dxa"/>
          </w:tcPr>
          <w:p w:rsidR="00D80B2F" w:rsidRPr="00D80B2F" w:rsidRDefault="00D80B2F" w:rsidP="00D80B2F">
            <w:pPr>
              <w:spacing w:after="160" w:line="360" w:lineRule="auto"/>
              <w:jc w:val="both"/>
              <w:rPr>
                <w:rFonts w:ascii="Times New Roman" w:hAnsi="Times New Roman" w:cs="Times New Roman"/>
                <w:b/>
                <w:sz w:val="24"/>
                <w:szCs w:val="24"/>
              </w:rPr>
            </w:pPr>
            <w:r w:rsidRPr="00D80B2F">
              <w:rPr>
                <w:rFonts w:ascii="Times New Roman" w:hAnsi="Times New Roman" w:cs="Times New Roman"/>
                <w:b/>
                <w:sz w:val="24"/>
                <w:szCs w:val="24"/>
              </w:rPr>
              <w:t>1.44 (0 – 2.07)</w:t>
            </w:r>
          </w:p>
        </w:tc>
      </w:tr>
      <w:tr w:rsidR="00D80B2F" w:rsidRPr="00D80B2F" w:rsidTr="00D80B2F">
        <w:tc>
          <w:tcPr>
            <w:tcW w:w="4675" w:type="dxa"/>
          </w:tcPr>
          <w:p w:rsidR="00D80B2F" w:rsidRPr="00D80B2F" w:rsidRDefault="00D80B2F" w:rsidP="00D80B2F">
            <w:pPr>
              <w:spacing w:after="160" w:line="360" w:lineRule="auto"/>
              <w:jc w:val="both"/>
              <w:rPr>
                <w:rFonts w:ascii="Times New Roman" w:hAnsi="Times New Roman" w:cs="Times New Roman"/>
                <w:b/>
                <w:sz w:val="24"/>
                <w:szCs w:val="24"/>
              </w:rPr>
            </w:pPr>
            <w:r w:rsidRPr="00D80B2F">
              <w:rPr>
                <w:rFonts w:ascii="Times New Roman" w:hAnsi="Times New Roman" w:cs="Times New Roman"/>
                <w:b/>
                <w:sz w:val="24"/>
                <w:szCs w:val="24"/>
              </w:rPr>
              <w:t>Percentage of Reads Off-target</w:t>
            </w:r>
          </w:p>
        </w:tc>
        <w:tc>
          <w:tcPr>
            <w:tcW w:w="4675" w:type="dxa"/>
          </w:tcPr>
          <w:p w:rsidR="00D80B2F" w:rsidRPr="00D80B2F" w:rsidRDefault="00D80B2F" w:rsidP="00D80B2F">
            <w:pPr>
              <w:spacing w:after="160" w:line="360" w:lineRule="auto"/>
              <w:jc w:val="both"/>
              <w:rPr>
                <w:rFonts w:ascii="Times New Roman" w:hAnsi="Times New Roman" w:cs="Times New Roman"/>
                <w:b/>
                <w:sz w:val="24"/>
                <w:szCs w:val="24"/>
              </w:rPr>
            </w:pPr>
            <w:r w:rsidRPr="00D80B2F">
              <w:rPr>
                <w:rFonts w:ascii="Times New Roman" w:hAnsi="Times New Roman" w:cs="Times New Roman"/>
                <w:b/>
                <w:sz w:val="24"/>
                <w:szCs w:val="24"/>
              </w:rPr>
              <w:t>61.46 (37.91 – 99.98)</w:t>
            </w:r>
          </w:p>
        </w:tc>
      </w:tr>
    </w:tbl>
    <w:p w:rsidR="00D80B2F" w:rsidRDefault="00D80B2F" w:rsidP="00D80B2F">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 Summary of Sequencing Metrics, n=308</w:t>
      </w:r>
    </w:p>
    <w:p w:rsidR="0096534B" w:rsidRDefault="0096534B" w:rsidP="00D80B2F">
      <w:pPr>
        <w:spacing w:line="360" w:lineRule="auto"/>
        <w:jc w:val="both"/>
        <w:rPr>
          <w:rFonts w:ascii="Times New Roman" w:hAnsi="Times New Roman" w:cs="Times New Roman"/>
          <w:b/>
          <w:sz w:val="24"/>
          <w:szCs w:val="24"/>
        </w:rPr>
      </w:pPr>
    </w:p>
    <w:p w:rsidR="005E6586" w:rsidRDefault="005E6586" w:rsidP="00D80B2F">
      <w:pPr>
        <w:spacing w:line="360" w:lineRule="auto"/>
        <w:jc w:val="both"/>
        <w:rPr>
          <w:rFonts w:ascii="Times New Roman" w:hAnsi="Times New Roman" w:cs="Times New Roman"/>
          <w:b/>
          <w:sz w:val="24"/>
          <w:szCs w:val="24"/>
        </w:rPr>
      </w:pPr>
      <w:r w:rsidRPr="000A376D">
        <w:rPr>
          <w:rFonts w:ascii="Times New Roman" w:eastAsia="Times New Roman" w:hAnsi="Times New Roman" w:cs="Times New Roman"/>
          <w:noProof/>
          <w:sz w:val="24"/>
          <w:szCs w:val="24"/>
          <w:lang w:val="en-GB" w:eastAsia="en-GB"/>
        </w:rPr>
        <w:drawing>
          <wp:inline distT="0" distB="0" distL="0" distR="0" wp14:anchorId="4D501D07" wp14:editId="1576777A">
            <wp:extent cx="5943600" cy="2175100"/>
            <wp:effectExtent l="0" t="0" r="0" b="0"/>
            <wp:docPr id="22" name="Picture 22" descr="C:\Users\user\OneDrive\Documents\PhD\PhD\Overarching manuscript\Manuscript2\OA\percent mutated MYC all samp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user\OneDrive\Documents\PhD\PhD\Overarching manuscript\Manuscript2\OA\percent mutated MYC all sample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175100"/>
                    </a:xfrm>
                    <a:prstGeom prst="rect">
                      <a:avLst/>
                    </a:prstGeom>
                    <a:noFill/>
                    <a:ln>
                      <a:noFill/>
                    </a:ln>
                  </pic:spPr>
                </pic:pic>
              </a:graphicData>
            </a:graphic>
          </wp:inline>
        </w:drawing>
      </w:r>
    </w:p>
    <w:p w:rsidR="005E6586" w:rsidRDefault="005E6586" w:rsidP="00D80B2F">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2: Distribution of MYC mutations in BL and non-</w:t>
      </w:r>
      <w:proofErr w:type="spellStart"/>
      <w:r>
        <w:rPr>
          <w:rFonts w:ascii="Times New Roman" w:hAnsi="Times New Roman" w:cs="Times New Roman"/>
          <w:b/>
          <w:sz w:val="24"/>
          <w:szCs w:val="24"/>
        </w:rPr>
        <w:t>Bl</w:t>
      </w:r>
      <w:proofErr w:type="spellEnd"/>
      <w:r>
        <w:rPr>
          <w:rFonts w:ascii="Times New Roman" w:hAnsi="Times New Roman" w:cs="Times New Roman"/>
          <w:b/>
          <w:sz w:val="24"/>
          <w:szCs w:val="24"/>
        </w:rPr>
        <w:t xml:space="preserve"> samples expressed as a percentage of samples</w:t>
      </w:r>
    </w:p>
    <w:p w:rsidR="00A63477" w:rsidRDefault="00A63477" w:rsidP="00D80B2F">
      <w:pPr>
        <w:spacing w:line="360" w:lineRule="auto"/>
        <w:jc w:val="both"/>
        <w:rPr>
          <w:rFonts w:ascii="Times New Roman" w:hAnsi="Times New Roman" w:cs="Times New Roman"/>
          <w:b/>
          <w:sz w:val="24"/>
          <w:szCs w:val="24"/>
        </w:rPr>
        <w:sectPr w:rsidR="00A63477" w:rsidSect="00D80B2F">
          <w:pgSz w:w="12240" w:h="15840"/>
          <w:pgMar w:top="1440" w:right="1440" w:bottom="1440" w:left="1440" w:header="720" w:footer="720" w:gutter="0"/>
          <w:cols w:space="720"/>
          <w:docGrid w:linePitch="360"/>
        </w:sectPr>
      </w:pPr>
    </w:p>
    <w:p w:rsidR="005E6586" w:rsidRDefault="00A63477" w:rsidP="00D80B2F">
      <w:pPr>
        <w:spacing w:line="360" w:lineRule="auto"/>
        <w:jc w:val="both"/>
        <w:rPr>
          <w:rFonts w:ascii="Times New Roman" w:hAnsi="Times New Roman" w:cs="Times New Roman"/>
          <w:b/>
          <w:sz w:val="24"/>
          <w:szCs w:val="24"/>
        </w:rPr>
      </w:pPr>
      <w:bookmarkStart w:id="0" w:name="_GoBack"/>
      <w:bookmarkEnd w:id="0"/>
      <w:r w:rsidRPr="00724A46">
        <w:rPr>
          <w:noProof/>
        </w:rPr>
        <w:lastRenderedPageBreak/>
        <w:drawing>
          <wp:inline distT="0" distB="0" distL="0" distR="0" wp14:anchorId="3527A4BA" wp14:editId="4CE74265">
            <wp:extent cx="7977600" cy="3856692"/>
            <wp:effectExtent l="0" t="0" r="444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a:stretch>
                      <a:fillRect/>
                    </a:stretch>
                  </pic:blipFill>
                  <pic:spPr>
                    <a:xfrm>
                      <a:off x="0" y="0"/>
                      <a:ext cx="7984749" cy="3860148"/>
                    </a:xfrm>
                    <a:prstGeom prst="rect">
                      <a:avLst/>
                    </a:prstGeom>
                  </pic:spPr>
                </pic:pic>
              </a:graphicData>
            </a:graphic>
          </wp:inline>
        </w:drawing>
      </w:r>
    </w:p>
    <w:p w:rsidR="0096534B" w:rsidRDefault="0096534B" w:rsidP="00724A46">
      <w:pPr>
        <w:pStyle w:val="NormalWeb"/>
      </w:pPr>
    </w:p>
    <w:p w:rsidR="0096534B" w:rsidRDefault="0096534B" w:rsidP="005E6586">
      <w:pPr>
        <w:pStyle w:val="NormalWeb"/>
        <w:rPr>
          <w:b/>
        </w:rPr>
      </w:pPr>
      <w:r w:rsidRPr="005E6586">
        <w:rPr>
          <w:b/>
        </w:rPr>
        <w:t xml:space="preserve">Figure </w:t>
      </w:r>
      <w:r w:rsidR="005E6586">
        <w:rPr>
          <w:b/>
        </w:rPr>
        <w:t>3</w:t>
      </w:r>
      <w:r w:rsidRPr="005E6586">
        <w:rPr>
          <w:b/>
        </w:rPr>
        <w:t>: Most Import</w:t>
      </w:r>
      <w:r w:rsidR="005E6586" w:rsidRPr="005E6586">
        <w:rPr>
          <w:b/>
        </w:rPr>
        <w:t>ant Predictors from the</w:t>
      </w:r>
      <w:r w:rsidR="00724A46">
        <w:rPr>
          <w:b/>
        </w:rPr>
        <w:t xml:space="preserve"> Five Diagnostic</w:t>
      </w:r>
      <w:r w:rsidR="005E6586" w:rsidRPr="005E6586">
        <w:rPr>
          <w:b/>
        </w:rPr>
        <w:t xml:space="preserve"> Model</w:t>
      </w:r>
      <w:r w:rsidR="00724A46">
        <w:rPr>
          <w:b/>
        </w:rPr>
        <w:t>s</w:t>
      </w:r>
    </w:p>
    <w:p w:rsidR="005E6586" w:rsidRPr="005E6586" w:rsidRDefault="005E6586" w:rsidP="0096534B">
      <w:pPr>
        <w:pStyle w:val="NormalWeb"/>
        <w:rPr>
          <w:b/>
        </w:rPr>
      </w:pPr>
    </w:p>
    <w:p w:rsidR="0096534B" w:rsidRPr="00F21A19" w:rsidRDefault="0096534B" w:rsidP="00D80B2F">
      <w:pPr>
        <w:spacing w:line="360" w:lineRule="auto"/>
        <w:jc w:val="both"/>
        <w:rPr>
          <w:rFonts w:ascii="Times New Roman" w:hAnsi="Times New Roman" w:cs="Times New Roman"/>
          <w:b/>
          <w:sz w:val="24"/>
          <w:szCs w:val="24"/>
        </w:rPr>
      </w:pPr>
    </w:p>
    <w:sectPr w:rsidR="0096534B" w:rsidRPr="00F21A19" w:rsidSect="00A6347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493" w:rsidRDefault="00E36493" w:rsidP="00411636">
      <w:pPr>
        <w:spacing w:after="0" w:line="240" w:lineRule="auto"/>
      </w:pPr>
      <w:r>
        <w:separator/>
      </w:r>
    </w:p>
  </w:endnote>
  <w:endnote w:type="continuationSeparator" w:id="0">
    <w:p w:rsidR="00E36493" w:rsidRDefault="00E36493" w:rsidP="00411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976143"/>
      <w:docPartObj>
        <w:docPartGallery w:val="Page Numbers (Bottom of Page)"/>
        <w:docPartUnique/>
      </w:docPartObj>
    </w:sdtPr>
    <w:sdtEndPr>
      <w:rPr>
        <w:noProof/>
      </w:rPr>
    </w:sdtEndPr>
    <w:sdtContent>
      <w:p w:rsidR="00434026" w:rsidRDefault="00434026">
        <w:pPr>
          <w:pStyle w:val="Footer"/>
          <w:jc w:val="right"/>
        </w:pPr>
        <w:r>
          <w:fldChar w:fldCharType="begin"/>
        </w:r>
        <w:r>
          <w:instrText xml:space="preserve"> PAGE   \* MERGEFORMAT </w:instrText>
        </w:r>
        <w:r>
          <w:fldChar w:fldCharType="separate"/>
        </w:r>
        <w:r w:rsidR="00A63477">
          <w:rPr>
            <w:noProof/>
          </w:rPr>
          <w:t>14</w:t>
        </w:r>
        <w:r>
          <w:rPr>
            <w:noProof/>
          </w:rPr>
          <w:fldChar w:fldCharType="end"/>
        </w:r>
      </w:p>
    </w:sdtContent>
  </w:sdt>
  <w:p w:rsidR="00434026" w:rsidRDefault="00434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493" w:rsidRDefault="00E36493" w:rsidP="00411636">
      <w:pPr>
        <w:spacing w:after="0" w:line="240" w:lineRule="auto"/>
      </w:pPr>
      <w:r>
        <w:separator/>
      </w:r>
    </w:p>
  </w:footnote>
  <w:footnote w:type="continuationSeparator" w:id="0">
    <w:p w:rsidR="00E36493" w:rsidRDefault="00E36493" w:rsidP="00411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026" w:rsidRDefault="00434026">
    <w:pPr>
      <w:pStyle w:val="Header"/>
    </w:pPr>
  </w:p>
  <w:p w:rsidR="00434026" w:rsidRDefault="004340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55B70"/>
    <w:multiLevelType w:val="hybridMultilevel"/>
    <w:tmpl w:val="46465768"/>
    <w:lvl w:ilvl="0" w:tplc="AF4A4170">
      <w:start w:val="1"/>
      <w:numFmt w:val="bullet"/>
      <w:lvlText w:val="•"/>
      <w:lvlJc w:val="left"/>
      <w:pPr>
        <w:tabs>
          <w:tab w:val="num" w:pos="720"/>
        </w:tabs>
        <w:ind w:left="720" w:hanging="360"/>
      </w:pPr>
      <w:rPr>
        <w:rFonts w:ascii="Arial" w:hAnsi="Arial" w:hint="default"/>
      </w:rPr>
    </w:lvl>
    <w:lvl w:ilvl="1" w:tplc="B0928054">
      <w:numFmt w:val="bullet"/>
      <w:lvlText w:val="•"/>
      <w:lvlJc w:val="left"/>
      <w:pPr>
        <w:tabs>
          <w:tab w:val="num" w:pos="1440"/>
        </w:tabs>
        <w:ind w:left="1440" w:hanging="360"/>
      </w:pPr>
      <w:rPr>
        <w:rFonts w:ascii="Arial" w:hAnsi="Arial" w:hint="default"/>
      </w:rPr>
    </w:lvl>
    <w:lvl w:ilvl="2" w:tplc="8EE8C88E" w:tentative="1">
      <w:start w:val="1"/>
      <w:numFmt w:val="bullet"/>
      <w:lvlText w:val="•"/>
      <w:lvlJc w:val="left"/>
      <w:pPr>
        <w:tabs>
          <w:tab w:val="num" w:pos="2160"/>
        </w:tabs>
        <w:ind w:left="2160" w:hanging="360"/>
      </w:pPr>
      <w:rPr>
        <w:rFonts w:ascii="Arial" w:hAnsi="Arial" w:hint="default"/>
      </w:rPr>
    </w:lvl>
    <w:lvl w:ilvl="3" w:tplc="7E364A94" w:tentative="1">
      <w:start w:val="1"/>
      <w:numFmt w:val="bullet"/>
      <w:lvlText w:val="•"/>
      <w:lvlJc w:val="left"/>
      <w:pPr>
        <w:tabs>
          <w:tab w:val="num" w:pos="2880"/>
        </w:tabs>
        <w:ind w:left="2880" w:hanging="360"/>
      </w:pPr>
      <w:rPr>
        <w:rFonts w:ascii="Arial" w:hAnsi="Arial" w:hint="default"/>
      </w:rPr>
    </w:lvl>
    <w:lvl w:ilvl="4" w:tplc="7F765E82" w:tentative="1">
      <w:start w:val="1"/>
      <w:numFmt w:val="bullet"/>
      <w:lvlText w:val="•"/>
      <w:lvlJc w:val="left"/>
      <w:pPr>
        <w:tabs>
          <w:tab w:val="num" w:pos="3600"/>
        </w:tabs>
        <w:ind w:left="3600" w:hanging="360"/>
      </w:pPr>
      <w:rPr>
        <w:rFonts w:ascii="Arial" w:hAnsi="Arial" w:hint="default"/>
      </w:rPr>
    </w:lvl>
    <w:lvl w:ilvl="5" w:tplc="2452BC9A" w:tentative="1">
      <w:start w:val="1"/>
      <w:numFmt w:val="bullet"/>
      <w:lvlText w:val="•"/>
      <w:lvlJc w:val="left"/>
      <w:pPr>
        <w:tabs>
          <w:tab w:val="num" w:pos="4320"/>
        </w:tabs>
        <w:ind w:left="4320" w:hanging="360"/>
      </w:pPr>
      <w:rPr>
        <w:rFonts w:ascii="Arial" w:hAnsi="Arial" w:hint="default"/>
      </w:rPr>
    </w:lvl>
    <w:lvl w:ilvl="6" w:tplc="ED5A5112" w:tentative="1">
      <w:start w:val="1"/>
      <w:numFmt w:val="bullet"/>
      <w:lvlText w:val="•"/>
      <w:lvlJc w:val="left"/>
      <w:pPr>
        <w:tabs>
          <w:tab w:val="num" w:pos="5040"/>
        </w:tabs>
        <w:ind w:left="5040" w:hanging="360"/>
      </w:pPr>
      <w:rPr>
        <w:rFonts w:ascii="Arial" w:hAnsi="Arial" w:hint="default"/>
      </w:rPr>
    </w:lvl>
    <w:lvl w:ilvl="7" w:tplc="7B642EE6" w:tentative="1">
      <w:start w:val="1"/>
      <w:numFmt w:val="bullet"/>
      <w:lvlText w:val="•"/>
      <w:lvlJc w:val="left"/>
      <w:pPr>
        <w:tabs>
          <w:tab w:val="num" w:pos="5760"/>
        </w:tabs>
        <w:ind w:left="5760" w:hanging="360"/>
      </w:pPr>
      <w:rPr>
        <w:rFonts w:ascii="Arial" w:hAnsi="Arial" w:hint="default"/>
      </w:rPr>
    </w:lvl>
    <w:lvl w:ilvl="8" w:tplc="7F5447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B687781"/>
    <w:multiLevelType w:val="hybridMultilevel"/>
    <w:tmpl w:val="A5BC9ABE"/>
    <w:lvl w:ilvl="0" w:tplc="F99A2554">
      <w:start w:val="1"/>
      <w:numFmt w:val="bullet"/>
      <w:lvlText w:val="•"/>
      <w:lvlJc w:val="left"/>
      <w:pPr>
        <w:tabs>
          <w:tab w:val="num" w:pos="720"/>
        </w:tabs>
        <w:ind w:left="720" w:hanging="360"/>
      </w:pPr>
      <w:rPr>
        <w:rFonts w:ascii="Arial" w:hAnsi="Arial" w:hint="default"/>
      </w:rPr>
    </w:lvl>
    <w:lvl w:ilvl="1" w:tplc="670A7CD6">
      <w:numFmt w:val="bullet"/>
      <w:lvlText w:val="•"/>
      <w:lvlJc w:val="left"/>
      <w:pPr>
        <w:tabs>
          <w:tab w:val="num" w:pos="1440"/>
        </w:tabs>
        <w:ind w:left="1440" w:hanging="360"/>
      </w:pPr>
      <w:rPr>
        <w:rFonts w:ascii="Arial" w:hAnsi="Arial" w:hint="default"/>
      </w:rPr>
    </w:lvl>
    <w:lvl w:ilvl="2" w:tplc="A572A768" w:tentative="1">
      <w:start w:val="1"/>
      <w:numFmt w:val="bullet"/>
      <w:lvlText w:val="•"/>
      <w:lvlJc w:val="left"/>
      <w:pPr>
        <w:tabs>
          <w:tab w:val="num" w:pos="2160"/>
        </w:tabs>
        <w:ind w:left="2160" w:hanging="360"/>
      </w:pPr>
      <w:rPr>
        <w:rFonts w:ascii="Arial" w:hAnsi="Arial" w:hint="default"/>
      </w:rPr>
    </w:lvl>
    <w:lvl w:ilvl="3" w:tplc="AB988E2C" w:tentative="1">
      <w:start w:val="1"/>
      <w:numFmt w:val="bullet"/>
      <w:lvlText w:val="•"/>
      <w:lvlJc w:val="left"/>
      <w:pPr>
        <w:tabs>
          <w:tab w:val="num" w:pos="2880"/>
        </w:tabs>
        <w:ind w:left="2880" w:hanging="360"/>
      </w:pPr>
      <w:rPr>
        <w:rFonts w:ascii="Arial" w:hAnsi="Arial" w:hint="default"/>
      </w:rPr>
    </w:lvl>
    <w:lvl w:ilvl="4" w:tplc="B1AA3B38" w:tentative="1">
      <w:start w:val="1"/>
      <w:numFmt w:val="bullet"/>
      <w:lvlText w:val="•"/>
      <w:lvlJc w:val="left"/>
      <w:pPr>
        <w:tabs>
          <w:tab w:val="num" w:pos="3600"/>
        </w:tabs>
        <w:ind w:left="3600" w:hanging="360"/>
      </w:pPr>
      <w:rPr>
        <w:rFonts w:ascii="Arial" w:hAnsi="Arial" w:hint="default"/>
      </w:rPr>
    </w:lvl>
    <w:lvl w:ilvl="5" w:tplc="5C08FA3E" w:tentative="1">
      <w:start w:val="1"/>
      <w:numFmt w:val="bullet"/>
      <w:lvlText w:val="•"/>
      <w:lvlJc w:val="left"/>
      <w:pPr>
        <w:tabs>
          <w:tab w:val="num" w:pos="4320"/>
        </w:tabs>
        <w:ind w:left="4320" w:hanging="360"/>
      </w:pPr>
      <w:rPr>
        <w:rFonts w:ascii="Arial" w:hAnsi="Arial" w:hint="default"/>
      </w:rPr>
    </w:lvl>
    <w:lvl w:ilvl="6" w:tplc="A18AB712" w:tentative="1">
      <w:start w:val="1"/>
      <w:numFmt w:val="bullet"/>
      <w:lvlText w:val="•"/>
      <w:lvlJc w:val="left"/>
      <w:pPr>
        <w:tabs>
          <w:tab w:val="num" w:pos="5040"/>
        </w:tabs>
        <w:ind w:left="5040" w:hanging="360"/>
      </w:pPr>
      <w:rPr>
        <w:rFonts w:ascii="Arial" w:hAnsi="Arial" w:hint="default"/>
      </w:rPr>
    </w:lvl>
    <w:lvl w:ilvl="7" w:tplc="A8F2F866" w:tentative="1">
      <w:start w:val="1"/>
      <w:numFmt w:val="bullet"/>
      <w:lvlText w:val="•"/>
      <w:lvlJc w:val="left"/>
      <w:pPr>
        <w:tabs>
          <w:tab w:val="num" w:pos="5760"/>
        </w:tabs>
        <w:ind w:left="5760" w:hanging="360"/>
      </w:pPr>
      <w:rPr>
        <w:rFonts w:ascii="Arial" w:hAnsi="Arial" w:hint="default"/>
      </w:rPr>
    </w:lvl>
    <w:lvl w:ilvl="8" w:tplc="F89ABB5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B3"/>
    <w:rsid w:val="000420EC"/>
    <w:rsid w:val="000532D3"/>
    <w:rsid w:val="000B1EA7"/>
    <w:rsid w:val="000E1B92"/>
    <w:rsid w:val="001016F9"/>
    <w:rsid w:val="00126901"/>
    <w:rsid w:val="00135126"/>
    <w:rsid w:val="00227CDF"/>
    <w:rsid w:val="00285EAD"/>
    <w:rsid w:val="00292A89"/>
    <w:rsid w:val="00297EDC"/>
    <w:rsid w:val="0030552F"/>
    <w:rsid w:val="0031269E"/>
    <w:rsid w:val="00317444"/>
    <w:rsid w:val="00334BA4"/>
    <w:rsid w:val="0035681A"/>
    <w:rsid w:val="003A5048"/>
    <w:rsid w:val="003F424E"/>
    <w:rsid w:val="003F6D0E"/>
    <w:rsid w:val="00411636"/>
    <w:rsid w:val="00422F1C"/>
    <w:rsid w:val="00434026"/>
    <w:rsid w:val="00466C6C"/>
    <w:rsid w:val="00471CD9"/>
    <w:rsid w:val="00484107"/>
    <w:rsid w:val="004B7B71"/>
    <w:rsid w:val="004E0A55"/>
    <w:rsid w:val="00536353"/>
    <w:rsid w:val="00573C76"/>
    <w:rsid w:val="005E6586"/>
    <w:rsid w:val="005E7204"/>
    <w:rsid w:val="006172A9"/>
    <w:rsid w:val="00681D12"/>
    <w:rsid w:val="006A21A0"/>
    <w:rsid w:val="00710AB3"/>
    <w:rsid w:val="007202C6"/>
    <w:rsid w:val="00720EEE"/>
    <w:rsid w:val="00724A46"/>
    <w:rsid w:val="00726877"/>
    <w:rsid w:val="007830A4"/>
    <w:rsid w:val="007901A3"/>
    <w:rsid w:val="007965F2"/>
    <w:rsid w:val="007A155B"/>
    <w:rsid w:val="007F6FF6"/>
    <w:rsid w:val="00842798"/>
    <w:rsid w:val="00865783"/>
    <w:rsid w:val="008806D2"/>
    <w:rsid w:val="009226F1"/>
    <w:rsid w:val="00942502"/>
    <w:rsid w:val="0096534B"/>
    <w:rsid w:val="00991299"/>
    <w:rsid w:val="009B481D"/>
    <w:rsid w:val="009D2EAF"/>
    <w:rsid w:val="009F5656"/>
    <w:rsid w:val="00A17351"/>
    <w:rsid w:val="00A375D6"/>
    <w:rsid w:val="00A41747"/>
    <w:rsid w:val="00A5507B"/>
    <w:rsid w:val="00A630AC"/>
    <w:rsid w:val="00A63477"/>
    <w:rsid w:val="00A63B67"/>
    <w:rsid w:val="00B06572"/>
    <w:rsid w:val="00B27E69"/>
    <w:rsid w:val="00B953EF"/>
    <w:rsid w:val="00BA368F"/>
    <w:rsid w:val="00C3179C"/>
    <w:rsid w:val="00C35E37"/>
    <w:rsid w:val="00C54CFE"/>
    <w:rsid w:val="00C96E17"/>
    <w:rsid w:val="00CC3E9B"/>
    <w:rsid w:val="00CE48B1"/>
    <w:rsid w:val="00CF0619"/>
    <w:rsid w:val="00CF5398"/>
    <w:rsid w:val="00D80B2F"/>
    <w:rsid w:val="00E1274D"/>
    <w:rsid w:val="00E14D3E"/>
    <w:rsid w:val="00E1531B"/>
    <w:rsid w:val="00E21F12"/>
    <w:rsid w:val="00E36493"/>
    <w:rsid w:val="00ED2283"/>
    <w:rsid w:val="00ED4274"/>
    <w:rsid w:val="00F01369"/>
    <w:rsid w:val="00F21A19"/>
    <w:rsid w:val="00F35411"/>
    <w:rsid w:val="00F81782"/>
    <w:rsid w:val="00F82D16"/>
    <w:rsid w:val="00FB5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3CD51-8280-4B6C-A680-A5D3B269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7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1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636"/>
  </w:style>
  <w:style w:type="paragraph" w:styleId="Footer">
    <w:name w:val="footer"/>
    <w:basedOn w:val="Normal"/>
    <w:link w:val="FooterChar"/>
    <w:uiPriority w:val="99"/>
    <w:unhideWhenUsed/>
    <w:rsid w:val="00411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636"/>
  </w:style>
  <w:style w:type="paragraph" w:styleId="NormalWeb">
    <w:name w:val="Normal (Web)"/>
    <w:basedOn w:val="Normal"/>
    <w:uiPriority w:val="99"/>
    <w:semiHidden/>
    <w:unhideWhenUsed/>
    <w:rsid w:val="0096534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35513">
      <w:bodyDiv w:val="1"/>
      <w:marLeft w:val="0"/>
      <w:marRight w:val="0"/>
      <w:marTop w:val="0"/>
      <w:marBottom w:val="0"/>
      <w:divBdr>
        <w:top w:val="none" w:sz="0" w:space="0" w:color="auto"/>
        <w:left w:val="none" w:sz="0" w:space="0" w:color="auto"/>
        <w:bottom w:val="none" w:sz="0" w:space="0" w:color="auto"/>
        <w:right w:val="none" w:sz="0" w:space="0" w:color="auto"/>
      </w:divBdr>
    </w:div>
    <w:div w:id="267548314">
      <w:bodyDiv w:val="1"/>
      <w:marLeft w:val="0"/>
      <w:marRight w:val="0"/>
      <w:marTop w:val="0"/>
      <w:marBottom w:val="0"/>
      <w:divBdr>
        <w:top w:val="none" w:sz="0" w:space="0" w:color="auto"/>
        <w:left w:val="none" w:sz="0" w:space="0" w:color="auto"/>
        <w:bottom w:val="none" w:sz="0" w:space="0" w:color="auto"/>
        <w:right w:val="none" w:sz="0" w:space="0" w:color="auto"/>
      </w:divBdr>
    </w:div>
    <w:div w:id="375011369">
      <w:bodyDiv w:val="1"/>
      <w:marLeft w:val="0"/>
      <w:marRight w:val="0"/>
      <w:marTop w:val="0"/>
      <w:marBottom w:val="0"/>
      <w:divBdr>
        <w:top w:val="none" w:sz="0" w:space="0" w:color="auto"/>
        <w:left w:val="none" w:sz="0" w:space="0" w:color="auto"/>
        <w:bottom w:val="none" w:sz="0" w:space="0" w:color="auto"/>
        <w:right w:val="none" w:sz="0" w:space="0" w:color="auto"/>
      </w:divBdr>
    </w:div>
    <w:div w:id="1092310918">
      <w:bodyDiv w:val="1"/>
      <w:marLeft w:val="0"/>
      <w:marRight w:val="0"/>
      <w:marTop w:val="0"/>
      <w:marBottom w:val="0"/>
      <w:divBdr>
        <w:top w:val="none" w:sz="0" w:space="0" w:color="auto"/>
        <w:left w:val="none" w:sz="0" w:space="0" w:color="auto"/>
        <w:bottom w:val="none" w:sz="0" w:space="0" w:color="auto"/>
        <w:right w:val="none" w:sz="0" w:space="0" w:color="auto"/>
      </w:divBdr>
    </w:div>
    <w:div w:id="1158351232">
      <w:bodyDiv w:val="1"/>
      <w:marLeft w:val="0"/>
      <w:marRight w:val="0"/>
      <w:marTop w:val="0"/>
      <w:marBottom w:val="0"/>
      <w:divBdr>
        <w:top w:val="none" w:sz="0" w:space="0" w:color="auto"/>
        <w:left w:val="none" w:sz="0" w:space="0" w:color="auto"/>
        <w:bottom w:val="none" w:sz="0" w:space="0" w:color="auto"/>
        <w:right w:val="none" w:sz="0" w:space="0" w:color="auto"/>
      </w:divBdr>
    </w:div>
    <w:div w:id="1377196038">
      <w:bodyDiv w:val="1"/>
      <w:marLeft w:val="0"/>
      <w:marRight w:val="0"/>
      <w:marTop w:val="0"/>
      <w:marBottom w:val="0"/>
      <w:divBdr>
        <w:top w:val="none" w:sz="0" w:space="0" w:color="auto"/>
        <w:left w:val="none" w:sz="0" w:space="0" w:color="auto"/>
        <w:bottom w:val="none" w:sz="0" w:space="0" w:color="auto"/>
        <w:right w:val="none" w:sz="0" w:space="0" w:color="auto"/>
      </w:divBdr>
    </w:div>
    <w:div w:id="1767187325">
      <w:bodyDiv w:val="1"/>
      <w:marLeft w:val="0"/>
      <w:marRight w:val="0"/>
      <w:marTop w:val="0"/>
      <w:marBottom w:val="0"/>
      <w:divBdr>
        <w:top w:val="none" w:sz="0" w:space="0" w:color="auto"/>
        <w:left w:val="none" w:sz="0" w:space="0" w:color="auto"/>
        <w:bottom w:val="none" w:sz="0" w:space="0" w:color="auto"/>
        <w:right w:val="none" w:sz="0" w:space="0" w:color="auto"/>
      </w:divBdr>
      <w:divsChild>
        <w:div w:id="1978492958">
          <w:marLeft w:val="360"/>
          <w:marRight w:val="0"/>
          <w:marTop w:val="200"/>
          <w:marBottom w:val="0"/>
          <w:divBdr>
            <w:top w:val="none" w:sz="0" w:space="0" w:color="auto"/>
            <w:left w:val="none" w:sz="0" w:space="0" w:color="auto"/>
            <w:bottom w:val="none" w:sz="0" w:space="0" w:color="auto"/>
            <w:right w:val="none" w:sz="0" w:space="0" w:color="auto"/>
          </w:divBdr>
        </w:div>
        <w:div w:id="1283343917">
          <w:marLeft w:val="360"/>
          <w:marRight w:val="0"/>
          <w:marTop w:val="200"/>
          <w:marBottom w:val="0"/>
          <w:divBdr>
            <w:top w:val="none" w:sz="0" w:space="0" w:color="auto"/>
            <w:left w:val="none" w:sz="0" w:space="0" w:color="auto"/>
            <w:bottom w:val="none" w:sz="0" w:space="0" w:color="auto"/>
            <w:right w:val="none" w:sz="0" w:space="0" w:color="auto"/>
          </w:divBdr>
        </w:div>
        <w:div w:id="1549147892">
          <w:marLeft w:val="1080"/>
          <w:marRight w:val="0"/>
          <w:marTop w:val="100"/>
          <w:marBottom w:val="0"/>
          <w:divBdr>
            <w:top w:val="none" w:sz="0" w:space="0" w:color="auto"/>
            <w:left w:val="none" w:sz="0" w:space="0" w:color="auto"/>
            <w:bottom w:val="none" w:sz="0" w:space="0" w:color="auto"/>
            <w:right w:val="none" w:sz="0" w:space="0" w:color="auto"/>
          </w:divBdr>
        </w:div>
        <w:div w:id="94600393">
          <w:marLeft w:val="1080"/>
          <w:marRight w:val="0"/>
          <w:marTop w:val="100"/>
          <w:marBottom w:val="0"/>
          <w:divBdr>
            <w:top w:val="none" w:sz="0" w:space="0" w:color="auto"/>
            <w:left w:val="none" w:sz="0" w:space="0" w:color="auto"/>
            <w:bottom w:val="none" w:sz="0" w:space="0" w:color="auto"/>
            <w:right w:val="none" w:sz="0" w:space="0" w:color="auto"/>
          </w:divBdr>
        </w:div>
        <w:div w:id="311953483">
          <w:marLeft w:val="360"/>
          <w:marRight w:val="0"/>
          <w:marTop w:val="200"/>
          <w:marBottom w:val="0"/>
          <w:divBdr>
            <w:top w:val="none" w:sz="0" w:space="0" w:color="auto"/>
            <w:left w:val="none" w:sz="0" w:space="0" w:color="auto"/>
            <w:bottom w:val="none" w:sz="0" w:space="0" w:color="auto"/>
            <w:right w:val="none" w:sz="0" w:space="0" w:color="auto"/>
          </w:divBdr>
        </w:div>
        <w:div w:id="1651398520">
          <w:marLeft w:val="1080"/>
          <w:marRight w:val="0"/>
          <w:marTop w:val="100"/>
          <w:marBottom w:val="0"/>
          <w:divBdr>
            <w:top w:val="none" w:sz="0" w:space="0" w:color="auto"/>
            <w:left w:val="none" w:sz="0" w:space="0" w:color="auto"/>
            <w:bottom w:val="none" w:sz="0" w:space="0" w:color="auto"/>
            <w:right w:val="none" w:sz="0" w:space="0" w:color="auto"/>
          </w:divBdr>
        </w:div>
        <w:div w:id="1040011542">
          <w:marLeft w:val="1080"/>
          <w:marRight w:val="0"/>
          <w:marTop w:val="100"/>
          <w:marBottom w:val="0"/>
          <w:divBdr>
            <w:top w:val="none" w:sz="0" w:space="0" w:color="auto"/>
            <w:left w:val="none" w:sz="0" w:space="0" w:color="auto"/>
            <w:bottom w:val="none" w:sz="0" w:space="0" w:color="auto"/>
            <w:right w:val="none" w:sz="0" w:space="0" w:color="auto"/>
          </w:divBdr>
        </w:div>
      </w:divsChild>
    </w:div>
    <w:div w:id="2058313387">
      <w:bodyDiv w:val="1"/>
      <w:marLeft w:val="0"/>
      <w:marRight w:val="0"/>
      <w:marTop w:val="0"/>
      <w:marBottom w:val="0"/>
      <w:divBdr>
        <w:top w:val="none" w:sz="0" w:space="0" w:color="auto"/>
        <w:left w:val="none" w:sz="0" w:space="0" w:color="auto"/>
        <w:bottom w:val="none" w:sz="0" w:space="0" w:color="auto"/>
        <w:right w:val="none" w:sz="0" w:space="0" w:color="auto"/>
      </w:divBdr>
      <w:divsChild>
        <w:div w:id="1772817107">
          <w:marLeft w:val="360"/>
          <w:marRight w:val="0"/>
          <w:marTop w:val="200"/>
          <w:marBottom w:val="0"/>
          <w:divBdr>
            <w:top w:val="none" w:sz="0" w:space="0" w:color="auto"/>
            <w:left w:val="none" w:sz="0" w:space="0" w:color="auto"/>
            <w:bottom w:val="none" w:sz="0" w:space="0" w:color="auto"/>
            <w:right w:val="none" w:sz="0" w:space="0" w:color="auto"/>
          </w:divBdr>
        </w:div>
        <w:div w:id="915699605">
          <w:marLeft w:val="360"/>
          <w:marRight w:val="0"/>
          <w:marTop w:val="200"/>
          <w:marBottom w:val="0"/>
          <w:divBdr>
            <w:top w:val="none" w:sz="0" w:space="0" w:color="auto"/>
            <w:left w:val="none" w:sz="0" w:space="0" w:color="auto"/>
            <w:bottom w:val="none" w:sz="0" w:space="0" w:color="auto"/>
            <w:right w:val="none" w:sz="0" w:space="0" w:color="auto"/>
          </w:divBdr>
        </w:div>
        <w:div w:id="1578051218">
          <w:marLeft w:val="1080"/>
          <w:marRight w:val="0"/>
          <w:marTop w:val="100"/>
          <w:marBottom w:val="0"/>
          <w:divBdr>
            <w:top w:val="none" w:sz="0" w:space="0" w:color="auto"/>
            <w:left w:val="none" w:sz="0" w:space="0" w:color="auto"/>
            <w:bottom w:val="none" w:sz="0" w:space="0" w:color="auto"/>
            <w:right w:val="none" w:sz="0" w:space="0" w:color="auto"/>
          </w:divBdr>
        </w:div>
        <w:div w:id="751775783">
          <w:marLeft w:val="1080"/>
          <w:marRight w:val="0"/>
          <w:marTop w:val="100"/>
          <w:marBottom w:val="0"/>
          <w:divBdr>
            <w:top w:val="none" w:sz="0" w:space="0" w:color="auto"/>
            <w:left w:val="none" w:sz="0" w:space="0" w:color="auto"/>
            <w:bottom w:val="none" w:sz="0" w:space="0" w:color="auto"/>
            <w:right w:val="none" w:sz="0" w:space="0" w:color="auto"/>
          </w:divBdr>
        </w:div>
        <w:div w:id="92657138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D802-C56A-4BA6-A4D9-AEA29F2F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15</Pages>
  <Words>2301</Words>
  <Characters>13120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Clara C.</cp:lastModifiedBy>
  <cp:revision>5</cp:revision>
  <dcterms:created xsi:type="dcterms:W3CDTF">2025-05-22T05:32:00Z</dcterms:created>
  <dcterms:modified xsi:type="dcterms:W3CDTF">2025-05-29T16:40:00Z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26441ff3f8f4d57b5cd99e35a94b516d5a8a8d97c32b67af803790f37ca93141</vt:lpwstr>
  </property>
</Properties>
</file>