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E1662" w14:textId="689BB240" w:rsidR="00691543" w:rsidRPr="00691543" w:rsidRDefault="00691543" w:rsidP="00691543">
      <w:pPr>
        <w:rPr>
          <w:b/>
          <w:bCs/>
        </w:rPr>
      </w:pPr>
      <w:r w:rsidRPr="00691543">
        <w:rPr>
          <w:b/>
        </w:rPr>
        <w:drawing>
          <wp:inline distT="0" distB="0" distL="0" distR="0" wp14:anchorId="5E4446CC" wp14:editId="410B467B">
            <wp:extent cx="5943600" cy="6626860"/>
            <wp:effectExtent l="0" t="0" r="0" b="2540"/>
            <wp:docPr id="1652322692" name="Picture 21" descr="A graph of a patient's disea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A graph of a patient's disease&#10;&#10;AI-generated content may be incorrec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6626860"/>
                    </a:xfrm>
                    <a:prstGeom prst="rect">
                      <a:avLst/>
                    </a:prstGeom>
                    <a:noFill/>
                    <a:ln>
                      <a:noFill/>
                    </a:ln>
                  </pic:spPr>
                </pic:pic>
              </a:graphicData>
            </a:graphic>
          </wp:inline>
        </w:drawing>
      </w:r>
    </w:p>
    <w:p w14:paraId="72DD706F" w14:textId="77777777" w:rsidR="00691543" w:rsidRPr="00691543" w:rsidRDefault="00691543" w:rsidP="00691543">
      <w:r w:rsidRPr="00691543">
        <w:rPr>
          <w:b/>
          <w:bCs/>
        </w:rPr>
        <w:t>Extended Data Fig. 1 | Viral blood burden and dynamic parameters balanced between experimental groups. a</w:t>
      </w:r>
      <w:r w:rsidRPr="00691543">
        <w:t xml:space="preserve">, Peak pVL was not significantly different between RMs in the 3 experimental groups (on-ART necropsy or with necropsy after 5 or 7 days off ART). </w:t>
      </w:r>
      <w:r w:rsidRPr="00691543">
        <w:rPr>
          <w:b/>
          <w:bCs/>
        </w:rPr>
        <w:t>b</w:t>
      </w:r>
      <w:r w:rsidRPr="00691543">
        <w:t xml:space="preserve">, Time to viral suppression (first time point with less than 15 copies/ml of plasma) was not significantly different between groups using a Log-rank (Mantel-Cox) test. </w:t>
      </w:r>
      <w:r w:rsidRPr="00691543">
        <w:rPr>
          <w:b/>
          <w:bCs/>
        </w:rPr>
        <w:t>c</w:t>
      </w:r>
      <w:r w:rsidRPr="00691543">
        <w:t xml:space="preserve">, The number of detectable blips in pVL (&gt;1 copy/ml) was assessed between 36-66 wpi showing no </w:t>
      </w:r>
      <w:r w:rsidRPr="00691543">
        <w:lastRenderedPageBreak/>
        <w:t xml:space="preserve">difference between experimental groups. </w:t>
      </w:r>
      <w:r w:rsidRPr="00691543">
        <w:rPr>
          <w:b/>
          <w:bCs/>
        </w:rPr>
        <w:t>d,e</w:t>
      </w:r>
      <w:r w:rsidRPr="00691543">
        <w:t>, The amount of vDNA (</w:t>
      </w:r>
      <w:r w:rsidRPr="00691543">
        <w:rPr>
          <w:b/>
          <w:bCs/>
        </w:rPr>
        <w:t>d</w:t>
      </w:r>
      <w:r w:rsidRPr="00691543">
        <w:t>) and vRNA (</w:t>
      </w:r>
      <w:r w:rsidRPr="00691543">
        <w:rPr>
          <w:b/>
          <w:bCs/>
        </w:rPr>
        <w:t>e</w:t>
      </w:r>
      <w:r w:rsidRPr="00691543">
        <w:t>) in PBMCs at 12 dpi, 21 and 66 wpi was not significantly different between animals in the assigned experimental groups (Kruskal-Wallis test was used for each individual time point assessed).</w:t>
      </w:r>
      <w:r w:rsidRPr="00691543">
        <w:br w:type="page"/>
      </w:r>
    </w:p>
    <w:p w14:paraId="342F536D" w14:textId="73DA98A4" w:rsidR="00691543" w:rsidRPr="00691543" w:rsidRDefault="00691543" w:rsidP="00691543">
      <w:pPr>
        <w:rPr>
          <w:b/>
          <w:bCs/>
        </w:rPr>
      </w:pPr>
      <w:r w:rsidRPr="00691543">
        <w:rPr>
          <w:b/>
        </w:rPr>
        <w:lastRenderedPageBreak/>
        <w:drawing>
          <wp:inline distT="0" distB="0" distL="0" distR="0" wp14:anchorId="7C5CDFA4" wp14:editId="279D6507">
            <wp:extent cx="5943600" cy="5622925"/>
            <wp:effectExtent l="0" t="0" r="0" b="0"/>
            <wp:docPr id="32972565" name="Picture 20"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72565" name="Picture 20" descr="A screenshot of a graph&#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5622925"/>
                    </a:xfrm>
                    <a:prstGeom prst="rect">
                      <a:avLst/>
                    </a:prstGeom>
                    <a:noFill/>
                    <a:ln>
                      <a:noFill/>
                    </a:ln>
                  </pic:spPr>
                </pic:pic>
              </a:graphicData>
            </a:graphic>
          </wp:inline>
        </w:drawing>
      </w:r>
    </w:p>
    <w:p w14:paraId="16A0553E" w14:textId="77777777" w:rsidR="00691543" w:rsidRPr="00691543" w:rsidRDefault="00691543" w:rsidP="00691543">
      <w:pPr>
        <w:rPr>
          <w:b/>
          <w:bCs/>
        </w:rPr>
      </w:pPr>
    </w:p>
    <w:p w14:paraId="1FF2DA6E" w14:textId="77777777" w:rsidR="00691543" w:rsidRPr="00691543" w:rsidRDefault="00691543" w:rsidP="00691543">
      <w:r w:rsidRPr="00691543">
        <w:rPr>
          <w:b/>
          <w:bCs/>
        </w:rPr>
        <w:t>Extended Data Fig. 2 | PBMC and tissue biopsy viral loads are comparable between experimental groups during ART. a,b</w:t>
      </w:r>
      <w:r w:rsidRPr="00691543">
        <w:t>, The amount of vDNA (</w:t>
      </w:r>
      <w:r w:rsidRPr="00691543">
        <w:rPr>
          <w:b/>
          <w:bCs/>
        </w:rPr>
        <w:t>a</w:t>
      </w:r>
      <w:r w:rsidRPr="00691543">
        <w:t>) and vRNA (</w:t>
      </w:r>
      <w:r w:rsidRPr="00691543">
        <w:rPr>
          <w:b/>
          <w:bCs/>
        </w:rPr>
        <w:t>b</w:t>
      </w:r>
      <w:r w:rsidRPr="00691543">
        <w:t>) from on-ART biopsy samples from peripheral LN (pLN), mesenteric LN (mLN), spleen, bone marrow, duodenum, rectum, and liver at 12 dpi, 21 wpi, and 66 wpi was not significantly different between RMs based on the assigned experimental groups (Kruskal-Wallis test was used for each individual time point assessed). Open symbols below dotted line are below detection.</w:t>
      </w:r>
      <w:r w:rsidRPr="00691543">
        <w:br w:type="page"/>
      </w:r>
    </w:p>
    <w:p w14:paraId="42B27C90" w14:textId="77777777" w:rsidR="00691543" w:rsidRPr="00691543" w:rsidRDefault="00691543" w:rsidP="00691543"/>
    <w:p w14:paraId="5461688B" w14:textId="77777777" w:rsidR="00691543" w:rsidRPr="00691543" w:rsidRDefault="00691543" w:rsidP="00691543"/>
    <w:p w14:paraId="37F47A3B" w14:textId="77777777" w:rsidR="00691543" w:rsidRPr="00691543" w:rsidRDefault="00691543" w:rsidP="00691543"/>
    <w:p w14:paraId="39020C31" w14:textId="77777777" w:rsidR="00691543" w:rsidRPr="00691543" w:rsidRDefault="00691543" w:rsidP="00691543"/>
    <w:p w14:paraId="1E9A76B7" w14:textId="77777777" w:rsidR="00691543" w:rsidRPr="00691543" w:rsidRDefault="00691543" w:rsidP="00691543"/>
    <w:p w14:paraId="26C905D3" w14:textId="77777777" w:rsidR="00691543" w:rsidRPr="00691543" w:rsidRDefault="00691543" w:rsidP="00691543"/>
    <w:p w14:paraId="08F1441A" w14:textId="77777777" w:rsidR="00691543" w:rsidRPr="00691543" w:rsidRDefault="00691543" w:rsidP="00691543"/>
    <w:p w14:paraId="2ACE41C2" w14:textId="77777777" w:rsidR="00691543" w:rsidRPr="00691543" w:rsidRDefault="00691543" w:rsidP="00691543"/>
    <w:p w14:paraId="45BD7EAD" w14:textId="77777777" w:rsidR="00691543" w:rsidRPr="00691543" w:rsidRDefault="00691543" w:rsidP="00691543"/>
    <w:p w14:paraId="11B18C77" w14:textId="77777777" w:rsidR="00691543" w:rsidRPr="00691543" w:rsidRDefault="00691543" w:rsidP="00691543"/>
    <w:p w14:paraId="63666DFF" w14:textId="77777777" w:rsidR="00691543" w:rsidRPr="00691543" w:rsidRDefault="00691543" w:rsidP="00691543"/>
    <w:p w14:paraId="6B96B563" w14:textId="77777777" w:rsidR="00691543" w:rsidRPr="00691543" w:rsidRDefault="00691543" w:rsidP="00691543"/>
    <w:p w14:paraId="0FB98A6F" w14:textId="77777777" w:rsidR="00691543" w:rsidRPr="00691543" w:rsidRDefault="00691543" w:rsidP="00691543"/>
    <w:p w14:paraId="5C00745A" w14:textId="77777777" w:rsidR="00691543" w:rsidRPr="00691543" w:rsidRDefault="00691543" w:rsidP="00691543"/>
    <w:p w14:paraId="187C8B19" w14:textId="77777777" w:rsidR="00691543" w:rsidRPr="00691543" w:rsidRDefault="00691543" w:rsidP="00691543"/>
    <w:p w14:paraId="7CF0EEDB" w14:textId="77777777" w:rsidR="00691543" w:rsidRPr="00691543" w:rsidRDefault="00691543" w:rsidP="00691543"/>
    <w:p w14:paraId="42085147" w14:textId="77777777" w:rsidR="00691543" w:rsidRPr="00691543" w:rsidRDefault="00691543" w:rsidP="00691543"/>
    <w:p w14:paraId="5422E53C" w14:textId="77777777" w:rsidR="00691543" w:rsidRPr="00691543" w:rsidRDefault="00691543" w:rsidP="00691543"/>
    <w:p w14:paraId="59C123D5" w14:textId="77777777" w:rsidR="00691543" w:rsidRPr="00691543" w:rsidRDefault="00691543" w:rsidP="00691543"/>
    <w:p w14:paraId="618897F1" w14:textId="77777777" w:rsidR="00691543" w:rsidRPr="00691543" w:rsidRDefault="00691543" w:rsidP="00691543"/>
    <w:p w14:paraId="5039D22A" w14:textId="77777777" w:rsidR="00691543" w:rsidRPr="00691543" w:rsidRDefault="00691543" w:rsidP="00691543"/>
    <w:p w14:paraId="55407863" w14:textId="77777777" w:rsidR="00691543" w:rsidRPr="00691543" w:rsidRDefault="00691543" w:rsidP="00691543"/>
    <w:p w14:paraId="255753B8" w14:textId="77777777" w:rsidR="00691543" w:rsidRPr="00691543" w:rsidRDefault="00691543" w:rsidP="00691543"/>
    <w:p w14:paraId="223386F2" w14:textId="77777777" w:rsidR="00691543" w:rsidRPr="00691543" w:rsidRDefault="00691543" w:rsidP="00691543"/>
    <w:p w14:paraId="2DCCC83C" w14:textId="77777777" w:rsidR="00691543" w:rsidRPr="00691543" w:rsidRDefault="00691543" w:rsidP="00691543"/>
    <w:p w14:paraId="242A62DE" w14:textId="77777777" w:rsidR="00691543" w:rsidRPr="00691543" w:rsidRDefault="00691543" w:rsidP="00691543"/>
    <w:p w14:paraId="091F938D" w14:textId="05DD7165" w:rsidR="00691543" w:rsidRPr="00691543" w:rsidRDefault="00691543" w:rsidP="00691543">
      <w:pPr>
        <w:rPr>
          <w:b/>
          <w:bCs/>
        </w:rPr>
      </w:pPr>
      <w:r w:rsidRPr="00691543">
        <w:lastRenderedPageBreak/>
        <w:drawing>
          <wp:anchor distT="0" distB="0" distL="114300" distR="114300" simplePos="0" relativeHeight="251659264" behindDoc="0" locked="0" layoutInCell="1" allowOverlap="1" wp14:anchorId="48BEE42C" wp14:editId="04395C7A">
            <wp:simplePos x="0" y="0"/>
            <wp:positionH relativeFrom="margin">
              <wp:align>center</wp:align>
            </wp:positionH>
            <wp:positionV relativeFrom="margin">
              <wp:align>top</wp:align>
            </wp:positionV>
            <wp:extent cx="5364480" cy="6902450"/>
            <wp:effectExtent l="0" t="0" r="7620" b="0"/>
            <wp:wrapSquare wrapText="bothSides"/>
            <wp:docPr id="48226475" name="Picture 22" descr="A group of graphs showing different types of ar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group of graphs showing different types of art&#10;&#10;AI-generated content may be incorrect."/>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364480" cy="6902450"/>
                    </a:xfrm>
                    <a:prstGeom prst="rect">
                      <a:avLst/>
                    </a:prstGeom>
                    <a:noFill/>
                  </pic:spPr>
                </pic:pic>
              </a:graphicData>
            </a:graphic>
            <wp14:sizeRelH relativeFrom="page">
              <wp14:pctWidth>0</wp14:pctWidth>
            </wp14:sizeRelH>
            <wp14:sizeRelV relativeFrom="page">
              <wp14:pctHeight>0</wp14:pctHeight>
            </wp14:sizeRelV>
          </wp:anchor>
        </w:drawing>
      </w:r>
      <w:r w:rsidRPr="00691543">
        <w:rPr>
          <w:b/>
          <w:bCs/>
        </w:rPr>
        <w:t>Extended Data Fig. 3 | Off-ART rebound dynamics and barcode proportions. a</w:t>
      </w:r>
      <w:r w:rsidRPr="00691543">
        <w:t xml:space="preserve">, Of the 9 RMs that were necropsied 5 days off ART, 7 remained aviremic (&lt;1 copy/ml) and 2 (LV1 and LV4) were viremic with 13 and 21 copies/ml, respectively. </w:t>
      </w:r>
      <w:r w:rsidRPr="00691543">
        <w:rPr>
          <w:b/>
          <w:bCs/>
        </w:rPr>
        <w:t>b</w:t>
      </w:r>
      <w:r w:rsidRPr="00691543">
        <w:t xml:space="preserve">, Of the 9 RMs that were necropsied 7 days off ART, 4 remained aviremic (&lt;1 copy/ml), 4 RMs (VL2, LV3, LV5, LV6) had low-level viremia (5-28 copies/ml) and 1 RM (HV1) had a much higher rebound at 4,700 copies/ml. For low viremic RMs, the number of unique barcode lineages detected in </w:t>
      </w:r>
      <w:r w:rsidRPr="00691543">
        <w:lastRenderedPageBreak/>
        <w:t>rebound plasma ranged from 2-5, while HV1 had a total of 9 detectable lineages. Each barcoded lineage is shown as a proportion of the total PVL.</w:t>
      </w:r>
      <w:r w:rsidRPr="00691543">
        <w:br w:type="page"/>
      </w:r>
    </w:p>
    <w:p w14:paraId="1B6C44D8" w14:textId="7F07D0A7" w:rsidR="00691543" w:rsidRPr="00691543" w:rsidRDefault="00691543" w:rsidP="00691543">
      <w:r w:rsidRPr="00691543">
        <w:lastRenderedPageBreak/>
        <w:drawing>
          <wp:inline distT="0" distB="0" distL="0" distR="0" wp14:anchorId="11FC8720" wp14:editId="4E8CA240">
            <wp:extent cx="5619750" cy="7210425"/>
            <wp:effectExtent l="0" t="0" r="0" b="9525"/>
            <wp:docPr id="783705507" name="Picture 19" descr="A diagram of a ce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 diagram of a cell&#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19750" cy="7210425"/>
                    </a:xfrm>
                    <a:prstGeom prst="rect">
                      <a:avLst/>
                    </a:prstGeom>
                    <a:noFill/>
                    <a:ln>
                      <a:noFill/>
                    </a:ln>
                  </pic:spPr>
                </pic:pic>
              </a:graphicData>
            </a:graphic>
          </wp:inline>
        </w:drawing>
      </w:r>
    </w:p>
    <w:p w14:paraId="2399C3EC" w14:textId="77777777" w:rsidR="00691543" w:rsidRPr="00691543" w:rsidRDefault="00691543" w:rsidP="00691543">
      <w:r w:rsidRPr="00691543">
        <w:rPr>
          <w:b/>
          <w:bCs/>
        </w:rPr>
        <w:t>Extended Data Fig. 4 | Necropsy viral loads across various tissue types. a</w:t>
      </w:r>
      <w:r w:rsidRPr="00691543">
        <w:t xml:space="preserve">, Viral DNA and RNA from on-ART (n=6) and off-ART aviremic RMs (n=11) is shown. </w:t>
      </w:r>
      <w:r w:rsidRPr="00691543">
        <w:rPr>
          <w:b/>
          <w:bCs/>
        </w:rPr>
        <w:t>b</w:t>
      </w:r>
      <w:r w:rsidRPr="00691543">
        <w:t xml:space="preserve">, Viral DNA and RNA from off-ART viremic animals (n=7) is displayed. Tissue samples were grouped anatomically into 4 groups: GI tract, GI-draining lymphoid tissues, non-GI draining LNs, and </w:t>
      </w:r>
      <w:r w:rsidRPr="00691543">
        <w:lastRenderedPageBreak/>
        <w:t>non-lymphoid tissues. For some tissues, multiple individual samples were analyzed and plotted individually.</w:t>
      </w:r>
      <w:r w:rsidRPr="00691543">
        <w:br w:type="page"/>
      </w:r>
    </w:p>
    <w:p w14:paraId="5CFE0A14" w14:textId="76048B73" w:rsidR="00691543" w:rsidRPr="00691543" w:rsidRDefault="00691543" w:rsidP="00691543">
      <w:pPr>
        <w:rPr>
          <w:b/>
          <w:bCs/>
        </w:rPr>
      </w:pPr>
      <w:r w:rsidRPr="00691543">
        <w:rPr>
          <w:b/>
        </w:rPr>
        <w:lastRenderedPageBreak/>
        <w:drawing>
          <wp:inline distT="0" distB="0" distL="0" distR="0" wp14:anchorId="1FD88382" wp14:editId="1F745FD1">
            <wp:extent cx="5943600" cy="3938905"/>
            <wp:effectExtent l="0" t="0" r="0" b="4445"/>
            <wp:docPr id="739814792" name="Picture 18" descr="A diagram of dna and dn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 diagram of dna and dna&#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3938905"/>
                    </a:xfrm>
                    <a:prstGeom prst="rect">
                      <a:avLst/>
                    </a:prstGeom>
                    <a:noFill/>
                    <a:ln>
                      <a:noFill/>
                    </a:ln>
                  </pic:spPr>
                </pic:pic>
              </a:graphicData>
            </a:graphic>
          </wp:inline>
        </w:drawing>
      </w:r>
    </w:p>
    <w:p w14:paraId="18D576D6" w14:textId="77777777" w:rsidR="00691543" w:rsidRPr="00691543" w:rsidRDefault="00691543" w:rsidP="00691543">
      <w:r w:rsidRPr="00691543">
        <w:rPr>
          <w:b/>
          <w:bCs/>
        </w:rPr>
        <w:t xml:space="preserve">Extended Data Fig. 5 | On-ART biopsy barcode data do not exceed the on-ART tissue-based 99% prediction interval. </w:t>
      </w:r>
      <w:r w:rsidRPr="00691543">
        <w:t>Extensive biopsies were performed on all study RMs at 66 wpi while RMs were still on ART, collecting samples from duodenum and rectum (GI tract; blue circles), mesenteric LNs (GI tract LN; red diamonds), liver, spleen, bone marrow, peripheral LN, and PBMCs (non-GI tract tissues; green triangle). Individual barcode vDNA and vRNA levels are plotted with only 13% of all barcodes in all tissues expressing viral RNA. There was no vRNA barcode quantity that exceeded the 99% prediction interval generated using on the on-ART necropsy data (</w:t>
      </w:r>
      <w:r w:rsidRPr="00691543">
        <w:rPr>
          <w:b/>
          <w:bCs/>
        </w:rPr>
        <w:t>Fig. 2a</w:t>
      </w:r>
      <w:r w:rsidRPr="00691543">
        <w:t>).</w:t>
      </w:r>
      <w:r w:rsidRPr="00691543">
        <w:br w:type="page"/>
      </w:r>
    </w:p>
    <w:p w14:paraId="503CB3DA" w14:textId="1B8172C5" w:rsidR="00691543" w:rsidRPr="00691543" w:rsidRDefault="00691543" w:rsidP="00691543">
      <w:r w:rsidRPr="00691543">
        <w:lastRenderedPageBreak/>
        <w:drawing>
          <wp:inline distT="0" distB="0" distL="0" distR="0" wp14:anchorId="5039E47F" wp14:editId="41A98587">
            <wp:extent cx="3981450" cy="5991225"/>
            <wp:effectExtent l="0" t="0" r="0" b="9525"/>
            <wp:docPr id="1323374645" name="Picture 17" descr="A close-up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374645" name="Picture 17" descr="A close-up of a graph&#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981450" cy="5991225"/>
                    </a:xfrm>
                    <a:prstGeom prst="rect">
                      <a:avLst/>
                    </a:prstGeom>
                    <a:noFill/>
                    <a:ln>
                      <a:noFill/>
                    </a:ln>
                  </pic:spPr>
                </pic:pic>
              </a:graphicData>
            </a:graphic>
          </wp:inline>
        </w:drawing>
      </w:r>
    </w:p>
    <w:p w14:paraId="43CC904E" w14:textId="77777777" w:rsidR="00691543" w:rsidRPr="00691543" w:rsidRDefault="00691543" w:rsidP="00691543">
      <w:r w:rsidRPr="00691543">
        <w:rPr>
          <w:b/>
          <w:bCs/>
        </w:rPr>
        <w:t>Extended Data Fig. 6 | Identifying presumptive origin sites in RMs with distal spread of rebounding lineages. a</w:t>
      </w:r>
      <w:r w:rsidRPr="00691543">
        <w:t xml:space="preserve">, An example barcode (LV6, BC.3963) is shown with 4 distinct tissues each with vRNA expression above the 99% PI. The above expected vRNA value was calculated from the prediction interval regression line to the measured value of each site (dotted lines). </w:t>
      </w:r>
      <w:r w:rsidRPr="00691543">
        <w:rPr>
          <w:b/>
          <w:bCs/>
        </w:rPr>
        <w:t>b</w:t>
      </w:r>
      <w:r w:rsidRPr="00691543">
        <w:t xml:space="preserve">, The difference in </w:t>
      </w:r>
      <w:bookmarkStart w:id="0" w:name="OLE_LINK13"/>
      <w:r w:rsidRPr="00691543">
        <w:t xml:space="preserve">vRNA levels above expected (pink line) between the first and second highest barcode </w:t>
      </w:r>
      <w:bookmarkEnd w:id="0"/>
      <w:r w:rsidRPr="00691543">
        <w:t xml:space="preserve">was calculated, followed by the same comparison between the second and third highest barcode, and so forth for all remaining tissue sites. </w:t>
      </w:r>
      <w:r w:rsidRPr="00691543">
        <w:rPr>
          <w:b/>
          <w:bCs/>
        </w:rPr>
        <w:t>c</w:t>
      </w:r>
      <w:r w:rsidRPr="00691543">
        <w:t xml:space="preserve">, The difference in vRNA levels above expected was calculated for each 11 outlier barcodes found in more than one tissue site. </w:t>
      </w:r>
      <w:r w:rsidRPr="00691543">
        <w:rPr>
          <w:b/>
          <w:bCs/>
        </w:rPr>
        <w:t>d</w:t>
      </w:r>
      <w:r w:rsidRPr="00691543">
        <w:t xml:space="preserve">, The difference in the adjusted RNA levels between all </w:t>
      </w:r>
      <w:r w:rsidRPr="00691543">
        <w:lastRenderedPageBreak/>
        <w:t>tissues with the same outlier barcode was plotted with the difference between the 1</w:t>
      </w:r>
      <w:r w:rsidRPr="00691543">
        <w:rPr>
          <w:vertAlign w:val="superscript"/>
        </w:rPr>
        <w:t>st</w:t>
      </w:r>
      <w:r w:rsidRPr="00691543">
        <w:t xml:space="preserve"> and 2</w:t>
      </w:r>
      <w:r w:rsidRPr="00691543">
        <w:rPr>
          <w:vertAlign w:val="superscript"/>
        </w:rPr>
        <w:t>nd</w:t>
      </w:r>
      <w:r w:rsidRPr="00691543">
        <w:t xml:space="preserve"> barcode shown in pink and the difference between 2</w:t>
      </w:r>
      <w:r w:rsidRPr="00691543">
        <w:rPr>
          <w:vertAlign w:val="superscript"/>
        </w:rPr>
        <w:t>nd</w:t>
      </w:r>
      <w:r w:rsidRPr="00691543">
        <w:t xml:space="preserve"> and 3</w:t>
      </w:r>
      <w:r w:rsidRPr="00691543">
        <w:rPr>
          <w:vertAlign w:val="superscript"/>
        </w:rPr>
        <w:t>rd</w:t>
      </w:r>
      <w:r w:rsidRPr="00691543">
        <w:t xml:space="preserve"> shown in green with the remaining comparisons shown in grey. We determined the 99</w:t>
      </w:r>
      <w:r w:rsidRPr="00691543">
        <w:rPr>
          <w:vertAlign w:val="superscript"/>
        </w:rPr>
        <w:t>th</w:t>
      </w:r>
      <w:r w:rsidRPr="00691543">
        <w:t xml:space="preserve"> quantile of the adjusted RNA difference distribution using all sites with rank &gt;1 (e.g. not potential origin sites). The adjusted-RNA difference between the 1</w:t>
      </w:r>
      <w:r w:rsidRPr="00691543">
        <w:rPr>
          <w:vertAlign w:val="superscript"/>
        </w:rPr>
        <w:t>st</w:t>
      </w:r>
      <w:r w:rsidRPr="00691543">
        <w:t xml:space="preserve"> and 2</w:t>
      </w:r>
      <w:r w:rsidRPr="00691543">
        <w:rPr>
          <w:vertAlign w:val="superscript"/>
        </w:rPr>
        <w:t>nd</w:t>
      </w:r>
      <w:r w:rsidRPr="00691543">
        <w:t xml:space="preserve"> tissue sites was higher than the 99% quantile in 6 of the 11 outlier barcodes consistent with them being rebound origin sites.</w:t>
      </w:r>
      <w:r w:rsidRPr="00691543">
        <w:br w:type="page"/>
      </w:r>
    </w:p>
    <w:p w14:paraId="19C8DF93" w14:textId="09505ADF" w:rsidR="00691543" w:rsidRPr="00691543" w:rsidRDefault="00691543" w:rsidP="00691543">
      <w:r w:rsidRPr="00691543">
        <w:lastRenderedPageBreak/>
        <w:drawing>
          <wp:inline distT="0" distB="0" distL="0" distR="0" wp14:anchorId="57FFC6E9" wp14:editId="026D9994">
            <wp:extent cx="5638800" cy="7229475"/>
            <wp:effectExtent l="0" t="0" r="0" b="9525"/>
            <wp:docPr id="106628944" name="Picture 16" descr="A screenshot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 screenshot of a graph&#10;&#10;AI-generated content may be incorrec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38800" cy="7229475"/>
                    </a:xfrm>
                    <a:prstGeom prst="rect">
                      <a:avLst/>
                    </a:prstGeom>
                    <a:noFill/>
                    <a:ln>
                      <a:noFill/>
                    </a:ln>
                  </pic:spPr>
                </pic:pic>
              </a:graphicData>
            </a:graphic>
          </wp:inline>
        </w:drawing>
      </w:r>
    </w:p>
    <w:p w14:paraId="4A35B8B5" w14:textId="77777777" w:rsidR="00691543" w:rsidRPr="00691543" w:rsidRDefault="00691543" w:rsidP="00691543">
      <w:r w:rsidRPr="00691543">
        <w:rPr>
          <w:b/>
          <w:bCs/>
        </w:rPr>
        <w:t xml:space="preserve">Extended Data Fig. 7 | Origin site barcode distributions in total DNA and individually across all tissues for each RM. </w:t>
      </w:r>
      <w:r w:rsidRPr="00691543">
        <w:t xml:space="preserve">For each barcode with a defined origin site (n=27), the DNA values for that specific barcode across all tissues where it was identified is shown. </w:t>
      </w:r>
      <w:r w:rsidRPr="00691543">
        <w:lastRenderedPageBreak/>
        <w:t>Non-GI-draining LN are displayed as green triangles, GI tract samples are designated by blue circle, GI tract-draining lymphoid tissue are expressed as red diamonds.</w:t>
      </w:r>
      <w:r w:rsidRPr="00691543">
        <w:br w:type="page"/>
      </w:r>
    </w:p>
    <w:p w14:paraId="09FBDB56" w14:textId="57EEDBA9" w:rsidR="00691543" w:rsidRPr="00691543" w:rsidRDefault="00691543" w:rsidP="00691543">
      <w:pPr>
        <w:rPr>
          <w:b/>
          <w:bCs/>
        </w:rPr>
      </w:pPr>
      <w:r w:rsidRPr="00691543">
        <w:rPr>
          <w:b/>
        </w:rPr>
        <w:lastRenderedPageBreak/>
        <w:drawing>
          <wp:inline distT="0" distB="0" distL="0" distR="0" wp14:anchorId="0A7EAC45" wp14:editId="6BA05F1C">
            <wp:extent cx="5372100" cy="6600825"/>
            <wp:effectExtent l="0" t="0" r="0" b="9525"/>
            <wp:docPr id="601542305" name="Picture 15" descr="A graph of dna sequen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542305" name="Picture 15" descr="A graph of dna sequence&#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372100" cy="6600825"/>
                    </a:xfrm>
                    <a:prstGeom prst="rect">
                      <a:avLst/>
                    </a:prstGeom>
                    <a:noFill/>
                    <a:ln>
                      <a:noFill/>
                    </a:ln>
                  </pic:spPr>
                </pic:pic>
              </a:graphicData>
            </a:graphic>
          </wp:inline>
        </w:drawing>
      </w:r>
    </w:p>
    <w:p w14:paraId="1E1A3515" w14:textId="77777777" w:rsidR="00691543" w:rsidRPr="00691543" w:rsidRDefault="00691543" w:rsidP="00691543">
      <w:bookmarkStart w:id="1" w:name="OLE_LINK22"/>
      <w:r w:rsidRPr="00691543">
        <w:rPr>
          <w:b/>
          <w:bCs/>
        </w:rPr>
        <w:t>Extended Data Fig. 8 | Origin site barcodes distribution across all samples and within each origin tissue site</w:t>
      </w:r>
      <w:bookmarkEnd w:id="1"/>
      <w:r w:rsidRPr="00691543">
        <w:rPr>
          <w:b/>
          <w:bCs/>
        </w:rPr>
        <w:t>. a</w:t>
      </w:r>
      <w:r w:rsidRPr="00691543">
        <w:t xml:space="preserve">, The cumulative vDNA copies from all tissues is plotted with the 27 origin site barcodes highlighted based on the number of origin sites per tissue (not origin site; grey, single origin site; blue, two outlier barcodes in the same tissue; red, or three origin site barcodes in same tissue (red). </w:t>
      </w:r>
      <w:r w:rsidRPr="00691543">
        <w:rPr>
          <w:b/>
          <w:bCs/>
        </w:rPr>
        <w:t>b</w:t>
      </w:r>
      <w:r w:rsidRPr="00691543">
        <w:t xml:space="preserve">, Each of the 21 origin site tissues is shown with the tissue-level barcode DNA distribution for each tissue plotted. In both graphs, barcodes are color coded as either no evidence of origin site (grey), a single origin site (blue), two </w:t>
      </w:r>
      <w:r w:rsidRPr="00691543">
        <w:lastRenderedPageBreak/>
        <w:t>outlier barcodes in the same tissue (green), or three origin site barcodes in same tissue (red) with symbols indicating tissue type (non-GI-draining LN; triangles, GI tract; circle, GI tract-draining lymphoid tissue; diamonds).</w:t>
      </w:r>
    </w:p>
    <w:p w14:paraId="6E731B00" w14:textId="04FFCED8" w:rsidR="00691543" w:rsidRPr="00691543" w:rsidRDefault="00691543" w:rsidP="00691543">
      <w:r w:rsidRPr="00691543">
        <w:drawing>
          <wp:inline distT="0" distB="0" distL="0" distR="0" wp14:anchorId="38A37B74" wp14:editId="12DEB62E">
            <wp:extent cx="5943600" cy="3284220"/>
            <wp:effectExtent l="0" t="3810" r="0" b="0"/>
            <wp:docPr id="99443847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rot="-5400000">
                      <a:off x="0" y="0"/>
                      <a:ext cx="5943600" cy="3284220"/>
                    </a:xfrm>
                    <a:prstGeom prst="rect">
                      <a:avLst/>
                    </a:prstGeom>
                    <a:noFill/>
                    <a:ln>
                      <a:noFill/>
                    </a:ln>
                  </pic:spPr>
                </pic:pic>
              </a:graphicData>
            </a:graphic>
          </wp:inline>
        </w:drawing>
      </w:r>
    </w:p>
    <w:p w14:paraId="50DFCDEE" w14:textId="3D1C4D5B" w:rsidR="00691543" w:rsidRPr="00691543" w:rsidRDefault="00691543" w:rsidP="00691543">
      <w:r w:rsidRPr="00691543">
        <w:lastRenderedPageBreak/>
        <w:t xml:space="preserve"> </w:t>
      </w:r>
      <w:r w:rsidRPr="00691543">
        <w:drawing>
          <wp:inline distT="0" distB="0" distL="0" distR="0" wp14:anchorId="72C3E74E" wp14:editId="5A4C5316">
            <wp:extent cx="3743325" cy="7239000"/>
            <wp:effectExtent l="0" t="0" r="9525" b="0"/>
            <wp:docPr id="106926650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743325" cy="7239000"/>
                    </a:xfrm>
                    <a:prstGeom prst="rect">
                      <a:avLst/>
                    </a:prstGeom>
                    <a:noFill/>
                    <a:ln>
                      <a:noFill/>
                    </a:ln>
                  </pic:spPr>
                </pic:pic>
              </a:graphicData>
            </a:graphic>
          </wp:inline>
        </w:drawing>
      </w:r>
    </w:p>
    <w:p w14:paraId="34EBF1E9" w14:textId="64784782" w:rsidR="00691543" w:rsidRPr="00691543" w:rsidRDefault="00691543" w:rsidP="00691543">
      <w:r w:rsidRPr="00691543">
        <w:lastRenderedPageBreak/>
        <w:drawing>
          <wp:inline distT="0" distB="0" distL="0" distR="0" wp14:anchorId="608D9731" wp14:editId="60883579">
            <wp:extent cx="4610100" cy="8220075"/>
            <wp:effectExtent l="0" t="0" r="0" b="0"/>
            <wp:docPr id="461631426"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610100" cy="8220075"/>
                    </a:xfrm>
                    <a:prstGeom prst="rect">
                      <a:avLst/>
                    </a:prstGeom>
                    <a:noFill/>
                    <a:ln>
                      <a:noFill/>
                    </a:ln>
                  </pic:spPr>
                </pic:pic>
              </a:graphicData>
            </a:graphic>
          </wp:inline>
        </w:drawing>
      </w:r>
    </w:p>
    <w:p w14:paraId="21F87401"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543"/>
    <w:rsid w:val="00156A6D"/>
    <w:rsid w:val="00691543"/>
    <w:rsid w:val="00732981"/>
    <w:rsid w:val="009E232A"/>
    <w:rsid w:val="00A96173"/>
    <w:rsid w:val="00AC0449"/>
    <w:rsid w:val="00AD604E"/>
    <w:rsid w:val="00B342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EEF374"/>
  <w15:chartTrackingRefBased/>
  <w15:docId w15:val="{64FCB44C-B790-4AD0-8ABF-CAE2DBDF48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915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915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9154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9154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9154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915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915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915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915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915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915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9154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9154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915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915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915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915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91543"/>
    <w:rPr>
      <w:rFonts w:eastAsiaTheme="majorEastAsia" w:cstheme="majorBidi"/>
      <w:color w:val="272727" w:themeColor="text1" w:themeTint="D8"/>
    </w:rPr>
  </w:style>
  <w:style w:type="paragraph" w:styleId="Title">
    <w:name w:val="Title"/>
    <w:basedOn w:val="Normal"/>
    <w:next w:val="Normal"/>
    <w:link w:val="TitleChar"/>
    <w:uiPriority w:val="10"/>
    <w:qFormat/>
    <w:rsid w:val="006915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915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915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915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91543"/>
    <w:pPr>
      <w:spacing w:before="160"/>
      <w:jc w:val="center"/>
    </w:pPr>
    <w:rPr>
      <w:i/>
      <w:iCs/>
      <w:color w:val="404040" w:themeColor="text1" w:themeTint="BF"/>
    </w:rPr>
  </w:style>
  <w:style w:type="character" w:customStyle="1" w:styleId="QuoteChar">
    <w:name w:val="Quote Char"/>
    <w:basedOn w:val="DefaultParagraphFont"/>
    <w:link w:val="Quote"/>
    <w:uiPriority w:val="29"/>
    <w:rsid w:val="00691543"/>
    <w:rPr>
      <w:i/>
      <w:iCs/>
      <w:color w:val="404040" w:themeColor="text1" w:themeTint="BF"/>
    </w:rPr>
  </w:style>
  <w:style w:type="paragraph" w:styleId="ListParagraph">
    <w:name w:val="List Paragraph"/>
    <w:basedOn w:val="Normal"/>
    <w:uiPriority w:val="34"/>
    <w:qFormat/>
    <w:rsid w:val="00691543"/>
    <w:pPr>
      <w:ind w:left="720"/>
      <w:contextualSpacing/>
    </w:pPr>
  </w:style>
  <w:style w:type="character" w:styleId="IntenseEmphasis">
    <w:name w:val="Intense Emphasis"/>
    <w:basedOn w:val="DefaultParagraphFont"/>
    <w:uiPriority w:val="21"/>
    <w:qFormat/>
    <w:rsid w:val="00691543"/>
    <w:rPr>
      <w:i/>
      <w:iCs/>
      <w:color w:val="0F4761" w:themeColor="accent1" w:themeShade="BF"/>
    </w:rPr>
  </w:style>
  <w:style w:type="paragraph" w:styleId="IntenseQuote">
    <w:name w:val="Intense Quote"/>
    <w:basedOn w:val="Normal"/>
    <w:next w:val="Normal"/>
    <w:link w:val="IntenseQuoteChar"/>
    <w:uiPriority w:val="30"/>
    <w:qFormat/>
    <w:rsid w:val="006915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91543"/>
    <w:rPr>
      <w:i/>
      <w:iCs/>
      <w:color w:val="0F4761" w:themeColor="accent1" w:themeShade="BF"/>
    </w:rPr>
  </w:style>
  <w:style w:type="character" w:styleId="IntenseReference">
    <w:name w:val="Intense Reference"/>
    <w:basedOn w:val="DefaultParagraphFont"/>
    <w:uiPriority w:val="32"/>
    <w:qFormat/>
    <w:rsid w:val="0069154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1549133">
      <w:bodyDiv w:val="1"/>
      <w:marLeft w:val="0"/>
      <w:marRight w:val="0"/>
      <w:marTop w:val="0"/>
      <w:marBottom w:val="0"/>
      <w:divBdr>
        <w:top w:val="none" w:sz="0" w:space="0" w:color="auto"/>
        <w:left w:val="none" w:sz="0" w:space="0" w:color="auto"/>
        <w:bottom w:val="none" w:sz="0" w:space="0" w:color="auto"/>
        <w:right w:val="none" w:sz="0" w:space="0" w:color="auto"/>
      </w:divBdr>
    </w:div>
    <w:div w:id="754060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emf"/><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emf"/><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fontTable" Target="fontTable.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861</Words>
  <Characters>4911</Characters>
  <Application>Microsoft Office Word</Application>
  <DocSecurity>0</DocSecurity>
  <Lines>40</Lines>
  <Paragraphs>11</Paragraphs>
  <ScaleCrop>false</ScaleCrop>
  <Company>Springer Nature</Company>
  <LinksUpToDate>false</LinksUpToDate>
  <CharactersWithSpaces>5761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2025-07-11T14:07:00Z</dcterms:created>
  <dcterms:modified xsi:type="dcterms:W3CDTF">2025-07-11T14:08:00Z</dcterms:modified>
</cp:coreProperties>
</file>