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197C8" w14:textId="77777777" w:rsidR="003279D7" w:rsidRPr="00B34F39" w:rsidRDefault="003279D7" w:rsidP="00AC2720">
      <w:pPr>
        <w:pStyle w:val="Default"/>
        <w:spacing w:after="240"/>
        <w:jc w:val="center"/>
        <w:rPr>
          <w:rFonts w:asciiTheme="minorHAnsi" w:hAnsiTheme="minorHAnsi" w:cstheme="minorHAnsi"/>
          <w:sz w:val="22"/>
          <w:szCs w:val="22"/>
          <w:lang w:val="en-US"/>
        </w:rPr>
      </w:pPr>
      <w:r w:rsidRPr="00B34F39">
        <w:rPr>
          <w:rFonts w:asciiTheme="minorHAnsi" w:hAnsiTheme="minorHAnsi" w:cstheme="minorHAnsi"/>
          <w:sz w:val="22"/>
          <w:szCs w:val="22"/>
          <w:lang w:val="en-US"/>
        </w:rPr>
        <w:t>Supplementary Materials</w:t>
      </w:r>
    </w:p>
    <w:p w14:paraId="60BCD5F5" w14:textId="77777777" w:rsidR="003609B3" w:rsidRPr="00B34F39" w:rsidRDefault="003609B3" w:rsidP="00AC2720">
      <w:pPr>
        <w:pStyle w:val="Titre2"/>
        <w:spacing w:line="240" w:lineRule="auto"/>
        <w:jc w:val="center"/>
        <w:rPr>
          <w:rFonts w:cstheme="minorHAnsi"/>
          <w:sz w:val="28"/>
          <w:szCs w:val="28"/>
        </w:rPr>
      </w:pPr>
      <w:r w:rsidRPr="00B34F39">
        <w:rPr>
          <w:rFonts w:cstheme="minorHAnsi"/>
          <w:sz w:val="28"/>
          <w:szCs w:val="28"/>
        </w:rPr>
        <w:t>Modulating Chikungunya and Mayaro virus induced disease severity in mice using low concentrations of anti-IFNAR1 antibodies</w:t>
      </w:r>
    </w:p>
    <w:p w14:paraId="0A8E9B04" w14:textId="77777777" w:rsidR="001A6E71" w:rsidRPr="001A6E71" w:rsidRDefault="001A6E71" w:rsidP="001A6E71">
      <w:pPr>
        <w:rPr>
          <w:sz w:val="24"/>
          <w:szCs w:val="24"/>
          <w:lang w:val="en-US"/>
        </w:rPr>
      </w:pPr>
      <w:r w:rsidRPr="001A6E71">
        <w:rPr>
          <w:sz w:val="24"/>
          <w:szCs w:val="24"/>
          <w:lang w:val="en-US"/>
        </w:rPr>
        <w:t xml:space="preserve">Konrad </w:t>
      </w:r>
      <w:proofErr w:type="spellStart"/>
      <w:r w:rsidRPr="001A6E71">
        <w:rPr>
          <w:sz w:val="24"/>
          <w:szCs w:val="24"/>
          <w:lang w:val="en-US"/>
        </w:rPr>
        <w:t>Wesselmann</w:t>
      </w:r>
      <w:r w:rsidRPr="001A6E71">
        <w:rPr>
          <w:sz w:val="24"/>
          <w:szCs w:val="24"/>
          <w:vertAlign w:val="superscript"/>
          <w:lang w:val="en-US"/>
        </w:rPr>
        <w:t>a</w:t>
      </w:r>
      <w:proofErr w:type="spellEnd"/>
      <w:r w:rsidRPr="001A6E71">
        <w:rPr>
          <w:sz w:val="24"/>
          <w:szCs w:val="24"/>
          <w:vertAlign w:val="superscript"/>
          <w:lang w:val="en-US"/>
        </w:rPr>
        <w:t>#</w:t>
      </w:r>
      <w:r w:rsidRPr="001A6E71">
        <w:rPr>
          <w:sz w:val="24"/>
          <w:szCs w:val="24"/>
          <w:lang w:val="en-US"/>
        </w:rPr>
        <w:t xml:space="preserve">, </w:t>
      </w:r>
      <w:proofErr w:type="spellStart"/>
      <w:r w:rsidRPr="001A6E71">
        <w:rPr>
          <w:sz w:val="24"/>
          <w:szCs w:val="24"/>
          <w:lang w:val="en-US"/>
        </w:rPr>
        <w:t>Léa</w:t>
      </w:r>
      <w:proofErr w:type="spellEnd"/>
      <w:r w:rsidRPr="001A6E71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1A6E71">
        <w:rPr>
          <w:sz w:val="24"/>
          <w:szCs w:val="24"/>
          <w:lang w:val="en-US"/>
        </w:rPr>
        <w:t>Luciani</w:t>
      </w:r>
      <w:r w:rsidRPr="001A6E71">
        <w:rPr>
          <w:sz w:val="24"/>
          <w:szCs w:val="24"/>
          <w:vertAlign w:val="superscript"/>
          <w:lang w:val="en-US"/>
        </w:rPr>
        <w:t>a,b</w:t>
      </w:r>
      <w:proofErr w:type="spellEnd"/>
      <w:proofErr w:type="gramEnd"/>
      <w:r w:rsidRPr="001A6E71">
        <w:rPr>
          <w:sz w:val="24"/>
          <w:szCs w:val="24"/>
          <w:lang w:val="en-US"/>
        </w:rPr>
        <w:t xml:space="preserve">, Gregory </w:t>
      </w:r>
      <w:proofErr w:type="spellStart"/>
      <w:r w:rsidRPr="001A6E71">
        <w:rPr>
          <w:sz w:val="24"/>
          <w:szCs w:val="24"/>
          <w:lang w:val="en-US"/>
        </w:rPr>
        <w:t>Moureau</w:t>
      </w:r>
      <w:r w:rsidRPr="001A6E71">
        <w:rPr>
          <w:sz w:val="24"/>
          <w:szCs w:val="24"/>
          <w:vertAlign w:val="superscript"/>
          <w:lang w:val="en-US"/>
        </w:rPr>
        <w:t>a</w:t>
      </w:r>
      <w:proofErr w:type="spellEnd"/>
      <w:r w:rsidRPr="001A6E71">
        <w:rPr>
          <w:sz w:val="24"/>
          <w:szCs w:val="24"/>
          <w:lang w:val="en-US"/>
        </w:rPr>
        <w:t xml:space="preserve">, Jean-Selim </w:t>
      </w:r>
      <w:proofErr w:type="spellStart"/>
      <w:r w:rsidRPr="001A6E71">
        <w:rPr>
          <w:sz w:val="24"/>
          <w:szCs w:val="24"/>
          <w:lang w:val="en-US"/>
        </w:rPr>
        <w:t>Driouich</w:t>
      </w:r>
      <w:r w:rsidRPr="001A6E71">
        <w:rPr>
          <w:sz w:val="24"/>
          <w:szCs w:val="24"/>
          <w:vertAlign w:val="superscript"/>
          <w:lang w:val="en-US"/>
        </w:rPr>
        <w:t>a,b</w:t>
      </w:r>
      <w:proofErr w:type="spellEnd"/>
      <w:r w:rsidRPr="001A6E71">
        <w:rPr>
          <w:sz w:val="24"/>
          <w:szCs w:val="24"/>
          <w:lang w:val="en-US"/>
        </w:rPr>
        <w:t xml:space="preserve">, </w:t>
      </w:r>
      <w:proofErr w:type="spellStart"/>
      <w:r w:rsidRPr="001A6E71">
        <w:rPr>
          <w:sz w:val="24"/>
          <w:szCs w:val="24"/>
          <w:lang w:val="en-US"/>
        </w:rPr>
        <w:t>Ornellie</w:t>
      </w:r>
      <w:proofErr w:type="spellEnd"/>
      <w:r w:rsidRPr="001A6E71">
        <w:rPr>
          <w:sz w:val="24"/>
          <w:szCs w:val="24"/>
          <w:lang w:val="en-US"/>
        </w:rPr>
        <w:t xml:space="preserve"> </w:t>
      </w:r>
      <w:proofErr w:type="spellStart"/>
      <w:r w:rsidRPr="001A6E71">
        <w:rPr>
          <w:sz w:val="24"/>
          <w:szCs w:val="24"/>
          <w:lang w:val="en-US"/>
        </w:rPr>
        <w:t>Bernadin</w:t>
      </w:r>
      <w:r w:rsidRPr="001A6E71">
        <w:rPr>
          <w:sz w:val="24"/>
          <w:szCs w:val="24"/>
          <w:vertAlign w:val="superscript"/>
          <w:lang w:val="en-US"/>
        </w:rPr>
        <w:t>a</w:t>
      </w:r>
      <w:proofErr w:type="spellEnd"/>
      <w:r w:rsidRPr="001A6E71">
        <w:rPr>
          <w:sz w:val="24"/>
          <w:szCs w:val="24"/>
          <w:lang w:val="en-US"/>
        </w:rPr>
        <w:t xml:space="preserve">, Magali </w:t>
      </w:r>
      <w:proofErr w:type="spellStart"/>
      <w:r w:rsidRPr="001A6E71">
        <w:rPr>
          <w:sz w:val="24"/>
          <w:szCs w:val="24"/>
          <w:lang w:val="en-US"/>
        </w:rPr>
        <w:t>Gilles</w:t>
      </w:r>
      <w:r w:rsidRPr="001A6E71">
        <w:rPr>
          <w:sz w:val="24"/>
          <w:szCs w:val="24"/>
          <w:vertAlign w:val="superscript"/>
          <w:lang w:val="en-US"/>
        </w:rPr>
        <w:t>a</w:t>
      </w:r>
      <w:proofErr w:type="spellEnd"/>
      <w:r w:rsidRPr="001A6E71">
        <w:rPr>
          <w:sz w:val="24"/>
          <w:szCs w:val="24"/>
          <w:lang w:val="en-US"/>
        </w:rPr>
        <w:t xml:space="preserve">, Xavier de </w:t>
      </w:r>
      <w:proofErr w:type="spellStart"/>
      <w:r w:rsidRPr="001A6E71">
        <w:rPr>
          <w:sz w:val="24"/>
          <w:szCs w:val="24"/>
          <w:lang w:val="en-US"/>
        </w:rPr>
        <w:t>Lamballerie</w:t>
      </w:r>
      <w:r w:rsidRPr="001A6E71">
        <w:rPr>
          <w:sz w:val="24"/>
          <w:szCs w:val="24"/>
          <w:vertAlign w:val="superscript"/>
          <w:lang w:val="en-US"/>
        </w:rPr>
        <w:t>a,b,c</w:t>
      </w:r>
      <w:proofErr w:type="spellEnd"/>
      <w:r w:rsidRPr="001A6E71">
        <w:rPr>
          <w:sz w:val="24"/>
          <w:szCs w:val="24"/>
          <w:lang w:val="en-US"/>
        </w:rPr>
        <w:t xml:space="preserve">, Antoine </w:t>
      </w:r>
      <w:proofErr w:type="spellStart"/>
      <w:r w:rsidRPr="001A6E71">
        <w:rPr>
          <w:sz w:val="24"/>
          <w:szCs w:val="24"/>
          <w:lang w:val="en-US"/>
        </w:rPr>
        <w:t>Nougairède</w:t>
      </w:r>
      <w:r w:rsidRPr="001A6E71">
        <w:rPr>
          <w:sz w:val="24"/>
          <w:szCs w:val="24"/>
          <w:vertAlign w:val="superscript"/>
          <w:lang w:val="en-US"/>
        </w:rPr>
        <w:t>a,b</w:t>
      </w:r>
      <w:proofErr w:type="spellEnd"/>
    </w:p>
    <w:p w14:paraId="1ED67518" w14:textId="77777777" w:rsidR="001A6E71" w:rsidRPr="00F20B58" w:rsidRDefault="001A6E71" w:rsidP="001A6E71">
      <w:pPr>
        <w:pStyle w:val="Default"/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bookmarkStart w:id="0" w:name="_Hlk196125467"/>
      <w:proofErr w:type="spellStart"/>
      <w:proofErr w:type="gramStart"/>
      <w:r w:rsidRPr="00F20B58">
        <w:rPr>
          <w:rFonts w:asciiTheme="minorHAnsi" w:hAnsiTheme="minorHAnsi" w:cstheme="minorHAnsi"/>
          <w:sz w:val="22"/>
          <w:szCs w:val="22"/>
          <w:vertAlign w:val="superscript"/>
        </w:rPr>
        <w:t>a</w:t>
      </w:r>
      <w:r w:rsidRPr="00F20B58">
        <w:rPr>
          <w:rFonts w:asciiTheme="minorHAnsi" w:hAnsiTheme="minorHAnsi" w:cstheme="minorHAnsi"/>
          <w:sz w:val="22"/>
          <w:szCs w:val="22"/>
        </w:rPr>
        <w:t>Unité</w:t>
      </w:r>
      <w:proofErr w:type="spellEnd"/>
      <w:proofErr w:type="gramEnd"/>
      <w:r w:rsidRPr="00F20B58">
        <w:rPr>
          <w:rFonts w:asciiTheme="minorHAnsi" w:hAnsiTheme="minorHAnsi" w:cstheme="minorHAnsi"/>
          <w:sz w:val="22"/>
          <w:szCs w:val="22"/>
        </w:rPr>
        <w:t xml:space="preserve"> des Virus Émergents (UVE: Aix-Marseille Univ, </w:t>
      </w:r>
      <w:proofErr w:type="spellStart"/>
      <w:r w:rsidRPr="00F20B58">
        <w:rPr>
          <w:rFonts w:asciiTheme="minorHAnsi" w:hAnsiTheme="minorHAnsi" w:cstheme="minorHAnsi"/>
          <w:sz w:val="22"/>
          <w:szCs w:val="22"/>
        </w:rPr>
        <w:t>Università</w:t>
      </w:r>
      <w:proofErr w:type="spellEnd"/>
      <w:r w:rsidRPr="00F20B58">
        <w:rPr>
          <w:rFonts w:asciiTheme="minorHAnsi" w:hAnsiTheme="minorHAnsi" w:cstheme="minorHAnsi"/>
          <w:sz w:val="22"/>
          <w:szCs w:val="22"/>
        </w:rPr>
        <w:t xml:space="preserve"> di Corsica, IRD 190, Inserm 1207, IRBA), France.</w:t>
      </w:r>
    </w:p>
    <w:p w14:paraId="2456D729" w14:textId="77777777" w:rsidR="001A6E71" w:rsidRPr="00F20B58" w:rsidRDefault="001A6E71" w:rsidP="001A6E71">
      <w:pPr>
        <w:pStyle w:val="Default"/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proofErr w:type="gramStart"/>
      <w:r w:rsidRPr="00F20B58">
        <w:rPr>
          <w:rFonts w:asciiTheme="minorHAnsi" w:hAnsiTheme="minorHAnsi" w:cstheme="minorHAnsi"/>
          <w:sz w:val="22"/>
          <w:szCs w:val="22"/>
          <w:vertAlign w:val="superscript"/>
        </w:rPr>
        <w:t>b</w:t>
      </w:r>
      <w:r w:rsidRPr="00F20B58">
        <w:rPr>
          <w:rFonts w:asciiTheme="minorHAnsi" w:hAnsiTheme="minorHAnsi" w:cstheme="minorHAnsi"/>
          <w:sz w:val="22"/>
          <w:szCs w:val="22"/>
        </w:rPr>
        <w:t>Assistance</w:t>
      </w:r>
      <w:proofErr w:type="spellEnd"/>
      <w:proofErr w:type="gramEnd"/>
      <w:r w:rsidRPr="00F20B58">
        <w:rPr>
          <w:rFonts w:asciiTheme="minorHAnsi" w:hAnsiTheme="minorHAnsi" w:cstheme="minorHAnsi"/>
          <w:sz w:val="22"/>
          <w:szCs w:val="22"/>
        </w:rPr>
        <w:t xml:space="preserve"> Publique-Hôpitaux de Marseille (AP-HM), Service de Virologie Aiguë et Tropicale, Marseille, France.</w:t>
      </w:r>
    </w:p>
    <w:p w14:paraId="328917A3" w14:textId="72F399E8" w:rsidR="001A6E71" w:rsidRDefault="001A6E71" w:rsidP="001A6E71">
      <w:pPr>
        <w:pStyle w:val="Default"/>
        <w:spacing w:after="240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bookmarkStart w:id="1" w:name="_Hlk199509771"/>
      <w:proofErr w:type="spellStart"/>
      <w:r w:rsidRPr="00F20B58">
        <w:rPr>
          <w:rFonts w:asciiTheme="minorHAnsi" w:hAnsiTheme="minorHAnsi" w:cstheme="minorHAnsi"/>
          <w:sz w:val="22"/>
          <w:szCs w:val="22"/>
          <w:vertAlign w:val="superscript"/>
          <w:lang w:val="en-US"/>
        </w:rPr>
        <w:t>c</w:t>
      </w:r>
      <w:r w:rsidRPr="00F20B58">
        <w:rPr>
          <w:rFonts w:asciiTheme="minorHAnsi" w:hAnsiTheme="minorHAnsi" w:cstheme="minorHAnsi"/>
          <w:sz w:val="22"/>
          <w:szCs w:val="22"/>
          <w:lang w:val="en-US"/>
        </w:rPr>
        <w:t>National</w:t>
      </w:r>
      <w:proofErr w:type="spellEnd"/>
      <w:r w:rsidRPr="00F20B58">
        <w:rPr>
          <w:rFonts w:asciiTheme="minorHAnsi" w:hAnsiTheme="minorHAnsi" w:cstheme="minorHAnsi"/>
          <w:sz w:val="22"/>
          <w:szCs w:val="22"/>
          <w:lang w:val="en-US"/>
        </w:rPr>
        <w:t xml:space="preserve"> Reference Center for Arboviruses, </w:t>
      </w:r>
      <w:proofErr w:type="spellStart"/>
      <w:r w:rsidRPr="00F20B58">
        <w:rPr>
          <w:rFonts w:asciiTheme="minorHAnsi" w:hAnsiTheme="minorHAnsi" w:cstheme="minorHAnsi"/>
          <w:sz w:val="22"/>
          <w:szCs w:val="22"/>
          <w:lang w:val="en-US"/>
        </w:rPr>
        <w:t>Inserm</w:t>
      </w:r>
      <w:proofErr w:type="spellEnd"/>
      <w:r w:rsidRPr="00F20B58">
        <w:rPr>
          <w:rFonts w:asciiTheme="minorHAnsi" w:hAnsiTheme="minorHAnsi" w:cstheme="minorHAnsi"/>
          <w:sz w:val="22"/>
          <w:szCs w:val="22"/>
          <w:lang w:val="en-US"/>
        </w:rPr>
        <w:t>-IRBA, Marseille, France</w:t>
      </w:r>
      <w:bookmarkEnd w:id="1"/>
      <w:r w:rsidRPr="00F20B58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06644FD2" w14:textId="77777777" w:rsidR="001A6E71" w:rsidRPr="00F20B58" w:rsidRDefault="001A6E71" w:rsidP="001A6E71">
      <w:pPr>
        <w:pStyle w:val="Default"/>
        <w:spacing w:after="240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3EF0B5A6" w14:textId="505C9697" w:rsidR="003609B3" w:rsidRPr="00B34F39" w:rsidRDefault="001A6E71" w:rsidP="001A6E71">
      <w:pPr>
        <w:rPr>
          <w:rFonts w:asciiTheme="minorHAnsi" w:hAnsiTheme="minorHAnsi" w:cstheme="minorHAnsi"/>
          <w:color w:val="0563C1" w:themeColor="hyperlink"/>
          <w:u w:val="single"/>
          <w:lang w:val="en-US"/>
        </w:rPr>
      </w:pPr>
      <w:r w:rsidRPr="001A6E71">
        <w:rPr>
          <w:rFonts w:asciiTheme="minorHAnsi" w:hAnsiTheme="minorHAnsi" w:cstheme="minorHAnsi"/>
          <w:lang w:val="en-US"/>
        </w:rPr>
        <w:t xml:space="preserve">#Address correspondence to Konrad Wesselmann: </w:t>
      </w:r>
      <w:hyperlink r:id="rId6" w:history="1">
        <w:r w:rsidRPr="001A6E71">
          <w:rPr>
            <w:rStyle w:val="Lienhypertexte"/>
            <w:rFonts w:asciiTheme="minorHAnsi" w:hAnsiTheme="minorHAnsi" w:cstheme="minorHAnsi"/>
            <w:lang w:val="en-US"/>
          </w:rPr>
          <w:t>konrad.wesselmann@univ-amu.fr</w:t>
        </w:r>
      </w:hyperlink>
      <w:bookmarkEnd w:id="0"/>
    </w:p>
    <w:p w14:paraId="461CB6A5" w14:textId="5697B9A6" w:rsidR="001B07AA" w:rsidRPr="00B34F39" w:rsidRDefault="001B0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inorHAnsi" w:hAnsiTheme="minorHAnsi" w:cstheme="minorHAnsi"/>
          <w:sz w:val="20"/>
          <w:szCs w:val="20"/>
          <w:lang w:val="en-US"/>
        </w:rPr>
      </w:pPr>
      <w:r w:rsidRPr="00B34F39">
        <w:rPr>
          <w:rFonts w:asciiTheme="minorHAnsi" w:hAnsiTheme="minorHAnsi" w:cstheme="minorHAnsi"/>
          <w:lang w:val="en-US"/>
        </w:rPr>
        <w:br w:type="page"/>
      </w:r>
    </w:p>
    <w:p w14:paraId="7DB9C5A5" w14:textId="77777777" w:rsidR="001B07AA" w:rsidRPr="00B34F39" w:rsidRDefault="001B07AA" w:rsidP="001B0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34F39">
        <w:rPr>
          <w:rFonts w:asciiTheme="minorHAnsi" w:hAnsiTheme="minorHAnsi" w:cstheme="minorHAnsi"/>
          <w:noProof/>
          <w:sz w:val="20"/>
          <w:szCs w:val="20"/>
          <w:lang w:val="en-US"/>
        </w:rPr>
        <w:lastRenderedPageBreak/>
        <w:drawing>
          <wp:inline distT="0" distB="0" distL="0" distR="0" wp14:anchorId="6FAC40B9" wp14:editId="3FAE18CD">
            <wp:extent cx="5760049" cy="6411114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49" cy="641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809FC" w14:textId="191AF027" w:rsidR="001B07AA" w:rsidRPr="00B34F39" w:rsidRDefault="001B07AA" w:rsidP="001B0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34F39">
        <w:rPr>
          <w:rFonts w:asciiTheme="minorHAnsi" w:hAnsiTheme="minorHAnsi" w:cstheme="minorHAnsi"/>
          <w:sz w:val="20"/>
          <w:szCs w:val="20"/>
          <w:lang w:val="en-US"/>
        </w:rPr>
        <w:t>Figure S1</w:t>
      </w:r>
      <w:r w:rsidR="002A02C5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: Normalized weights </w:t>
      </w:r>
      <w:r w:rsidR="00D41642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following </w:t>
      </w:r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CHIKV infection with high or low preceding doses of anti-IFNAR1 </w:t>
      </w:r>
      <w:proofErr w:type="spellStart"/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>mAb</w:t>
      </w:r>
      <w:proofErr w:type="spellEnd"/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A02C5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during </w:t>
      </w:r>
      <w:r w:rsidR="004D4E03" w:rsidRPr="00B34F39">
        <w:rPr>
          <w:rFonts w:asciiTheme="minorHAnsi" w:hAnsiTheme="minorHAnsi" w:cstheme="minorHAnsi"/>
          <w:sz w:val="20"/>
          <w:szCs w:val="20"/>
          <w:lang w:val="en-US"/>
        </w:rPr>
        <w:t>experimentation</w:t>
      </w:r>
      <w:r w:rsidR="002A02C5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 period</w:t>
      </w:r>
      <w:r w:rsidR="004D4E03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. </w:t>
      </w:r>
      <w:r w:rsidR="002A02C5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Normalized weight was expressed as a percentage of the initial weight (day </w:t>
      </w:r>
      <w:r w:rsidR="004D4E03" w:rsidRPr="00B34F39">
        <w:rPr>
          <w:rFonts w:asciiTheme="minorHAnsi" w:hAnsiTheme="minorHAnsi" w:cstheme="minorHAnsi"/>
          <w:sz w:val="20"/>
          <w:szCs w:val="20"/>
          <w:lang w:val="en-US"/>
        </w:rPr>
        <w:t>of infection</w:t>
      </w:r>
      <w:r w:rsidR="002A02C5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) calculated as follows: [(weight at day n / weight at day </w:t>
      </w:r>
      <w:proofErr w:type="gramStart"/>
      <w:r w:rsidR="002A02C5" w:rsidRPr="00B34F39">
        <w:rPr>
          <w:rFonts w:asciiTheme="minorHAnsi" w:hAnsiTheme="minorHAnsi" w:cstheme="minorHAnsi"/>
          <w:sz w:val="20"/>
          <w:szCs w:val="20"/>
          <w:lang w:val="en-US"/>
        </w:rPr>
        <w:t>0)*</w:t>
      </w:r>
      <w:proofErr w:type="gramEnd"/>
      <w:r w:rsidR="002A02C5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100]. Data are represented </w:t>
      </w:r>
      <w:r w:rsidR="004D4E03" w:rsidRPr="00B34F39">
        <w:rPr>
          <w:rFonts w:asciiTheme="minorHAnsi" w:hAnsiTheme="minorHAnsi" w:cstheme="minorHAnsi"/>
          <w:sz w:val="20"/>
          <w:szCs w:val="20"/>
          <w:lang w:val="en-US"/>
        </w:rPr>
        <w:t>as individual weights of each replicate.</w:t>
      </w:r>
    </w:p>
    <w:p w14:paraId="764C2EA0" w14:textId="77777777" w:rsidR="001B07AA" w:rsidRPr="00B34F39" w:rsidRDefault="001B07AA" w:rsidP="001B0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34F39">
        <w:rPr>
          <w:rFonts w:asciiTheme="minorHAnsi" w:hAnsiTheme="minorHAnsi" w:cstheme="minorHAnsi"/>
          <w:noProof/>
          <w:sz w:val="20"/>
          <w:szCs w:val="20"/>
          <w:lang w:val="en-US"/>
        </w:rPr>
        <w:lastRenderedPageBreak/>
        <w:drawing>
          <wp:inline distT="0" distB="0" distL="0" distR="0" wp14:anchorId="1980B513" wp14:editId="61A9BB92">
            <wp:extent cx="5759875" cy="847598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875" cy="84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BBBF6" w14:textId="5E7810F8" w:rsidR="001B07AA" w:rsidRPr="00B34F39" w:rsidRDefault="001B07AA" w:rsidP="001B0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34F39">
        <w:rPr>
          <w:rFonts w:asciiTheme="minorHAnsi" w:hAnsiTheme="minorHAnsi" w:cstheme="minorHAnsi"/>
          <w:sz w:val="20"/>
          <w:szCs w:val="20"/>
          <w:lang w:val="en-US"/>
        </w:rPr>
        <w:t>Figure S2</w:t>
      </w:r>
      <w:r w:rsidR="004D4E03" w:rsidRPr="00B34F39">
        <w:rPr>
          <w:rFonts w:asciiTheme="minorHAnsi" w:hAnsiTheme="minorHAnsi" w:cstheme="minorHAnsi"/>
          <w:sz w:val="20"/>
          <w:szCs w:val="20"/>
          <w:lang w:val="en-US"/>
        </w:rPr>
        <w:t>:</w:t>
      </w:r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 Normalized weights </w:t>
      </w:r>
      <w:r w:rsidR="00D41642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following </w:t>
      </w:r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CHIKV infection with varying infectious doses and varying preceding doses of anti-IFNAR1 </w:t>
      </w:r>
      <w:proofErr w:type="spellStart"/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>mAb</w:t>
      </w:r>
      <w:proofErr w:type="spellEnd"/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 during experimentation period. Normalized weight was expressed as a percentage of </w:t>
      </w:r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lastRenderedPageBreak/>
        <w:t xml:space="preserve">the initial weight (day of infection) calculated as follows: [(weight at day n / weight at day </w:t>
      </w:r>
      <w:proofErr w:type="gramStart"/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>0)*</w:t>
      </w:r>
      <w:proofErr w:type="gramEnd"/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>100]. Data are represented as individual weights of each replicate.</w:t>
      </w:r>
    </w:p>
    <w:p w14:paraId="537CD583" w14:textId="7717DBFA" w:rsidR="004F4E55" w:rsidRPr="00B34F39" w:rsidRDefault="001B07AA" w:rsidP="001B0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34F39">
        <w:rPr>
          <w:rFonts w:asciiTheme="minorHAnsi" w:hAnsiTheme="minorHAnsi" w:cstheme="minorHAnsi"/>
          <w:noProof/>
          <w:sz w:val="20"/>
          <w:szCs w:val="20"/>
          <w:lang w:val="en-US"/>
        </w:rPr>
        <w:drawing>
          <wp:inline distT="0" distB="0" distL="0" distR="0" wp14:anchorId="545AFDDE" wp14:editId="216766A7">
            <wp:extent cx="5760637" cy="232537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37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EFA68" w14:textId="2B2CAF1D" w:rsidR="004F4E55" w:rsidRPr="00B34F39" w:rsidRDefault="004F4E55" w:rsidP="001B0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Figure S3: Normalized weights </w:t>
      </w:r>
      <w:r w:rsidR="00D41642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following </w:t>
      </w:r>
      <w:r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CHIKV infection in young and mature mice with a preceding dose of 0.1mg anti-IFNAR1 </w:t>
      </w:r>
      <w:proofErr w:type="spellStart"/>
      <w:r w:rsidRPr="00B34F39">
        <w:rPr>
          <w:rFonts w:asciiTheme="minorHAnsi" w:hAnsiTheme="minorHAnsi" w:cstheme="minorHAnsi"/>
          <w:sz w:val="20"/>
          <w:szCs w:val="20"/>
          <w:lang w:val="en-US"/>
        </w:rPr>
        <w:t>mAb</w:t>
      </w:r>
      <w:proofErr w:type="spellEnd"/>
      <w:r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 and a high viral titer of 105TCID50 during experimentation period. Normalized weight was expressed as a percentage of the initial weight (day of infection) calculated as follows: [(weight at day n / weight at day </w:t>
      </w:r>
      <w:proofErr w:type="gramStart"/>
      <w:r w:rsidRPr="00B34F39">
        <w:rPr>
          <w:rFonts w:asciiTheme="minorHAnsi" w:hAnsiTheme="minorHAnsi" w:cstheme="minorHAnsi"/>
          <w:sz w:val="20"/>
          <w:szCs w:val="20"/>
          <w:lang w:val="en-US"/>
        </w:rPr>
        <w:t>0)*</w:t>
      </w:r>
      <w:proofErr w:type="gramEnd"/>
      <w:r w:rsidRPr="00B34F39">
        <w:rPr>
          <w:rFonts w:asciiTheme="minorHAnsi" w:hAnsiTheme="minorHAnsi" w:cstheme="minorHAnsi"/>
          <w:sz w:val="20"/>
          <w:szCs w:val="20"/>
          <w:lang w:val="en-US"/>
        </w:rPr>
        <w:t>100]. Data are represented as individual weights of each replicate.</w:t>
      </w:r>
    </w:p>
    <w:p w14:paraId="4ED273D6" w14:textId="4B7B47C3" w:rsidR="001B07AA" w:rsidRPr="00B34F39" w:rsidRDefault="001B07AA" w:rsidP="001B0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34F39">
        <w:rPr>
          <w:rFonts w:asciiTheme="minorHAnsi" w:hAnsiTheme="minorHAnsi" w:cstheme="minorHAnsi"/>
          <w:noProof/>
          <w:sz w:val="20"/>
          <w:szCs w:val="20"/>
          <w:lang w:val="en-US"/>
        </w:rPr>
        <w:lastRenderedPageBreak/>
        <w:drawing>
          <wp:inline distT="0" distB="0" distL="0" distR="0" wp14:anchorId="000F46C2" wp14:editId="3EFF2129">
            <wp:extent cx="5760720" cy="642666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2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D7285" w14:textId="727C00A1" w:rsidR="001B07AA" w:rsidRPr="00B34F39" w:rsidRDefault="001B07AA" w:rsidP="001B0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34F39">
        <w:rPr>
          <w:rFonts w:asciiTheme="minorHAnsi" w:hAnsiTheme="minorHAnsi" w:cstheme="minorHAnsi"/>
          <w:sz w:val="20"/>
          <w:szCs w:val="20"/>
          <w:lang w:val="en-US"/>
        </w:rPr>
        <w:t>Figure S</w:t>
      </w:r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>4</w:t>
      </w:r>
      <w:r w:rsidRPr="00B34F39">
        <w:rPr>
          <w:rFonts w:asciiTheme="minorHAnsi" w:hAnsiTheme="minorHAnsi" w:cstheme="minorHAnsi"/>
          <w:sz w:val="20"/>
          <w:szCs w:val="20"/>
          <w:lang w:val="en-US"/>
        </w:rPr>
        <w:t>:</w:t>
      </w:r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 Normalized weights </w:t>
      </w:r>
      <w:r w:rsidR="00D41642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following </w:t>
      </w:r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MAYV infection with very high or very low preceding doses of anti-IFNAR1 </w:t>
      </w:r>
      <w:proofErr w:type="spellStart"/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>mAb</w:t>
      </w:r>
      <w:proofErr w:type="spellEnd"/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 during experimentation period. Normalized weight was expressed as a percentage of the initial weight (day of infection) calculated as follows: [(weight at day n / weight at day </w:t>
      </w:r>
      <w:proofErr w:type="gramStart"/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>0)*</w:t>
      </w:r>
      <w:proofErr w:type="gramEnd"/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>100]. Data are represented as individual weights of each replicate.</w:t>
      </w:r>
    </w:p>
    <w:p w14:paraId="4D47324B" w14:textId="77777777" w:rsidR="001B07AA" w:rsidRPr="00B34F39" w:rsidRDefault="001B07AA" w:rsidP="001B0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34F39">
        <w:rPr>
          <w:rFonts w:asciiTheme="minorHAnsi" w:hAnsiTheme="minorHAnsi" w:cstheme="minorHAnsi"/>
          <w:noProof/>
          <w:sz w:val="20"/>
          <w:szCs w:val="20"/>
          <w:lang w:val="en-US"/>
        </w:rPr>
        <w:lastRenderedPageBreak/>
        <w:drawing>
          <wp:inline distT="0" distB="0" distL="0" distR="0" wp14:anchorId="36F20437" wp14:editId="342924B1">
            <wp:extent cx="5760637" cy="232537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37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B628E" w14:textId="59C09CE4" w:rsidR="001B07AA" w:rsidRPr="00B34F39" w:rsidRDefault="001B07AA" w:rsidP="001B0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34F39">
        <w:rPr>
          <w:rFonts w:asciiTheme="minorHAnsi" w:hAnsiTheme="minorHAnsi" w:cstheme="minorHAnsi"/>
          <w:sz w:val="20"/>
          <w:szCs w:val="20"/>
          <w:lang w:val="en-US"/>
        </w:rPr>
        <w:t>Figure S</w:t>
      </w:r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5: Normalized weights of MAYV infection with 103TCID50 or 105TCID50 and a preceding dose of 0.1mg anti-IFNAR1 </w:t>
      </w:r>
      <w:proofErr w:type="spellStart"/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>mAb</w:t>
      </w:r>
      <w:proofErr w:type="spellEnd"/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 during experimentation period. Normalized weight was expressed as a percentage of the initial weight (day of infection) calculated as follows: [(weight at day n / weight at day </w:t>
      </w:r>
      <w:proofErr w:type="gramStart"/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>0)*</w:t>
      </w:r>
      <w:proofErr w:type="gramEnd"/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>100]. Data are represented as individual weights of each replicate.</w:t>
      </w:r>
    </w:p>
    <w:p w14:paraId="71DF94A9" w14:textId="77777777" w:rsidR="001B07AA" w:rsidRPr="00B34F39" w:rsidRDefault="001B07AA" w:rsidP="001B0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</w:p>
    <w:p w14:paraId="005580FD" w14:textId="1CE0A9D2" w:rsidR="001B07AA" w:rsidRPr="00B34F39" w:rsidRDefault="001B07AA" w:rsidP="001B0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34F39">
        <w:rPr>
          <w:rFonts w:asciiTheme="minorHAnsi" w:hAnsiTheme="minorHAnsi" w:cstheme="minorHAnsi"/>
          <w:noProof/>
          <w:sz w:val="20"/>
          <w:szCs w:val="20"/>
          <w:lang w:val="en-US"/>
        </w:rPr>
        <w:drawing>
          <wp:inline distT="0" distB="0" distL="0" distR="0" wp14:anchorId="5E6CDDA7" wp14:editId="79774ECB">
            <wp:extent cx="5760720" cy="2323788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B7C47" w14:textId="6935FE41" w:rsidR="001B07AA" w:rsidRPr="00B34F39" w:rsidRDefault="001B07AA" w:rsidP="001B0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34F39">
        <w:rPr>
          <w:rFonts w:asciiTheme="minorHAnsi" w:hAnsiTheme="minorHAnsi" w:cstheme="minorHAnsi"/>
          <w:sz w:val="20"/>
          <w:szCs w:val="20"/>
          <w:lang w:val="en-US"/>
        </w:rPr>
        <w:t>Figure S</w:t>
      </w:r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>6</w:t>
      </w:r>
      <w:r w:rsidRPr="00B34F39">
        <w:rPr>
          <w:rFonts w:asciiTheme="minorHAnsi" w:hAnsiTheme="minorHAnsi" w:cstheme="minorHAnsi"/>
          <w:sz w:val="20"/>
          <w:szCs w:val="20"/>
          <w:lang w:val="en-US"/>
        </w:rPr>
        <w:t>:</w:t>
      </w:r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 Normalized weights </w:t>
      </w:r>
      <w:r w:rsidR="00D41642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following </w:t>
      </w:r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MAYV infection in young and mature mice with a preceding dose of 0.1mg anti-IFNAR1 </w:t>
      </w:r>
      <w:proofErr w:type="spellStart"/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>mAb</w:t>
      </w:r>
      <w:proofErr w:type="spellEnd"/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 and a high viral titer of 10</w:t>
      </w:r>
      <w:r w:rsidR="004F4E55" w:rsidRPr="00B34F39">
        <w:rPr>
          <w:rFonts w:asciiTheme="minorHAnsi" w:hAnsiTheme="minorHAnsi" w:cstheme="minorHAnsi"/>
          <w:sz w:val="20"/>
          <w:szCs w:val="20"/>
          <w:vertAlign w:val="superscript"/>
          <w:lang w:val="en-US"/>
        </w:rPr>
        <w:t>5</w:t>
      </w:r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>TCID</w:t>
      </w:r>
      <w:r w:rsidR="004F4E55" w:rsidRPr="00B34F39">
        <w:rPr>
          <w:rFonts w:asciiTheme="minorHAnsi" w:hAnsiTheme="minorHAnsi" w:cstheme="minorHAnsi"/>
          <w:sz w:val="20"/>
          <w:szCs w:val="20"/>
          <w:vertAlign w:val="subscript"/>
          <w:lang w:val="en-US"/>
        </w:rPr>
        <w:t>50</w:t>
      </w:r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 during experimentation period. Normalized weight was expressed as a percentage of the initial weight (day of infection) calculated as follows: [(weight at day n / weight at day </w:t>
      </w:r>
      <w:proofErr w:type="gramStart"/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>0)*</w:t>
      </w:r>
      <w:proofErr w:type="gramEnd"/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>100]. Data are represented as individual weights of each replicate.</w:t>
      </w:r>
    </w:p>
    <w:p w14:paraId="4C2CD9CC" w14:textId="157A23A5" w:rsidR="001B07AA" w:rsidRPr="00B34F39" w:rsidRDefault="001B07AA" w:rsidP="001B0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34F39">
        <w:rPr>
          <w:rFonts w:asciiTheme="minorHAnsi" w:hAnsiTheme="minorHAnsi" w:cstheme="minorHAnsi"/>
          <w:noProof/>
          <w:sz w:val="20"/>
          <w:szCs w:val="20"/>
          <w:lang w:val="en-US"/>
        </w:rPr>
        <w:lastRenderedPageBreak/>
        <w:drawing>
          <wp:inline distT="0" distB="0" distL="0" distR="0" wp14:anchorId="7DCDA5FF" wp14:editId="129F7308">
            <wp:extent cx="5760720" cy="6426667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2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9E9C0" w14:textId="48878737" w:rsidR="001B07AA" w:rsidRPr="00B34F39" w:rsidRDefault="001B07AA" w:rsidP="004976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34F39">
        <w:rPr>
          <w:rFonts w:asciiTheme="minorHAnsi" w:hAnsiTheme="minorHAnsi" w:cstheme="minorHAnsi"/>
          <w:sz w:val="20"/>
          <w:szCs w:val="20"/>
          <w:lang w:val="en-US"/>
        </w:rPr>
        <w:t>Figure S</w:t>
      </w:r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>7</w:t>
      </w:r>
      <w:r w:rsidR="002A02C5" w:rsidRPr="00B34F39">
        <w:rPr>
          <w:rFonts w:asciiTheme="minorHAnsi" w:hAnsiTheme="minorHAnsi" w:cstheme="minorHAnsi"/>
          <w:sz w:val="20"/>
          <w:szCs w:val="20"/>
          <w:lang w:val="en-US"/>
        </w:rPr>
        <w:t>:</w:t>
      </w:r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 Normalized weights </w:t>
      </w:r>
      <w:r w:rsidR="00D41642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following </w:t>
      </w:r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MAYV infection with 103TCID50 or 105TCID50 and a preceding dose of 0.1mg anti-IFNAR1 </w:t>
      </w:r>
      <w:proofErr w:type="spellStart"/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>mAb</w:t>
      </w:r>
      <w:proofErr w:type="spellEnd"/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 during experimentation period. Normalized weight was expressed as a percentage of the initial weight (day of infection) calculated as follows: [(weight at day n / weight at day </w:t>
      </w:r>
      <w:proofErr w:type="gramStart"/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>0)*</w:t>
      </w:r>
      <w:proofErr w:type="gramEnd"/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>100]. Data are represented as individual weights of each replicate.</w:t>
      </w:r>
    </w:p>
    <w:p w14:paraId="0A6E74AC" w14:textId="2D7F63DD" w:rsidR="009B40E9" w:rsidRPr="00B34F39" w:rsidRDefault="007D4EE7" w:rsidP="004976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Theme="minorHAnsi" w:hAnsiTheme="minorHAnsi" w:cstheme="minorHAnsi"/>
          <w:b/>
          <w:bCs/>
          <w:noProof/>
          <w:sz w:val="20"/>
          <w:szCs w:val="20"/>
          <w:lang w:val="en-US"/>
        </w:rPr>
      </w:pPr>
      <w:r w:rsidRPr="00B34F39">
        <w:rPr>
          <w:rFonts w:asciiTheme="minorHAnsi" w:hAnsiTheme="minorHAnsi" w:cstheme="minorHAnsi"/>
          <w:sz w:val="20"/>
          <w:szCs w:val="20"/>
          <w:lang w:val="en-US"/>
        </w:rPr>
        <w:br w:type="page"/>
      </w:r>
      <w:r w:rsidR="00985349" w:rsidRPr="00B34F39">
        <w:rPr>
          <w:rFonts w:asciiTheme="minorHAnsi" w:hAnsiTheme="minorHAnsi" w:cstheme="minorHAnsi"/>
          <w:b/>
          <w:bCs/>
          <w:noProof/>
          <w:sz w:val="20"/>
          <w:szCs w:val="20"/>
          <w:lang w:val="en-US"/>
        </w:rPr>
        <w:lastRenderedPageBreak/>
        <w:drawing>
          <wp:inline distT="0" distB="0" distL="0" distR="0" wp14:anchorId="20CB15AE" wp14:editId="5DFF5364">
            <wp:extent cx="5758768" cy="7482343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768" cy="748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7FA" w:rsidRPr="00B34F39">
        <w:rPr>
          <w:rFonts w:asciiTheme="minorHAnsi" w:hAnsiTheme="minorHAnsi" w:cstheme="minorHAnsi"/>
          <w:sz w:val="20"/>
          <w:szCs w:val="20"/>
          <w:lang w:val="en-US"/>
        </w:rPr>
        <w:t>Figure</w:t>
      </w:r>
      <w:r w:rsidR="001B07AA" w:rsidRPr="00B34F39">
        <w:rPr>
          <w:rFonts w:asciiTheme="minorHAnsi" w:hAnsiTheme="minorHAnsi" w:cstheme="minorHAnsi"/>
          <w:sz w:val="20"/>
          <w:szCs w:val="20"/>
          <w:lang w:val="en-US"/>
        </w:rPr>
        <w:t> </w:t>
      </w:r>
      <w:r w:rsidR="00EC27FA" w:rsidRPr="00B34F39">
        <w:rPr>
          <w:rFonts w:asciiTheme="minorHAnsi" w:hAnsiTheme="minorHAnsi" w:cstheme="minorHAnsi"/>
          <w:sz w:val="20"/>
          <w:szCs w:val="20"/>
          <w:lang w:val="en-US"/>
        </w:rPr>
        <w:t>S</w:t>
      </w:r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>8</w:t>
      </w:r>
      <w:r w:rsidR="00EC27FA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: </w:t>
      </w:r>
      <w:r w:rsidR="005C5E84" w:rsidRPr="00B34F39">
        <w:rPr>
          <w:rFonts w:asciiTheme="minorHAnsi" w:hAnsiTheme="minorHAnsi" w:cstheme="minorHAnsi"/>
          <w:sz w:val="20"/>
          <w:szCs w:val="20"/>
          <w:lang w:val="en-US"/>
        </w:rPr>
        <w:t>ELISA results</w:t>
      </w:r>
      <w:r w:rsidR="006E1F4E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 of</w:t>
      </w:r>
      <w:r w:rsidR="005C5E84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 mice infected with varying doses of CHIKV (</w:t>
      </w:r>
      <w:proofErr w:type="spellStart"/>
      <w:proofErr w:type="gramStart"/>
      <w:r w:rsidR="005C5E84" w:rsidRPr="00B34F39">
        <w:rPr>
          <w:rFonts w:asciiTheme="minorHAnsi" w:hAnsiTheme="minorHAnsi" w:cstheme="minorHAnsi"/>
          <w:sz w:val="20"/>
          <w:szCs w:val="20"/>
          <w:lang w:val="en-US"/>
        </w:rPr>
        <w:t>a,b</w:t>
      </w:r>
      <w:proofErr w:type="spellEnd"/>
      <w:proofErr w:type="gramEnd"/>
      <w:r w:rsidR="005C5E84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 and c), MAYV (d, e and f) or ONNV (g) with varying doses of previously injected anti-IFNAR1 </w:t>
      </w:r>
      <w:proofErr w:type="spellStart"/>
      <w:r w:rsidR="005C5E84" w:rsidRPr="00B34F39">
        <w:rPr>
          <w:rFonts w:asciiTheme="minorHAnsi" w:hAnsiTheme="minorHAnsi" w:cstheme="minorHAnsi"/>
          <w:sz w:val="20"/>
          <w:szCs w:val="20"/>
          <w:lang w:val="en-US"/>
        </w:rPr>
        <w:t>mAb</w:t>
      </w:r>
      <w:proofErr w:type="spellEnd"/>
      <w:r w:rsidR="005C5E84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 (0.1, 0.3, 1 or 1+0.5mg). Virus specific ELISA tests were performed for CHIKV and MAYV. For ONNV a CHIKV-specific ELISA was used. Results are presented as optical density at 450nm.</w:t>
      </w:r>
    </w:p>
    <w:p w14:paraId="62640EC8" w14:textId="659210CE" w:rsidR="00E57D8A" w:rsidRPr="00B34F39" w:rsidRDefault="0049760F" w:rsidP="004976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  <w:r w:rsidRPr="00B34F39">
        <w:rPr>
          <w:rFonts w:asciiTheme="minorHAnsi" w:hAnsiTheme="minorHAnsi" w:cstheme="minorHAnsi"/>
          <w:b/>
          <w:bCs/>
          <w:noProof/>
          <w:sz w:val="20"/>
          <w:szCs w:val="20"/>
          <w:lang w:val="en-US"/>
        </w:rPr>
        <w:lastRenderedPageBreak/>
        <w:drawing>
          <wp:inline distT="0" distB="0" distL="0" distR="0" wp14:anchorId="2F9B9663" wp14:editId="16FD9B24">
            <wp:extent cx="5757658" cy="473329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658" cy="47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FA173" w14:textId="76C8C76D" w:rsidR="00F11D87" w:rsidRPr="00B34F39" w:rsidRDefault="0049760F" w:rsidP="004976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B34F39">
        <w:rPr>
          <w:rFonts w:asciiTheme="minorHAnsi" w:hAnsiTheme="minorHAnsi" w:cstheme="minorHAnsi"/>
          <w:sz w:val="20"/>
          <w:szCs w:val="20"/>
          <w:lang w:val="en-US"/>
        </w:rPr>
        <w:t>Figure S</w:t>
      </w:r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>9</w:t>
      </w:r>
      <w:r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: </w:t>
      </w:r>
      <w:r w:rsidR="00A45049" w:rsidRPr="00B34F39">
        <w:rPr>
          <w:rFonts w:asciiTheme="minorHAnsi" w:hAnsiTheme="minorHAnsi" w:cstheme="minorHAnsi"/>
          <w:sz w:val="20"/>
          <w:szCs w:val="20"/>
          <w:lang w:val="en-US"/>
        </w:rPr>
        <w:t>Infectious v</w:t>
      </w:r>
      <w:r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iral loads in various organs after infection with the established model. 7 weeks old C57BL/6J mice were injected with anti-INAR1 </w:t>
      </w:r>
      <w:proofErr w:type="spellStart"/>
      <w:r w:rsidRPr="00B34F39">
        <w:rPr>
          <w:rFonts w:asciiTheme="minorHAnsi" w:hAnsiTheme="minorHAnsi" w:cstheme="minorHAnsi"/>
          <w:sz w:val="20"/>
          <w:szCs w:val="20"/>
          <w:lang w:val="en-US"/>
        </w:rPr>
        <w:t>mAb</w:t>
      </w:r>
      <w:proofErr w:type="spellEnd"/>
      <w:r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 (0.1mg) 48h before infection with CHIKV, MAYV or ONNV (10</w:t>
      </w:r>
      <w:r w:rsidRPr="00B34F39">
        <w:rPr>
          <w:rFonts w:asciiTheme="minorHAnsi" w:hAnsiTheme="minorHAnsi" w:cstheme="minorHAnsi"/>
          <w:sz w:val="20"/>
          <w:szCs w:val="20"/>
          <w:vertAlign w:val="superscript"/>
          <w:lang w:val="en-US"/>
        </w:rPr>
        <w:t>5</w:t>
      </w:r>
      <w:r w:rsidRPr="00B34F39">
        <w:rPr>
          <w:rFonts w:asciiTheme="minorHAnsi" w:hAnsiTheme="minorHAnsi" w:cstheme="minorHAnsi"/>
          <w:sz w:val="20"/>
          <w:szCs w:val="20"/>
          <w:lang w:val="en-US"/>
        </w:rPr>
        <w:t>TCID</w:t>
      </w:r>
      <w:r w:rsidRPr="00B34F39">
        <w:rPr>
          <w:rFonts w:asciiTheme="minorHAnsi" w:hAnsiTheme="minorHAnsi" w:cstheme="minorHAnsi"/>
          <w:sz w:val="20"/>
          <w:szCs w:val="20"/>
          <w:vertAlign w:val="subscript"/>
          <w:lang w:val="en-US"/>
        </w:rPr>
        <w:t>50</w:t>
      </w:r>
      <w:r w:rsidRPr="00B34F39">
        <w:rPr>
          <w:rFonts w:asciiTheme="minorHAnsi" w:hAnsiTheme="minorHAnsi" w:cstheme="minorHAnsi"/>
          <w:sz w:val="20"/>
          <w:szCs w:val="20"/>
          <w:lang w:val="en-US"/>
        </w:rPr>
        <w:t>). Mice were euthanized at 3 (a, c and e) or 4 (b, d and f) dpi and TCID</w:t>
      </w:r>
      <w:r w:rsidRPr="00B34F39">
        <w:rPr>
          <w:rFonts w:asciiTheme="minorHAnsi" w:hAnsiTheme="minorHAnsi" w:cstheme="minorHAnsi"/>
          <w:sz w:val="20"/>
          <w:szCs w:val="20"/>
          <w:vertAlign w:val="subscript"/>
          <w:lang w:val="en-US"/>
        </w:rPr>
        <w:t>50</w:t>
      </w:r>
      <w:r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 of brain, heart and spleen were determined. At the moment of viral load determination samples had undergone two freeze-unfreeze cycles. </w:t>
      </w:r>
      <w:r w:rsidR="00F11D87" w:rsidRPr="00B34F39">
        <w:rPr>
          <w:rFonts w:asciiTheme="minorHAnsi" w:hAnsiTheme="minorHAnsi" w:cstheme="minorHAnsi"/>
          <w:sz w:val="20"/>
          <w:szCs w:val="20"/>
          <w:lang w:val="en-US"/>
        </w:rPr>
        <w:t>Data are represented as mean±SD. Two-sided statistical analysis was performed using Shapiro–Wilk normality test followed by Student t-test, Student t-test with Welch correction or Mann-Whitney test (details in Table S8). *, ** and *** mean p-value ranging between 0.01−0.05, 0.05–0.001 and 0.001–0.0001 respectively. ****: p-value ≤0.0001. ns: not significant.</w:t>
      </w:r>
    </w:p>
    <w:p w14:paraId="3E9BA96D" w14:textId="77777777" w:rsidR="00F11D87" w:rsidRPr="00B34F39" w:rsidRDefault="00F11D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inorHAnsi" w:hAnsiTheme="minorHAnsi" w:cstheme="minorHAnsi"/>
          <w:sz w:val="20"/>
          <w:szCs w:val="20"/>
          <w:lang w:val="en-US"/>
        </w:rPr>
      </w:pPr>
      <w:r w:rsidRPr="00B34F39">
        <w:rPr>
          <w:rFonts w:asciiTheme="minorHAnsi" w:hAnsiTheme="minorHAnsi" w:cstheme="minorHAnsi"/>
          <w:sz w:val="20"/>
          <w:szCs w:val="20"/>
          <w:lang w:val="en-US"/>
        </w:rPr>
        <w:br w:type="page"/>
      </w:r>
    </w:p>
    <w:p w14:paraId="68EF7D14" w14:textId="196E14B2" w:rsidR="00E57D8A" w:rsidRPr="00B34F39" w:rsidRDefault="0049760F" w:rsidP="004976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  <w:r w:rsidRPr="00B34F39">
        <w:rPr>
          <w:rFonts w:asciiTheme="minorHAnsi" w:hAnsiTheme="minorHAnsi" w:cstheme="minorHAnsi"/>
          <w:b/>
          <w:bCs/>
          <w:noProof/>
          <w:sz w:val="20"/>
          <w:szCs w:val="20"/>
          <w:lang w:val="en-US"/>
        </w:rPr>
        <w:lastRenderedPageBreak/>
        <w:drawing>
          <wp:inline distT="0" distB="0" distL="0" distR="0" wp14:anchorId="467FA1B7" wp14:editId="1056674B">
            <wp:extent cx="5759842" cy="2677795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842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0372C" w14:textId="3C767664" w:rsidR="003B74C3" w:rsidRPr="00B34F39" w:rsidRDefault="0049760F" w:rsidP="001B0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34F39">
        <w:rPr>
          <w:rFonts w:asciiTheme="minorHAnsi" w:hAnsiTheme="minorHAnsi" w:cstheme="minorHAnsi"/>
          <w:sz w:val="20"/>
          <w:szCs w:val="20"/>
          <w:lang w:val="en-US"/>
        </w:rPr>
        <w:t>Figure </w:t>
      </w:r>
      <w:r w:rsidR="000A1F58" w:rsidRPr="00B34F39">
        <w:rPr>
          <w:rFonts w:asciiTheme="minorHAnsi" w:hAnsiTheme="minorHAnsi" w:cstheme="minorHAnsi"/>
          <w:sz w:val="20"/>
          <w:szCs w:val="20"/>
          <w:lang w:val="en-US"/>
        </w:rPr>
        <w:t>S</w:t>
      </w:r>
      <w:r w:rsidR="004F4E55" w:rsidRPr="00B34F39">
        <w:rPr>
          <w:rFonts w:asciiTheme="minorHAnsi" w:hAnsiTheme="minorHAnsi" w:cstheme="minorHAnsi"/>
          <w:sz w:val="20"/>
          <w:szCs w:val="20"/>
          <w:lang w:val="en-US"/>
        </w:rPr>
        <w:t>10</w:t>
      </w:r>
      <w:r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: Serum </w:t>
      </w:r>
      <w:r w:rsidR="000A1F58" w:rsidRPr="00B34F39">
        <w:rPr>
          <w:rFonts w:asciiTheme="minorHAnsi" w:hAnsiTheme="minorHAnsi" w:cstheme="minorHAnsi"/>
          <w:sz w:val="20"/>
          <w:szCs w:val="20"/>
          <w:lang w:val="en-US"/>
        </w:rPr>
        <w:t>IL-6 and TNF-α</w:t>
      </w:r>
      <w:r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 concentrations after infection with the established model. 7 weeks old C57BL/6J mice were injected with anti-INAR1 </w:t>
      </w:r>
      <w:proofErr w:type="spellStart"/>
      <w:r w:rsidRPr="00B34F39">
        <w:rPr>
          <w:rFonts w:asciiTheme="minorHAnsi" w:hAnsiTheme="minorHAnsi" w:cstheme="minorHAnsi"/>
          <w:sz w:val="20"/>
          <w:szCs w:val="20"/>
          <w:lang w:val="en-US"/>
        </w:rPr>
        <w:t>mAb</w:t>
      </w:r>
      <w:proofErr w:type="spellEnd"/>
      <w:r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 (0.1mg) 48h before infection with CHIKV, MAYV or ONNV (10</w:t>
      </w:r>
      <w:r w:rsidRPr="00B34F39">
        <w:rPr>
          <w:rFonts w:asciiTheme="minorHAnsi" w:hAnsiTheme="minorHAnsi" w:cstheme="minorHAnsi"/>
          <w:sz w:val="20"/>
          <w:szCs w:val="20"/>
          <w:vertAlign w:val="superscript"/>
          <w:lang w:val="en-US"/>
        </w:rPr>
        <w:t>5</w:t>
      </w:r>
      <w:r w:rsidRPr="00B34F39">
        <w:rPr>
          <w:rFonts w:asciiTheme="minorHAnsi" w:hAnsiTheme="minorHAnsi" w:cstheme="minorHAnsi"/>
          <w:sz w:val="20"/>
          <w:szCs w:val="20"/>
          <w:lang w:val="en-US"/>
        </w:rPr>
        <w:t>TCID</w:t>
      </w:r>
      <w:r w:rsidRPr="00B34F39">
        <w:rPr>
          <w:rFonts w:asciiTheme="minorHAnsi" w:hAnsiTheme="minorHAnsi" w:cstheme="minorHAnsi"/>
          <w:sz w:val="20"/>
          <w:szCs w:val="20"/>
          <w:vertAlign w:val="subscript"/>
          <w:lang w:val="en-US"/>
        </w:rPr>
        <w:t>50</w:t>
      </w:r>
      <w:r w:rsidRPr="00B34F39">
        <w:rPr>
          <w:rFonts w:asciiTheme="minorHAnsi" w:hAnsiTheme="minorHAnsi" w:cstheme="minorHAnsi"/>
          <w:sz w:val="20"/>
          <w:szCs w:val="20"/>
          <w:lang w:val="en-US"/>
        </w:rPr>
        <w:t>). Mice were euthanized at 3</w:t>
      </w:r>
      <w:r w:rsidR="000A1F58"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or 4dpi and serum cytokine concentrations were determined using </w:t>
      </w:r>
      <w:proofErr w:type="spellStart"/>
      <w:r w:rsidRPr="00B34F39">
        <w:rPr>
          <w:rFonts w:asciiTheme="minorHAnsi" w:hAnsiTheme="minorHAnsi" w:cstheme="minorHAnsi"/>
          <w:sz w:val="20"/>
          <w:szCs w:val="20"/>
          <w:lang w:val="en-US"/>
        </w:rPr>
        <w:t>ProQuantum</w:t>
      </w:r>
      <w:proofErr w:type="spellEnd"/>
      <w:r w:rsidRPr="00B34F39">
        <w:rPr>
          <w:rFonts w:asciiTheme="minorHAnsi" w:hAnsiTheme="minorHAnsi" w:cstheme="minorHAnsi"/>
          <w:sz w:val="20"/>
          <w:szCs w:val="20"/>
          <w:lang w:val="en-US"/>
        </w:rPr>
        <w:t xml:space="preserve"> high-sensitivity immunoassays.</w:t>
      </w:r>
    </w:p>
    <w:p w14:paraId="6807064C" w14:textId="77777777" w:rsidR="001B07AA" w:rsidRPr="00B34F39" w:rsidRDefault="001B0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</w:p>
    <w:sectPr w:rsidR="001B07AA" w:rsidRPr="00B34F39" w:rsidSect="00F11D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AAF28" w14:textId="77777777" w:rsidR="00A80DC8" w:rsidRDefault="00A80DC8" w:rsidP="00A80DC8">
      <w:pPr>
        <w:spacing w:after="0" w:line="240" w:lineRule="auto"/>
      </w:pPr>
      <w:r>
        <w:separator/>
      </w:r>
    </w:p>
  </w:endnote>
  <w:endnote w:type="continuationSeparator" w:id="0">
    <w:p w14:paraId="1FF653B8" w14:textId="77777777" w:rsidR="00A80DC8" w:rsidRDefault="00A80DC8" w:rsidP="00A80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4B5C8" w14:textId="77777777" w:rsidR="00A80DC8" w:rsidRDefault="00A80DC8" w:rsidP="00A80DC8">
      <w:pPr>
        <w:spacing w:after="0" w:line="240" w:lineRule="auto"/>
      </w:pPr>
      <w:r>
        <w:separator/>
      </w:r>
    </w:p>
  </w:footnote>
  <w:footnote w:type="continuationSeparator" w:id="0">
    <w:p w14:paraId="0E3BE23B" w14:textId="77777777" w:rsidR="00A80DC8" w:rsidRDefault="00A80DC8" w:rsidP="00A80D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EBB"/>
    <w:rsid w:val="000047BE"/>
    <w:rsid w:val="000240ED"/>
    <w:rsid w:val="00037D82"/>
    <w:rsid w:val="00056ACF"/>
    <w:rsid w:val="000A1F58"/>
    <w:rsid w:val="000D5EB5"/>
    <w:rsid w:val="000E6E25"/>
    <w:rsid w:val="000F2FB6"/>
    <w:rsid w:val="00106F7D"/>
    <w:rsid w:val="0013368F"/>
    <w:rsid w:val="001736A0"/>
    <w:rsid w:val="00185B1C"/>
    <w:rsid w:val="001A6E71"/>
    <w:rsid w:val="001B07AA"/>
    <w:rsid w:val="001B10E3"/>
    <w:rsid w:val="002054C5"/>
    <w:rsid w:val="00247E7D"/>
    <w:rsid w:val="002819E9"/>
    <w:rsid w:val="00284A9F"/>
    <w:rsid w:val="00290C22"/>
    <w:rsid w:val="002A02C5"/>
    <w:rsid w:val="002B5967"/>
    <w:rsid w:val="002C36F3"/>
    <w:rsid w:val="002D1F9F"/>
    <w:rsid w:val="002F370D"/>
    <w:rsid w:val="00303032"/>
    <w:rsid w:val="003279D7"/>
    <w:rsid w:val="00344C7D"/>
    <w:rsid w:val="003609B3"/>
    <w:rsid w:val="00362F63"/>
    <w:rsid w:val="003B74C3"/>
    <w:rsid w:val="00417A7C"/>
    <w:rsid w:val="0049760F"/>
    <w:rsid w:val="004A5382"/>
    <w:rsid w:val="004B50E6"/>
    <w:rsid w:val="004C1136"/>
    <w:rsid w:val="004C7F90"/>
    <w:rsid w:val="004D4E03"/>
    <w:rsid w:val="004F4E55"/>
    <w:rsid w:val="004F56EC"/>
    <w:rsid w:val="005511C8"/>
    <w:rsid w:val="005564F4"/>
    <w:rsid w:val="0056709A"/>
    <w:rsid w:val="00572BE3"/>
    <w:rsid w:val="005A09D8"/>
    <w:rsid w:val="005C5E84"/>
    <w:rsid w:val="00653323"/>
    <w:rsid w:val="00670B3F"/>
    <w:rsid w:val="006B73AD"/>
    <w:rsid w:val="006E08B5"/>
    <w:rsid w:val="006E1F4E"/>
    <w:rsid w:val="006E24B2"/>
    <w:rsid w:val="007340B9"/>
    <w:rsid w:val="007348CE"/>
    <w:rsid w:val="007D4EE7"/>
    <w:rsid w:val="00857EBB"/>
    <w:rsid w:val="00922E03"/>
    <w:rsid w:val="0093423E"/>
    <w:rsid w:val="00945E03"/>
    <w:rsid w:val="00985349"/>
    <w:rsid w:val="009B40E9"/>
    <w:rsid w:val="00A24A3D"/>
    <w:rsid w:val="00A32BFD"/>
    <w:rsid w:val="00A45049"/>
    <w:rsid w:val="00A531CD"/>
    <w:rsid w:val="00A73C6B"/>
    <w:rsid w:val="00A80DC8"/>
    <w:rsid w:val="00A826AA"/>
    <w:rsid w:val="00AC07BF"/>
    <w:rsid w:val="00AC2720"/>
    <w:rsid w:val="00B34F39"/>
    <w:rsid w:val="00B45CC0"/>
    <w:rsid w:val="00B713BC"/>
    <w:rsid w:val="00B84122"/>
    <w:rsid w:val="00BA1D9E"/>
    <w:rsid w:val="00BB4A6D"/>
    <w:rsid w:val="00BB75FA"/>
    <w:rsid w:val="00BC3BC3"/>
    <w:rsid w:val="00BD3649"/>
    <w:rsid w:val="00BD52CE"/>
    <w:rsid w:val="00BE381B"/>
    <w:rsid w:val="00C14913"/>
    <w:rsid w:val="00C14CFF"/>
    <w:rsid w:val="00C563F9"/>
    <w:rsid w:val="00C64FDE"/>
    <w:rsid w:val="00C80A20"/>
    <w:rsid w:val="00D316AA"/>
    <w:rsid w:val="00D41642"/>
    <w:rsid w:val="00D77CE8"/>
    <w:rsid w:val="00DC10F1"/>
    <w:rsid w:val="00DF21C1"/>
    <w:rsid w:val="00E23675"/>
    <w:rsid w:val="00E32241"/>
    <w:rsid w:val="00E53789"/>
    <w:rsid w:val="00E57D8A"/>
    <w:rsid w:val="00EC27FA"/>
    <w:rsid w:val="00F11D87"/>
    <w:rsid w:val="00F15E72"/>
    <w:rsid w:val="00F34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BD63C"/>
  <w15:chartTrackingRefBased/>
  <w15:docId w15:val="{A05FA0D4-AE33-438E-8532-B153E047C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D7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09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59" w:lineRule="auto"/>
      <w:jc w:val="both"/>
      <w:outlineLvl w:val="1"/>
    </w:pPr>
    <w:rPr>
      <w:rFonts w:asciiTheme="minorHAnsi" w:eastAsiaTheme="minorHAnsi" w:hAnsiTheme="minorHAnsi" w:cstheme="minorBidi"/>
      <w:b/>
      <w:bCs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3279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3279D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279D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279D7"/>
    <w:rPr>
      <w:rFonts w:ascii="Calibri" w:eastAsia="Calibri" w:hAnsi="Calibri" w:cs="Calibri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279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79D7"/>
    <w:rPr>
      <w:rFonts w:ascii="Segoe UI" w:eastAsia="Calibri" w:hAnsi="Segoe UI" w:cs="Segoe UI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E23675"/>
    <w:pPr>
      <w:spacing w:line="276" w:lineRule="auto"/>
    </w:pPr>
    <w:rPr>
      <w:b/>
      <w:bCs/>
      <w:sz w:val="18"/>
      <w:szCs w:val="18"/>
    </w:rPr>
  </w:style>
  <w:style w:type="table" w:styleId="Grilledutableau">
    <w:name w:val="Table Grid"/>
    <w:basedOn w:val="TableauNormal"/>
    <w:uiPriority w:val="39"/>
    <w:rsid w:val="003279D7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">
    <w:name w:val="Hyperlink"/>
    <w:basedOn w:val="Policepardfaut"/>
    <w:uiPriority w:val="99"/>
    <w:unhideWhenUsed/>
    <w:rsid w:val="007D4EE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D4EE7"/>
    <w:rPr>
      <w:color w:val="605E5C"/>
      <w:shd w:val="clear" w:color="auto" w:fill="E1DFDD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B4A6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B4A6D"/>
    <w:rPr>
      <w:rFonts w:ascii="Calibri" w:eastAsia="Calibri" w:hAnsi="Calibri" w:cs="Calibri"/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2C36F3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80DC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0DC8"/>
    <w:rPr>
      <w:rFonts w:ascii="Calibri" w:eastAsia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A80DC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0DC8"/>
    <w:rPr>
      <w:rFonts w:ascii="Calibri" w:eastAsia="Calibri" w:hAnsi="Calibri" w:cs="Calibri"/>
    </w:rPr>
  </w:style>
  <w:style w:type="paragraph" w:styleId="Rvision">
    <w:name w:val="Revision"/>
    <w:hidden/>
    <w:uiPriority w:val="99"/>
    <w:semiHidden/>
    <w:rsid w:val="0056709A"/>
    <w:pPr>
      <w:spacing w:after="0" w:line="240" w:lineRule="auto"/>
    </w:pPr>
    <w:rPr>
      <w:rFonts w:ascii="Calibri" w:eastAsia="Calibri" w:hAnsi="Calibri" w:cs="Calibri"/>
    </w:rPr>
  </w:style>
  <w:style w:type="character" w:customStyle="1" w:styleId="Titre2Car">
    <w:name w:val="Titre 2 Car"/>
    <w:basedOn w:val="Policepardfaut"/>
    <w:link w:val="Titre2"/>
    <w:uiPriority w:val="9"/>
    <w:rsid w:val="003609B3"/>
    <w:rPr>
      <w:b/>
      <w:bCs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hyperlink" Target="mailto:konrad.wesselmann@univ-amu.fr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UMR190</Company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WESSELMANN Konrad</dc:creator>
  <cp:keywords/>
  <dc:description/>
  <cp:lastModifiedBy>WESSELMANN Konrad</cp:lastModifiedBy>
  <cp:revision>10</cp:revision>
  <cp:lastPrinted>2025-05-07T10:40:00Z</cp:lastPrinted>
  <dcterms:created xsi:type="dcterms:W3CDTF">2025-05-26T16:24:00Z</dcterms:created>
  <dcterms:modified xsi:type="dcterms:W3CDTF">2025-06-03T07:45:00Z</dcterms:modified>
</cp:coreProperties>
</file>