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7C13" w14:textId="4BF51AAF" w:rsidR="009D4181" w:rsidRPr="009D4181" w:rsidRDefault="009D4181" w:rsidP="009D4181">
      <w:pPr>
        <w:pStyle w:val="1"/>
        <w:rPr>
          <w:rFonts w:ascii="Palatino Linotype" w:hAnsi="Palatino Linotype"/>
          <w:sz w:val="36"/>
          <w:szCs w:val="36"/>
        </w:rPr>
      </w:pPr>
      <w:r w:rsidRPr="009D4181">
        <w:rPr>
          <w:rFonts w:ascii="Palatino Linotype" w:hAnsi="Palatino Linotype"/>
          <w:sz w:val="36"/>
          <w:szCs w:val="36"/>
        </w:rPr>
        <w:t xml:space="preserve">Supplemental Material on </w:t>
      </w:r>
      <w:r>
        <w:rPr>
          <w:rFonts w:ascii="Palatino Linotype" w:hAnsi="Palatino Linotype"/>
          <w:sz w:val="36"/>
          <w:szCs w:val="36"/>
        </w:rPr>
        <w:t>C</w:t>
      </w:r>
      <w:r>
        <w:rPr>
          <w:rFonts w:ascii="Palatino Linotype" w:hAnsi="Palatino Linotype" w:hint="eastAsia"/>
          <w:sz w:val="36"/>
          <w:szCs w:val="36"/>
        </w:rPr>
        <w:t>ellular</w:t>
      </w:r>
      <w:r w:rsidRPr="009D4181">
        <w:rPr>
          <w:rFonts w:ascii="Palatino Linotype" w:hAnsi="Palatino Linotype"/>
          <w:sz w:val="36"/>
          <w:szCs w:val="36"/>
        </w:rPr>
        <w:t xml:space="preserve"> Dynamical Mean-Field Theory (</w:t>
      </w:r>
      <w:r>
        <w:rPr>
          <w:rFonts w:ascii="Palatino Linotype" w:hAnsi="Palatino Linotype"/>
          <w:sz w:val="36"/>
          <w:szCs w:val="36"/>
        </w:rPr>
        <w:t>C</w:t>
      </w:r>
      <w:r w:rsidRPr="009D4181">
        <w:rPr>
          <w:rFonts w:ascii="Palatino Linotype" w:hAnsi="Palatino Linotype"/>
          <w:sz w:val="36"/>
          <w:szCs w:val="36"/>
        </w:rPr>
        <w:t>DMFT)</w:t>
      </w:r>
      <w:bookmarkStart w:id="0" w:name="_GoBack"/>
      <w:bookmarkEnd w:id="0"/>
    </w:p>
    <w:p w14:paraId="3A474D89" w14:textId="77777777" w:rsidR="009D4181" w:rsidRDefault="009D4181" w:rsidP="009D4181">
      <w:pPr>
        <w:rPr>
          <w:rFonts w:ascii="Palatino Linotype" w:eastAsia="宋体" w:hAnsi="Palatino Linotype" w:cs="宋体"/>
          <w:b/>
          <w:bCs/>
          <w:iCs/>
        </w:rPr>
      </w:pPr>
    </w:p>
    <w:p w14:paraId="432B8818" w14:textId="77777777" w:rsidR="009D4181" w:rsidRDefault="009D4181" w:rsidP="009D4181">
      <w:pPr>
        <w:rPr>
          <w:rFonts w:ascii="Palatino Linotype" w:eastAsia="宋体" w:hAnsi="Palatino Linotype" w:cs="宋体"/>
          <w:b/>
          <w:bCs/>
          <w:iCs/>
        </w:rPr>
      </w:pPr>
    </w:p>
    <w:p w14:paraId="03B93917" w14:textId="5C76586F" w:rsidR="009D4181" w:rsidRPr="00C47297" w:rsidRDefault="0052151E" w:rsidP="009D4181">
      <w:pPr>
        <w:rPr>
          <w:rFonts w:ascii="Palatino Linotype" w:eastAsia="宋体" w:hAnsi="Palatino Linotype" w:cs="宋体"/>
        </w:rPr>
      </w:pPr>
      <w:r w:rsidRPr="00C47297">
        <w:rPr>
          <w:rFonts w:ascii="Palatino Linotype" w:eastAsia="宋体" w:hAnsi="Palatino Linotype" w:cs="宋体"/>
          <w:b/>
          <w:bCs/>
          <w:iCs/>
        </w:rPr>
        <w:t>Supplement 1</w:t>
      </w:r>
      <w:r w:rsidRPr="00C47297">
        <w:rPr>
          <w:rFonts w:ascii="Palatino Linotype" w:eastAsia="宋体" w:hAnsi="Palatino Linotype" w:cs="宋体"/>
          <w:bCs/>
          <w:iCs/>
        </w:rPr>
        <w:t>:</w:t>
      </w:r>
      <w:r w:rsidR="009D4181" w:rsidRPr="009D4181">
        <w:rPr>
          <w:rFonts w:ascii="Palatino Linotype" w:eastAsia="宋体" w:hAnsi="Palatino Linotype" w:cs="宋体"/>
        </w:rPr>
        <w:t xml:space="preserve"> </w:t>
      </w:r>
      <w:r w:rsidR="009D4181" w:rsidRPr="00C47297">
        <w:rPr>
          <w:rFonts w:ascii="Palatino Linotype" w:eastAsia="宋体" w:hAnsi="Palatino Linotype" w:cs="宋体"/>
        </w:rPr>
        <w:t>Regarding your inquiry on the acquisition of self-energy:</w:t>
      </w:r>
    </w:p>
    <w:p w14:paraId="73CFCCF7" w14:textId="77777777" w:rsidR="009D4181" w:rsidRPr="00C47297" w:rsidRDefault="009D4181" w:rsidP="009D4181">
      <w:pPr>
        <w:numPr>
          <w:ilvl w:val="0"/>
          <w:numId w:val="3"/>
        </w:numPr>
        <w:rPr>
          <w:rFonts w:ascii="Palatino Linotype" w:eastAsia="宋体" w:hAnsi="Palatino Linotype" w:cs="宋体"/>
        </w:rPr>
      </w:pPr>
      <w:r w:rsidRPr="00C47297">
        <w:rPr>
          <w:rFonts w:ascii="Palatino Linotype" w:eastAsia="宋体" w:hAnsi="Palatino Linotype" w:cs="宋体"/>
          <w:b/>
          <w:bCs/>
        </w:rPr>
        <w:t>Initial Self-Energy</w:t>
      </w:r>
      <w:r w:rsidRPr="00C47297">
        <w:rPr>
          <w:rFonts w:ascii="Palatino Linotype" w:eastAsia="宋体" w:hAnsi="Palatino Linotype" w:cs="宋体"/>
        </w:rPr>
        <w:t>: The initial self-energy (input at the start of the calculation) is derived based on perturbation theory. Due to the convergence of subsequent iterations, it progressively approaches the true value as the computational cycles increase.</w:t>
      </w:r>
    </w:p>
    <w:p w14:paraId="05F726FB" w14:textId="77777777" w:rsidR="009D4181" w:rsidRDefault="009D4181" w:rsidP="009D4181">
      <w:pPr>
        <w:numPr>
          <w:ilvl w:val="0"/>
          <w:numId w:val="3"/>
        </w:numPr>
        <w:rPr>
          <w:rFonts w:ascii="Palatino Linotype" w:eastAsia="宋体" w:hAnsi="Palatino Linotype" w:cs="宋体"/>
        </w:rPr>
      </w:pPr>
      <w:r>
        <w:rPr>
          <w:rFonts w:ascii="Palatino Linotype" w:eastAsia="宋体" w:hAnsi="Palatino Linotype" w:cs="宋体"/>
          <w:b/>
          <w:bCs/>
        </w:rPr>
        <w:t>Cellular</w:t>
      </w:r>
      <w:r w:rsidRPr="00C47297">
        <w:rPr>
          <w:rFonts w:ascii="Palatino Linotype" w:eastAsia="宋体" w:hAnsi="Palatino Linotype" w:cs="宋体"/>
          <w:b/>
          <w:bCs/>
        </w:rPr>
        <w:t xml:space="preserve"> Self-Energy</w:t>
      </w:r>
      <w:r w:rsidRPr="00C47297">
        <w:rPr>
          <w:rFonts w:ascii="Palatino Linotype" w:eastAsia="宋体" w:hAnsi="Palatino Linotype" w:cs="宋体"/>
        </w:rPr>
        <w:t xml:space="preserve">: To describe the effect of surrounding </w:t>
      </w:r>
      <w:proofErr w:type="spellStart"/>
      <w:r>
        <w:rPr>
          <w:rFonts w:ascii="Palatino Linotype" w:eastAsia="宋体" w:hAnsi="Palatino Linotype" w:cs="宋体"/>
        </w:rPr>
        <w:t>cellular</w:t>
      </w:r>
      <w:r w:rsidRPr="00C47297">
        <w:rPr>
          <w:rFonts w:ascii="Palatino Linotype" w:eastAsia="宋体" w:hAnsi="Palatino Linotype" w:cs="宋体"/>
        </w:rPr>
        <w:t>s</w:t>
      </w:r>
      <w:proofErr w:type="spellEnd"/>
      <w:r w:rsidRPr="00C47297">
        <w:rPr>
          <w:rFonts w:ascii="Palatino Linotype" w:eastAsia="宋体" w:hAnsi="Palatino Linotype" w:cs="宋体"/>
        </w:rPr>
        <w:t xml:space="preserve"> on a specific </w:t>
      </w:r>
      <w:r>
        <w:rPr>
          <w:rFonts w:ascii="Palatino Linotype" w:eastAsia="宋体" w:hAnsi="Palatino Linotype" w:cs="宋体"/>
        </w:rPr>
        <w:t>cellular</w:t>
      </w:r>
      <w:r w:rsidRPr="00C47297">
        <w:rPr>
          <w:rFonts w:ascii="Palatino Linotype" w:eastAsia="宋体" w:hAnsi="Palatino Linotype" w:cs="宋体"/>
        </w:rPr>
        <w:t xml:space="preserve">, we introduce the </w:t>
      </w:r>
      <w:r>
        <w:rPr>
          <w:rFonts w:ascii="Palatino Linotype" w:eastAsia="宋体" w:hAnsi="Palatino Linotype" w:cs="宋体"/>
        </w:rPr>
        <w:t>cellular</w:t>
      </w:r>
      <w:r w:rsidRPr="00C47297">
        <w:rPr>
          <w:rFonts w:ascii="Palatino Linotype" w:eastAsia="宋体" w:hAnsi="Palatino Linotype" w:cs="宋体"/>
        </w:rPr>
        <w:t xml:space="preserve"> Weiss field</w:t>
      </w:r>
      <w:r>
        <w:rPr>
          <w:rFonts w:ascii="Palatino Linotype" w:eastAsia="宋体" w:hAnsi="Palatino Linotype" w:cs="宋体"/>
        </w:rPr>
        <w:t>:</w:t>
      </w:r>
    </w:p>
    <w:p w14:paraId="759F1969" w14:textId="77777777" w:rsidR="009D4181" w:rsidRDefault="009D4181" w:rsidP="009D4181">
      <w:pPr>
        <w:ind w:left="720"/>
        <w:jc w:val="center"/>
        <w:rPr>
          <w:rFonts w:ascii="Palatino Linotype" w:eastAsia="宋体" w:hAnsi="Palatino Linotype" w:cs="宋体"/>
        </w:rPr>
      </w:pPr>
      <w:r>
        <w:rPr>
          <w:rFonts w:eastAsia="宋体" w:cs="Times New Roman"/>
          <w:noProof/>
          <w:color w:val="000000"/>
          <w:position w:val="-29"/>
          <w:sz w:val="20"/>
          <w:szCs w:val="20"/>
        </w:rPr>
        <w:object w:dxaOrig="4970" w:dyaOrig="701" w14:anchorId="3444D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48.4pt;height:34.8pt" o:ole="">
            <v:imagedata r:id="rId7" o:title=""/>
          </v:shape>
          <o:OLEObject Type="Embed" ProgID="Equation.AxMath" ShapeID="_x0000_i1043" DrawAspect="Content" ObjectID="_1807450362" r:id="rId8"/>
        </w:object>
      </w:r>
      <w:r w:rsidRPr="00C47297">
        <w:rPr>
          <w:rFonts w:ascii="Palatino Linotype" w:eastAsia="宋体" w:hAnsi="Palatino Linotype" w:cs="宋体"/>
        </w:rPr>
        <w:t>.</w:t>
      </w:r>
    </w:p>
    <w:p w14:paraId="739ED41E" w14:textId="77777777" w:rsidR="009D4181" w:rsidRPr="00E3223B" w:rsidRDefault="009D4181" w:rsidP="009D4181">
      <w:pPr>
        <w:ind w:left="720"/>
        <w:rPr>
          <w:rFonts w:ascii="Palatino Linotype" w:eastAsia="宋体" w:hAnsi="Palatino Linotype" w:cs="宋体"/>
        </w:rPr>
      </w:pPr>
      <w:r w:rsidRPr="00E3223B">
        <w:rPr>
          <w:rFonts w:ascii="Palatino Linotype" w:eastAsia="宋体" w:hAnsi="Palatino Linotype" w:cs="宋体"/>
        </w:rPr>
        <w:t>Combined with the Dyson equation</w:t>
      </w:r>
      <w:r w:rsidRPr="00D32D8B">
        <w:rPr>
          <w:rFonts w:eastAsia="宋体"/>
          <w:position w:val="-12"/>
        </w:rPr>
        <w:object w:dxaOrig="589" w:dyaOrig="376" w14:anchorId="509DF522">
          <v:shape id="_x0000_i1044" type="#_x0000_t75" style="width:29.4pt;height:18.6pt" o:ole="">
            <v:imagedata r:id="rId9" o:title=""/>
          </v:shape>
          <o:OLEObject Type="Embed" ProgID="Equation.AxMath" ShapeID="_x0000_i1044" DrawAspect="Content" ObjectID="_1807450363" r:id="rId10"/>
        </w:object>
      </w:r>
      <w:r w:rsidRPr="00D32D8B">
        <w:rPr>
          <w:rFonts w:ascii="Palatino Linotype" w:eastAsia="宋体" w:hAnsi="Palatino Linotype" w:cs="宋体"/>
        </w:rPr>
        <w:t>=</w:t>
      </w:r>
      <w:r w:rsidRPr="00F0433C">
        <w:rPr>
          <w:rFonts w:eastAsia="宋体"/>
          <w:position w:val="-14"/>
        </w:rPr>
        <w:object w:dxaOrig="800" w:dyaOrig="400" w14:anchorId="56D20339">
          <v:shape id="_x0000_i1045" type="#_x0000_t75" style="width:39.6pt;height:20.4pt" o:ole="">
            <v:imagedata r:id="rId11" o:title=""/>
          </v:shape>
          <o:OLEObject Type="Embed" ProgID="Equation.DSMT4" ShapeID="_x0000_i1045" DrawAspect="Content" ObjectID="_1807450364" r:id="rId12"/>
        </w:object>
      </w:r>
      <w:r w:rsidRPr="00D32D8B">
        <w:rPr>
          <w:rFonts w:ascii="Palatino Linotype" w:eastAsia="宋体" w:hAnsi="Palatino Linotype" w:cs="宋体"/>
        </w:rPr>
        <w:t>–</w:t>
      </w:r>
      <w:r w:rsidRPr="00F0433C">
        <w:rPr>
          <w:rFonts w:eastAsia="宋体"/>
          <w:position w:val="-14"/>
        </w:rPr>
        <w:object w:dxaOrig="800" w:dyaOrig="400" w14:anchorId="51D294CC">
          <v:shape id="_x0000_i1046" type="#_x0000_t75" style="width:39.6pt;height:20.4pt" o:ole="">
            <v:imagedata r:id="rId13" o:title=""/>
          </v:shape>
          <o:OLEObject Type="Embed" ProgID="Equation.DSMT4" ShapeID="_x0000_i1046" DrawAspect="Content" ObjectID="_1807450365" r:id="rId14"/>
        </w:object>
      </w:r>
      <w:r w:rsidRPr="00E3223B">
        <w:rPr>
          <w:rFonts w:ascii="Palatino Linotype" w:eastAsia="宋体" w:hAnsi="Palatino Linotype" w:cs="宋体"/>
        </w:rPr>
        <w:t xml:space="preserve">, a self-consistent set of equations linking the </w:t>
      </w:r>
      <w:r>
        <w:rPr>
          <w:rFonts w:ascii="Palatino Linotype" w:eastAsia="宋体" w:hAnsi="Palatino Linotype" w:cs="宋体"/>
        </w:rPr>
        <w:t>cellular</w:t>
      </w:r>
      <w:r w:rsidRPr="00E3223B">
        <w:rPr>
          <w:rFonts w:ascii="Palatino Linotype" w:eastAsia="宋体" w:hAnsi="Palatino Linotype" w:cs="宋体"/>
        </w:rPr>
        <w:t xml:space="preserve"> self-energy </w:t>
      </w:r>
      <w:r w:rsidRPr="00D32D8B">
        <w:rPr>
          <w:rFonts w:ascii="宋体" w:eastAsia="宋体" w:hAnsi="宋体"/>
          <w:position w:val="-12"/>
        </w:rPr>
        <w:object w:dxaOrig="589" w:dyaOrig="376" w14:anchorId="16A32FF4">
          <v:shape id="_x0000_i1047" type="#_x0000_t75" style="width:29.4pt;height:18.6pt" o:ole="">
            <v:imagedata r:id="rId9" o:title=""/>
          </v:shape>
          <o:OLEObject Type="Embed" ProgID="Equation.AxMath" ShapeID="_x0000_i1047" DrawAspect="Content" ObjectID="_1807450366" r:id="rId15"/>
        </w:object>
      </w:r>
      <w:r w:rsidRPr="00E3223B">
        <w:rPr>
          <w:rFonts w:ascii="Palatino Linotype" w:eastAsia="宋体" w:hAnsi="Palatino Linotype" w:cs="宋体"/>
        </w:rPr>
        <w:t xml:space="preserve"> and the </w:t>
      </w:r>
      <w:r>
        <w:rPr>
          <w:rFonts w:ascii="Palatino Linotype" w:eastAsia="宋体" w:hAnsi="Palatino Linotype" w:cs="宋体"/>
        </w:rPr>
        <w:t>cellular</w:t>
      </w:r>
      <w:r w:rsidRPr="00E3223B">
        <w:rPr>
          <w:rFonts w:ascii="Palatino Linotype" w:eastAsia="宋体" w:hAnsi="Palatino Linotype" w:cs="宋体"/>
        </w:rPr>
        <w:t xml:space="preserve"> Weiss field is established. The final self-energy is obtained by iteratively solving these equations until convergence. In this work, the convergence loop for the self-energy employs </w:t>
      </w:r>
      <w:r w:rsidRPr="00E3223B">
        <w:rPr>
          <w:rFonts w:ascii="Palatino Linotype" w:eastAsia="宋体" w:hAnsi="Palatino Linotype" w:cs="宋体"/>
          <w:b/>
          <w:bCs/>
        </w:rPr>
        <w:t>one million (1,000,000) iterations</w:t>
      </w:r>
      <w:r w:rsidRPr="00E3223B">
        <w:rPr>
          <w:rFonts w:ascii="Palatino Linotype" w:eastAsia="宋体" w:hAnsi="Palatino Linotype" w:cs="宋体"/>
        </w:rPr>
        <w:t>. The simplified computational workflow is as follows:</w:t>
      </w:r>
    </w:p>
    <w:p w14:paraId="2F3C7038" w14:textId="77777777" w:rsidR="009D4181" w:rsidRDefault="009D4181" w:rsidP="009D4181">
      <w:pPr>
        <w:rPr>
          <w:rFonts w:ascii="宋体" w:eastAsia="宋体" w:hAnsi="宋体" w:cs="宋体"/>
        </w:rPr>
      </w:pPr>
    </w:p>
    <w:p w14:paraId="3CA9EEC8" w14:textId="77777777" w:rsidR="009D4181" w:rsidRDefault="009D4181" w:rsidP="009D4181">
      <w:pPr>
        <w:jc w:val="center"/>
        <w:rPr>
          <w:rFonts w:ascii="Palatino Linotype" w:eastAsia="宋体" w:hAnsi="Palatino Linotype" w:cs="宋体"/>
          <w:bCs/>
          <w:iCs/>
        </w:rPr>
      </w:pPr>
      <w:r w:rsidRPr="00060DF0">
        <w:rPr>
          <w:rFonts w:ascii="Palatino Linotype" w:eastAsia="宋体" w:hAnsi="Palatino Linotype" w:cs="宋体"/>
          <w:bCs/>
          <w:iCs/>
          <w:noProof/>
        </w:rPr>
        <w:drawing>
          <wp:inline distT="0" distB="0" distL="0" distR="0" wp14:anchorId="7E5D91E6" wp14:editId="66B31C23">
            <wp:extent cx="4015154" cy="1102753"/>
            <wp:effectExtent l="0" t="0" r="444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33562" cy="1107809"/>
                    </a:xfrm>
                    <a:prstGeom prst="rect">
                      <a:avLst/>
                    </a:prstGeom>
                  </pic:spPr>
                </pic:pic>
              </a:graphicData>
            </a:graphic>
          </wp:inline>
        </w:drawing>
      </w:r>
    </w:p>
    <w:p w14:paraId="5E3A51B6" w14:textId="77777777" w:rsidR="009D4181" w:rsidRPr="00C47297" w:rsidRDefault="009D4181" w:rsidP="009D4181">
      <w:pPr>
        <w:ind w:firstLineChars="200" w:firstLine="420"/>
        <w:rPr>
          <w:rFonts w:ascii="Palatino Linotype" w:hAnsi="Palatino Linotype" w:cs="Segoe UI"/>
          <w:color w:val="000000"/>
          <w:shd w:val="clear" w:color="auto" w:fill="FFFFFF"/>
        </w:rPr>
      </w:pPr>
      <w:r w:rsidRPr="00C47297">
        <w:rPr>
          <w:rFonts w:ascii="Palatino Linotype" w:hAnsi="Palatino Linotype" w:cs="Segoe UI"/>
          <w:color w:val="000000"/>
          <w:shd w:val="clear" w:color="auto" w:fill="FFFFFF"/>
        </w:rPr>
        <w:t xml:space="preserve">First, the self-energy is obtained through perturbation theory. Then, </w:t>
      </w:r>
      <w:r w:rsidRPr="00F0433C">
        <w:rPr>
          <w:rFonts w:ascii="宋体" w:eastAsia="宋体" w:hAnsi="宋体"/>
          <w:position w:val="-14"/>
        </w:rPr>
        <w:object w:dxaOrig="800" w:dyaOrig="400" w14:anchorId="0D734EF4">
          <v:shape id="_x0000_i1048" type="#_x0000_t75" style="width:39.6pt;height:20.4pt" o:ole="">
            <v:imagedata r:id="rId11" o:title=""/>
          </v:shape>
          <o:OLEObject Type="Embed" ProgID="Equation.DSMT4" ShapeID="_x0000_i1048" DrawAspect="Content" ObjectID="_1807450367" r:id="rId17"/>
        </w:object>
      </w:r>
      <w:r w:rsidRPr="00C47297">
        <w:rPr>
          <w:rFonts w:ascii="Palatino Linotype" w:hAnsi="Palatino Linotype" w:cs="Segoe UI"/>
          <w:color w:val="000000"/>
          <w:shd w:val="clear" w:color="auto" w:fill="FFFFFF"/>
        </w:rPr>
        <w:t xml:space="preserve"> is derived using </w:t>
      </w:r>
      <w:r>
        <w:rPr>
          <w:rFonts w:eastAsia="宋体" w:cs="Times New Roman"/>
          <w:noProof/>
          <w:color w:val="000000"/>
          <w:position w:val="-29"/>
          <w:sz w:val="20"/>
          <w:szCs w:val="20"/>
        </w:rPr>
        <w:object w:dxaOrig="4970" w:dyaOrig="701" w14:anchorId="1BA899AB">
          <v:shape id="_x0000_i1049" type="#_x0000_t75" style="width:248.4pt;height:34.8pt" o:ole="">
            <v:imagedata r:id="rId7" o:title=""/>
          </v:shape>
          <o:OLEObject Type="Embed" ProgID="Equation.AxMath" ShapeID="_x0000_i1049" DrawAspect="Content" ObjectID="_1807450368" r:id="rId18"/>
        </w:object>
      </w:r>
      <w:r w:rsidRPr="00C47297">
        <w:rPr>
          <w:rFonts w:ascii="Palatino Linotype" w:hAnsi="Palatino Linotype" w:cs="Segoe UI"/>
          <w:color w:val="000000"/>
          <w:shd w:val="clear" w:color="auto" w:fill="FFFFFF"/>
        </w:rPr>
        <w:t xml:space="preserve">. The impurity solver (in this work, the Continuous-Time Quantum Monte Carlo (CT-QMC) method) is employed to compute </w:t>
      </w:r>
      <w:r w:rsidRPr="00F0433C">
        <w:rPr>
          <w:rFonts w:ascii="宋体" w:eastAsia="宋体" w:hAnsi="宋体"/>
          <w:position w:val="-14"/>
        </w:rPr>
        <w:object w:dxaOrig="800" w:dyaOrig="400" w14:anchorId="2E1C0359">
          <v:shape id="_x0000_i1050" type="#_x0000_t75" style="width:39.6pt;height:20.4pt" o:ole="">
            <v:imagedata r:id="rId13" o:title=""/>
          </v:shape>
          <o:OLEObject Type="Embed" ProgID="Equation.DSMT4" ShapeID="_x0000_i1050" DrawAspect="Content" ObjectID="_1807450369" r:id="rId19"/>
        </w:object>
      </w:r>
      <w:r w:rsidRPr="00C47297">
        <w:rPr>
          <w:rFonts w:ascii="Palatino Linotype" w:hAnsi="Palatino Linotype" w:cs="Segoe UI"/>
          <w:color w:val="000000"/>
          <w:shd w:val="clear" w:color="auto" w:fill="FFFFFF"/>
        </w:rPr>
        <w:t>, and the Dyson equation is subsequently applied to update the self-energy. These steps are repeated until the self-energy converges.</w:t>
      </w:r>
    </w:p>
    <w:p w14:paraId="11E2AA6A" w14:textId="73B6DDAA" w:rsidR="00E328B3" w:rsidRDefault="00E328B3" w:rsidP="00E328B3">
      <w:pPr>
        <w:rPr>
          <w:rFonts w:ascii="Palatino Linotype" w:eastAsia="宋体" w:hAnsi="Palatino Linotype" w:cs="宋体"/>
          <w:b/>
          <w:bCs/>
          <w:iCs/>
        </w:rPr>
      </w:pPr>
    </w:p>
    <w:p w14:paraId="69ED1E92" w14:textId="77777777" w:rsidR="00E328B3" w:rsidRDefault="00E328B3" w:rsidP="00E328B3">
      <w:pPr>
        <w:rPr>
          <w:rFonts w:ascii="Palatino Linotype" w:eastAsia="宋体" w:hAnsi="Palatino Linotype" w:cs="宋体"/>
          <w:b/>
          <w:bCs/>
          <w:iCs/>
        </w:rPr>
      </w:pPr>
    </w:p>
    <w:p w14:paraId="7D488075" w14:textId="6DB2DF8B" w:rsidR="00E328B3" w:rsidRDefault="00E328B3" w:rsidP="00E328B3">
      <w:pPr>
        <w:rPr>
          <w:rFonts w:ascii="Palatino Linotype" w:eastAsia="宋体" w:hAnsi="Palatino Linotype" w:cs="宋体"/>
          <w:bCs/>
          <w:iCs/>
        </w:rPr>
      </w:pPr>
      <w:r w:rsidRPr="00C47297">
        <w:rPr>
          <w:rFonts w:ascii="Palatino Linotype" w:eastAsia="宋体" w:hAnsi="Palatino Linotype" w:cs="宋体"/>
          <w:b/>
          <w:bCs/>
          <w:iCs/>
        </w:rPr>
        <w:t xml:space="preserve">Supplement </w:t>
      </w:r>
      <w:r w:rsidR="0052151E">
        <w:rPr>
          <w:rFonts w:ascii="Palatino Linotype" w:eastAsia="宋体" w:hAnsi="Palatino Linotype" w:cs="宋体" w:hint="eastAsia"/>
          <w:b/>
          <w:bCs/>
          <w:iCs/>
        </w:rPr>
        <w:t>2</w:t>
      </w:r>
      <w:r w:rsidRPr="00C47297">
        <w:rPr>
          <w:rFonts w:ascii="Palatino Linotype" w:eastAsia="宋体" w:hAnsi="Palatino Linotype" w:cs="宋体"/>
          <w:bCs/>
          <w:iCs/>
        </w:rPr>
        <w:t>: Computational workflow of the Cellular Dynamical Mean Field Theory (CDMFT)</w:t>
      </w:r>
    </w:p>
    <w:p w14:paraId="6174F1B4" w14:textId="77777777" w:rsidR="00E328B3" w:rsidRDefault="00E328B3" w:rsidP="00E328B3">
      <w:pPr>
        <w:jc w:val="center"/>
        <w:rPr>
          <w:rFonts w:ascii="Palatino Linotype" w:eastAsia="宋体" w:hAnsi="Palatino Linotype" w:cs="宋体"/>
          <w:bCs/>
          <w:iCs/>
        </w:rPr>
      </w:pPr>
      <w:r w:rsidRPr="00785C83">
        <w:rPr>
          <w:rFonts w:ascii="Palatino Linotype" w:eastAsia="宋体" w:hAnsi="Palatino Linotype" w:cs="宋体"/>
          <w:bCs/>
          <w:iCs/>
          <w:noProof/>
        </w:rPr>
        <w:drawing>
          <wp:inline distT="0" distB="0" distL="0" distR="0" wp14:anchorId="6D8B9E91" wp14:editId="204F1BDC">
            <wp:extent cx="3901440" cy="3945111"/>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61149" cy="4005489"/>
                    </a:xfrm>
                    <a:prstGeom prst="rect">
                      <a:avLst/>
                    </a:prstGeom>
                  </pic:spPr>
                </pic:pic>
              </a:graphicData>
            </a:graphic>
          </wp:inline>
        </w:drawing>
      </w:r>
    </w:p>
    <w:p w14:paraId="5E696121" w14:textId="77777777" w:rsidR="00E328B3" w:rsidRDefault="00E328B3" w:rsidP="00E328B3">
      <w:pPr>
        <w:rPr>
          <w:rFonts w:ascii="Palatino Linotype" w:eastAsia="宋体" w:hAnsi="Palatino Linotype" w:cs="宋体"/>
          <w:bCs/>
          <w:iCs/>
        </w:rPr>
      </w:pPr>
      <w:r w:rsidRPr="00324647">
        <w:rPr>
          <w:rFonts w:ascii="Palatino Linotype" w:eastAsia="宋体" w:hAnsi="Palatino Linotype" w:cs="宋体"/>
          <w:bCs/>
          <w:iCs/>
        </w:rPr>
        <w:t xml:space="preserve">A schematic flowchart of the </w:t>
      </w:r>
      <w:r>
        <w:rPr>
          <w:rFonts w:ascii="Palatino Linotype" w:eastAsia="宋体" w:hAnsi="Palatino Linotype" w:cs="宋体"/>
          <w:b/>
          <w:bCs/>
          <w:iCs/>
        </w:rPr>
        <w:t>Cellular</w:t>
      </w:r>
      <w:r w:rsidRPr="00324647">
        <w:rPr>
          <w:rFonts w:ascii="Palatino Linotype" w:eastAsia="宋体" w:hAnsi="Palatino Linotype" w:cs="宋体"/>
          <w:b/>
          <w:bCs/>
          <w:iCs/>
        </w:rPr>
        <w:t xml:space="preserve"> Dynamical Mean Field Theory (CDMFT)</w:t>
      </w:r>
      <w:r w:rsidRPr="00324647">
        <w:rPr>
          <w:rFonts w:ascii="Palatino Linotype" w:eastAsia="宋体" w:hAnsi="Palatino Linotype" w:cs="宋体"/>
          <w:bCs/>
          <w:iCs/>
        </w:rPr>
        <w:t xml:space="preserve"> is presented below, where the </w:t>
      </w:r>
      <w:r w:rsidRPr="00324647">
        <w:rPr>
          <w:rFonts w:ascii="Palatino Linotype" w:eastAsia="宋体" w:hAnsi="Palatino Linotype" w:cs="宋体"/>
          <w:b/>
          <w:bCs/>
          <w:iCs/>
        </w:rPr>
        <w:t>impurity solver</w:t>
      </w:r>
      <w:r w:rsidRPr="00324647">
        <w:rPr>
          <w:rFonts w:ascii="Palatino Linotype" w:eastAsia="宋体" w:hAnsi="Palatino Linotype" w:cs="宋体"/>
          <w:bCs/>
          <w:iCs/>
        </w:rPr>
        <w:t xml:space="preserve"> employs the </w:t>
      </w:r>
      <w:r w:rsidRPr="00324647">
        <w:rPr>
          <w:rFonts w:ascii="Palatino Linotype" w:eastAsia="宋体" w:hAnsi="Palatino Linotype" w:cs="宋体"/>
          <w:b/>
          <w:bCs/>
          <w:iCs/>
        </w:rPr>
        <w:t>Continuous-Time Quantum Monte Carlo (CT-QMC)</w:t>
      </w:r>
      <w:r w:rsidRPr="00324647">
        <w:rPr>
          <w:rFonts w:ascii="Palatino Linotype" w:eastAsia="宋体" w:hAnsi="Palatino Linotype" w:cs="宋体"/>
          <w:bCs/>
          <w:iCs/>
        </w:rPr>
        <w:t xml:space="preserve"> method. The computational workflow is summarized as follows:</w:t>
      </w:r>
    </w:p>
    <w:p w14:paraId="0BC0078F"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 xml:space="preserve">Use perturbation theory to obtain an initial self-energy </w:t>
      </w:r>
      <w:r w:rsidRPr="00D32D8B">
        <w:rPr>
          <w:rFonts w:ascii="宋体" w:eastAsia="宋体" w:hAnsi="宋体"/>
          <w:position w:val="-12"/>
        </w:rPr>
        <w:object w:dxaOrig="589" w:dyaOrig="376" w14:anchorId="3298F72D">
          <v:shape id="_x0000_i1025" type="#_x0000_t75" style="width:29.4pt;height:18.6pt" o:ole="">
            <v:imagedata r:id="rId9" o:title=""/>
          </v:shape>
          <o:OLEObject Type="Embed" ProgID="Equation.AxMath" ShapeID="_x0000_i1025" DrawAspect="Content" ObjectID="_1807450370" r:id="rId21"/>
        </w:object>
      </w:r>
      <w:r w:rsidRPr="00D32D8B">
        <w:rPr>
          <w:rFonts w:ascii="Palatino Linotype" w:eastAsia="宋体" w:hAnsi="Palatino Linotype" w:cs="宋体"/>
        </w:rPr>
        <w:t>.</w:t>
      </w:r>
    </w:p>
    <w:p w14:paraId="60EEA0E2"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 xml:space="preserve">Use the formula </w:t>
      </w:r>
      <w:r>
        <w:rPr>
          <w:rFonts w:eastAsia="宋体" w:cs="Times New Roman"/>
          <w:noProof/>
          <w:color w:val="000000"/>
          <w:position w:val="-29"/>
          <w:sz w:val="20"/>
          <w:szCs w:val="20"/>
        </w:rPr>
        <w:object w:dxaOrig="4970" w:dyaOrig="701" w14:anchorId="314F35F7">
          <v:shape id="_x0000_i1026" type="#_x0000_t75" style="width:248.4pt;height:34.8pt" o:ole="">
            <v:imagedata r:id="rId7" o:title=""/>
          </v:shape>
          <o:OLEObject Type="Embed" ProgID="Equation.AxMath" ShapeID="_x0000_i1026" DrawAspect="Content" ObjectID="_1807450371" r:id="rId22"/>
        </w:object>
      </w:r>
      <w:r w:rsidRPr="00D32D8B">
        <w:rPr>
          <w:rFonts w:ascii="Palatino Linotype" w:eastAsia="宋体" w:hAnsi="Palatino Linotype" w:cs="宋体"/>
        </w:rPr>
        <w:t xml:space="preserve"> to calculate </w:t>
      </w:r>
      <w:r w:rsidRPr="00F0433C">
        <w:rPr>
          <w:rFonts w:ascii="宋体" w:eastAsia="宋体" w:hAnsi="宋体"/>
          <w:position w:val="-14"/>
        </w:rPr>
        <w:object w:dxaOrig="800" w:dyaOrig="400" w14:anchorId="46D61C8C">
          <v:shape id="_x0000_i1027" type="#_x0000_t75" style="width:39.6pt;height:20.4pt" o:ole="">
            <v:imagedata r:id="rId11" o:title=""/>
          </v:shape>
          <o:OLEObject Type="Embed" ProgID="Equation.DSMT4" ShapeID="_x0000_i1027" DrawAspect="Content" ObjectID="_1807450372" r:id="rId23"/>
        </w:object>
      </w:r>
      <w:r w:rsidRPr="00D32D8B">
        <w:rPr>
          <w:rFonts w:ascii="Palatino Linotype" w:eastAsia="宋体" w:hAnsi="Palatino Linotype" w:cs="宋体"/>
        </w:rPr>
        <w:t>.</w:t>
      </w:r>
    </w:p>
    <w:p w14:paraId="3D9EF730"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 xml:space="preserve">Input </w:t>
      </w:r>
      <w:r w:rsidRPr="00F0433C">
        <w:rPr>
          <w:rFonts w:ascii="宋体" w:eastAsia="宋体" w:hAnsi="宋体"/>
          <w:position w:val="-14"/>
        </w:rPr>
        <w:object w:dxaOrig="800" w:dyaOrig="400" w14:anchorId="1F11FC34">
          <v:shape id="_x0000_i1028" type="#_x0000_t75" style="width:39.6pt;height:20.4pt" o:ole="">
            <v:imagedata r:id="rId11" o:title=""/>
          </v:shape>
          <o:OLEObject Type="Embed" ProgID="Equation.DSMT4" ShapeID="_x0000_i1028" DrawAspect="Content" ObjectID="_1807450373" r:id="rId24"/>
        </w:object>
      </w:r>
      <w:r w:rsidRPr="00D32D8B">
        <w:rPr>
          <w:rFonts w:ascii="Palatino Linotype" w:eastAsia="宋体" w:hAnsi="Palatino Linotype" w:cs="宋体"/>
        </w:rPr>
        <w:t xml:space="preserve"> into the impurity solver (e.g., the continuous-time Monte Carlo method), and solve to obtain </w:t>
      </w:r>
      <w:r w:rsidRPr="00F0433C">
        <w:rPr>
          <w:rFonts w:ascii="宋体" w:eastAsia="宋体" w:hAnsi="宋体"/>
          <w:position w:val="-14"/>
        </w:rPr>
        <w:object w:dxaOrig="800" w:dyaOrig="400" w14:anchorId="10052C76">
          <v:shape id="_x0000_i1029" type="#_x0000_t75" style="width:39.6pt;height:20.4pt" o:ole="">
            <v:imagedata r:id="rId13" o:title=""/>
          </v:shape>
          <o:OLEObject Type="Embed" ProgID="Equation.DSMT4" ShapeID="_x0000_i1029" DrawAspect="Content" ObjectID="_1807450374" r:id="rId25"/>
        </w:object>
      </w:r>
      <w:r w:rsidRPr="00D32D8B">
        <w:rPr>
          <w:rFonts w:ascii="Palatino Linotype" w:eastAsia="宋体" w:hAnsi="Palatino Linotype" w:cs="宋体"/>
        </w:rPr>
        <w:t>.</w:t>
      </w:r>
    </w:p>
    <w:p w14:paraId="167DB44C"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 xml:space="preserve">Use </w:t>
      </w:r>
      <w:r w:rsidRPr="00D32D8B">
        <w:rPr>
          <w:rFonts w:eastAsia="宋体"/>
          <w:position w:val="-12"/>
        </w:rPr>
        <w:object w:dxaOrig="589" w:dyaOrig="376" w14:anchorId="31876EFA">
          <v:shape id="_x0000_i1030" type="#_x0000_t75" style="width:29.4pt;height:18.6pt" o:ole="">
            <v:imagedata r:id="rId9" o:title=""/>
          </v:shape>
          <o:OLEObject Type="Embed" ProgID="Equation.AxMath" ShapeID="_x0000_i1030" DrawAspect="Content" ObjectID="_1807450375" r:id="rId26"/>
        </w:object>
      </w:r>
      <w:r w:rsidRPr="00D32D8B">
        <w:rPr>
          <w:rFonts w:ascii="Palatino Linotype" w:eastAsia="宋体" w:hAnsi="Palatino Linotype" w:cs="宋体"/>
        </w:rPr>
        <w:t>=</w:t>
      </w:r>
      <w:r w:rsidRPr="00F0433C">
        <w:rPr>
          <w:rFonts w:eastAsia="宋体"/>
          <w:position w:val="-14"/>
        </w:rPr>
        <w:object w:dxaOrig="800" w:dyaOrig="400" w14:anchorId="33B94AEE">
          <v:shape id="_x0000_i1031" type="#_x0000_t75" style="width:39.6pt;height:20.4pt" o:ole="">
            <v:imagedata r:id="rId11" o:title=""/>
          </v:shape>
          <o:OLEObject Type="Embed" ProgID="Equation.DSMT4" ShapeID="_x0000_i1031" DrawAspect="Content" ObjectID="_1807450376" r:id="rId27"/>
        </w:object>
      </w:r>
      <w:r w:rsidRPr="00D32D8B">
        <w:rPr>
          <w:rFonts w:ascii="Palatino Linotype" w:eastAsia="宋体" w:hAnsi="Palatino Linotype" w:cs="宋体"/>
        </w:rPr>
        <w:t>–</w:t>
      </w:r>
      <w:r w:rsidRPr="00F0433C">
        <w:rPr>
          <w:rFonts w:eastAsia="宋体"/>
          <w:position w:val="-14"/>
        </w:rPr>
        <w:object w:dxaOrig="800" w:dyaOrig="400" w14:anchorId="667C6BB1">
          <v:shape id="_x0000_i1032" type="#_x0000_t75" style="width:39.6pt;height:20.4pt" o:ole="">
            <v:imagedata r:id="rId13" o:title=""/>
          </v:shape>
          <o:OLEObject Type="Embed" ProgID="Equation.DSMT4" ShapeID="_x0000_i1032" DrawAspect="Content" ObjectID="_1807450377" r:id="rId28"/>
        </w:object>
      </w:r>
      <w:r w:rsidRPr="00D32D8B">
        <w:rPr>
          <w:rFonts w:ascii="Palatino Linotype" w:eastAsia="宋体" w:hAnsi="Palatino Linotype" w:cs="宋体"/>
        </w:rPr>
        <w:t xml:space="preserve"> to update the new self-energy.</w:t>
      </w:r>
    </w:p>
    <w:p w14:paraId="6F7A8280"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 xml:space="preserve">Repeat steps 2) to 4) until </w:t>
      </w:r>
      <w:r w:rsidRPr="00D32D8B">
        <w:rPr>
          <w:rFonts w:ascii="宋体" w:eastAsia="宋体" w:hAnsi="宋体"/>
          <w:position w:val="-12"/>
        </w:rPr>
        <w:object w:dxaOrig="589" w:dyaOrig="376" w14:anchorId="4E3C6055">
          <v:shape id="_x0000_i1033" type="#_x0000_t75" style="width:29.4pt;height:18.6pt" o:ole="">
            <v:imagedata r:id="rId9" o:title=""/>
          </v:shape>
          <o:OLEObject Type="Embed" ProgID="Equation.AxMath" ShapeID="_x0000_i1033" DrawAspect="Content" ObjectID="_1807450378" r:id="rId29"/>
        </w:object>
      </w:r>
      <w:r w:rsidRPr="00D32D8B">
        <w:rPr>
          <w:rFonts w:ascii="Palatino Linotype" w:eastAsia="宋体" w:hAnsi="Palatino Linotype" w:cs="宋体"/>
        </w:rPr>
        <w:t xml:space="preserve"> converges within the required precision.</w:t>
      </w:r>
    </w:p>
    <w:p w14:paraId="49ED5FDC" w14:textId="77777777" w:rsidR="00E328B3" w:rsidRPr="00D32D8B" w:rsidRDefault="00E328B3" w:rsidP="00E328B3">
      <w:pPr>
        <w:pStyle w:val="a7"/>
        <w:numPr>
          <w:ilvl w:val="0"/>
          <w:numId w:val="2"/>
        </w:numPr>
        <w:ind w:firstLineChars="0"/>
        <w:rPr>
          <w:rFonts w:ascii="Palatino Linotype" w:eastAsia="宋体" w:hAnsi="Palatino Linotype" w:cs="宋体"/>
        </w:rPr>
      </w:pPr>
      <w:r w:rsidRPr="00D32D8B">
        <w:rPr>
          <w:rFonts w:ascii="Palatino Linotype" w:eastAsia="宋体" w:hAnsi="Palatino Linotype" w:cs="宋体"/>
        </w:rPr>
        <w:t>After the self-energy converges, compute physical quantities (e.g., density of states, double occupancy) using additional post-processing procedures.</w:t>
      </w:r>
    </w:p>
    <w:p w14:paraId="32836266" w14:textId="77777777" w:rsidR="00E328B3" w:rsidRDefault="00E328B3" w:rsidP="00E328B3">
      <w:pPr>
        <w:rPr>
          <w:rFonts w:ascii="宋体" w:eastAsia="宋体" w:hAnsi="宋体" w:cs="宋体"/>
        </w:rPr>
      </w:pPr>
    </w:p>
    <w:p w14:paraId="7562B6F9" w14:textId="77777777" w:rsidR="00E328B3" w:rsidRPr="0079493C" w:rsidRDefault="00E328B3" w:rsidP="00E328B3"/>
    <w:p w14:paraId="67125914" w14:textId="77777777" w:rsidR="00E328B3" w:rsidRPr="00D01D9D" w:rsidRDefault="00E328B3" w:rsidP="00E328B3">
      <w:pPr>
        <w:widowControl/>
        <w:adjustRightInd w:val="0"/>
        <w:snapToGrid w:val="0"/>
        <w:spacing w:before="240" w:after="60" w:line="280" w:lineRule="atLeast"/>
        <w:outlineLvl w:val="0"/>
        <w:rPr>
          <w:rFonts w:ascii="Palatino Linotype" w:hAnsi="Palatino Linotype" w:cs="Times New Roman"/>
          <w:b/>
          <w:color w:val="000000"/>
          <w:kern w:val="0"/>
          <w:sz w:val="24"/>
          <w:lang w:eastAsia="de-DE" w:bidi="en-US"/>
        </w:rPr>
      </w:pPr>
      <w:r w:rsidRPr="00D01D9D">
        <w:rPr>
          <w:rFonts w:ascii="Palatino Linotype" w:hAnsi="Palatino Linotype" w:cs="Times New Roman"/>
          <w:b/>
          <w:color w:val="000000"/>
          <w:kern w:val="0"/>
          <w:sz w:val="24"/>
          <w:lang w:eastAsia="de-DE" w:bidi="en-US"/>
        </w:rPr>
        <w:t>References</w:t>
      </w:r>
    </w:p>
    <w:p w14:paraId="45F04063" w14:textId="77777777" w:rsidR="00E328B3" w:rsidRDefault="00E328B3" w:rsidP="00E328B3">
      <w:pPr>
        <w:pStyle w:val="a7"/>
        <w:numPr>
          <w:ilvl w:val="0"/>
          <w:numId w:val="1"/>
        </w:numPr>
        <w:spacing w:line="312" w:lineRule="auto"/>
        <w:ind w:firstLineChars="0"/>
        <w:textAlignment w:val="center"/>
        <w:rPr>
          <w:noProof/>
          <w:color w:val="000000" w:themeColor="text1"/>
          <w:position w:val="-6"/>
        </w:rPr>
      </w:pPr>
      <w:r w:rsidRPr="00F02458">
        <w:rPr>
          <w:noProof/>
          <w:color w:val="000000" w:themeColor="text1"/>
          <w:position w:val="-6"/>
        </w:rPr>
        <w:t>Chitra R., Kotilar G. Dynamical Mean Field Theory of the Antiferromagnetic Metal to Antiferromagnetic Insulator Transition[J]. Physical Review Letters, 1999, 83(12):2386-2389</w:t>
      </w:r>
    </w:p>
    <w:p w14:paraId="2CE2F3ED" w14:textId="77777777" w:rsidR="00E328B3" w:rsidRDefault="00E328B3" w:rsidP="00E328B3">
      <w:pPr>
        <w:pStyle w:val="a7"/>
        <w:numPr>
          <w:ilvl w:val="0"/>
          <w:numId w:val="1"/>
        </w:numPr>
        <w:spacing w:line="312" w:lineRule="auto"/>
        <w:ind w:firstLineChars="0"/>
        <w:textAlignment w:val="center"/>
        <w:rPr>
          <w:noProof/>
          <w:color w:val="000000" w:themeColor="text1"/>
          <w:position w:val="-6"/>
        </w:rPr>
      </w:pPr>
      <w:r w:rsidRPr="00F02458">
        <w:rPr>
          <w:noProof/>
          <w:color w:val="000000" w:themeColor="text1"/>
          <w:position w:val="-6"/>
        </w:rPr>
        <w:t>Aryanpour K., Pickett W. E., Scalettar R. T</w:t>
      </w:r>
      <w:r w:rsidRPr="00F02458">
        <w:rPr>
          <w:rFonts w:hint="eastAsia"/>
          <w:noProof/>
          <w:color w:val="000000" w:themeColor="text1"/>
          <w:position w:val="-6"/>
        </w:rPr>
        <w:t xml:space="preserve">. </w:t>
      </w:r>
      <w:r w:rsidRPr="00F02458">
        <w:rPr>
          <w:noProof/>
          <w:color w:val="000000" w:themeColor="text1"/>
          <w:position w:val="-6"/>
        </w:rPr>
        <w:t>Dynamical Mean-Field Study of the Mott Transition in the Half-Filled Hubbard Model on a Triangular Lattice</w:t>
      </w:r>
      <w:r w:rsidRPr="00F02458">
        <w:rPr>
          <w:rFonts w:hint="eastAsia"/>
          <w:noProof/>
          <w:color w:val="000000" w:themeColor="text1"/>
          <w:position w:val="-6"/>
        </w:rPr>
        <w:t xml:space="preserve">[J]. </w:t>
      </w:r>
      <w:r w:rsidRPr="00F02458">
        <w:rPr>
          <w:noProof/>
          <w:color w:val="000000" w:themeColor="text1"/>
          <w:position w:val="-6"/>
        </w:rPr>
        <w:t>Physical Review B</w:t>
      </w:r>
      <w:r w:rsidRPr="00F02458">
        <w:rPr>
          <w:rFonts w:hint="eastAsia"/>
          <w:noProof/>
          <w:color w:val="000000" w:themeColor="text1"/>
          <w:position w:val="-6"/>
        </w:rPr>
        <w:t>, 20</w:t>
      </w:r>
      <w:r w:rsidRPr="00F02458">
        <w:rPr>
          <w:noProof/>
          <w:color w:val="000000" w:themeColor="text1"/>
          <w:position w:val="-6"/>
        </w:rPr>
        <w:t>06</w:t>
      </w:r>
      <w:r w:rsidRPr="00F02458">
        <w:rPr>
          <w:rFonts w:hint="eastAsia"/>
          <w:noProof/>
          <w:color w:val="000000" w:themeColor="text1"/>
          <w:position w:val="-6"/>
        </w:rPr>
        <w:t xml:space="preserve">, </w:t>
      </w:r>
      <w:r w:rsidRPr="00F02458">
        <w:rPr>
          <w:noProof/>
          <w:color w:val="000000" w:themeColor="text1"/>
          <w:position w:val="-6"/>
        </w:rPr>
        <w:t>74</w:t>
      </w:r>
      <w:r w:rsidRPr="00F02458">
        <w:rPr>
          <w:rFonts w:hint="eastAsia"/>
          <w:noProof/>
          <w:color w:val="000000" w:themeColor="text1"/>
          <w:position w:val="-6"/>
        </w:rPr>
        <w:t>(</w:t>
      </w:r>
      <w:r w:rsidRPr="00F02458">
        <w:rPr>
          <w:noProof/>
          <w:color w:val="000000" w:themeColor="text1"/>
          <w:position w:val="-6"/>
        </w:rPr>
        <w:t>8</w:t>
      </w:r>
      <w:r w:rsidRPr="00F02458">
        <w:rPr>
          <w:rFonts w:hint="eastAsia"/>
          <w:noProof/>
          <w:color w:val="000000" w:themeColor="text1"/>
          <w:position w:val="-6"/>
        </w:rPr>
        <w:t>):</w:t>
      </w:r>
      <w:r w:rsidRPr="00F02458">
        <w:rPr>
          <w:noProof/>
          <w:color w:val="000000" w:themeColor="text1"/>
          <w:position w:val="-6"/>
        </w:rPr>
        <w:t>085117</w:t>
      </w:r>
    </w:p>
    <w:p w14:paraId="19B49C66" w14:textId="77777777" w:rsidR="00E328B3" w:rsidRDefault="00E328B3" w:rsidP="00E328B3">
      <w:pPr>
        <w:pStyle w:val="a7"/>
        <w:numPr>
          <w:ilvl w:val="0"/>
          <w:numId w:val="1"/>
        </w:numPr>
        <w:spacing w:line="312" w:lineRule="auto"/>
        <w:ind w:firstLineChars="0"/>
        <w:textAlignment w:val="center"/>
        <w:rPr>
          <w:noProof/>
          <w:color w:val="000000" w:themeColor="text1"/>
          <w:position w:val="-6"/>
        </w:rPr>
      </w:pPr>
      <w:r w:rsidRPr="004679EC">
        <w:rPr>
          <w:noProof/>
          <w:color w:val="000000" w:themeColor="text1"/>
          <w:position w:val="-6"/>
        </w:rPr>
        <w:t xml:space="preserve">A. Georges, G. Kotliar, W. Krauth, and M. J. Rozenberg, Dynamical mean-ﬁeld theory of strongly correlated fermion systems and the limit of inﬁnite dimensions, Rev. Mod. Phys. </w:t>
      </w:r>
      <w:r w:rsidRPr="004679EC">
        <w:rPr>
          <w:b/>
          <w:bCs/>
          <w:noProof/>
          <w:color w:val="000000" w:themeColor="text1"/>
          <w:position w:val="-6"/>
        </w:rPr>
        <w:t>68</w:t>
      </w:r>
      <w:r w:rsidRPr="004679EC">
        <w:rPr>
          <w:noProof/>
          <w:color w:val="000000" w:themeColor="text1"/>
          <w:position w:val="-6"/>
        </w:rPr>
        <w:t>, (1996).</w:t>
      </w:r>
    </w:p>
    <w:p w14:paraId="40E0AB9A" w14:textId="77777777" w:rsidR="00E328B3" w:rsidRDefault="00E328B3" w:rsidP="00E328B3">
      <w:pPr>
        <w:pStyle w:val="a7"/>
        <w:numPr>
          <w:ilvl w:val="0"/>
          <w:numId w:val="1"/>
        </w:numPr>
        <w:spacing w:line="312" w:lineRule="auto"/>
        <w:ind w:firstLineChars="0"/>
        <w:textAlignment w:val="center"/>
        <w:rPr>
          <w:noProof/>
          <w:color w:val="000000" w:themeColor="text1"/>
          <w:position w:val="-6"/>
        </w:rPr>
      </w:pPr>
      <w:r w:rsidRPr="004679EC">
        <w:rPr>
          <w:b/>
          <w:bCs/>
          <w:noProof/>
          <w:color w:val="000000" w:themeColor="text1"/>
          <w:position w:val="-6"/>
        </w:rPr>
        <w:t>Kotliar, G.; Savrasov, S. Y.; Haule, K.; et al.</w:t>
      </w:r>
      <w:r w:rsidRPr="004679EC">
        <w:rPr>
          <w:i/>
          <w:iCs/>
          <w:noProof/>
          <w:color w:val="000000" w:themeColor="text1"/>
          <w:position w:val="-6"/>
        </w:rPr>
        <w:t>Cellular Dynamical Mean Field Approach to Strongly Correlated Systems</w:t>
      </w:r>
      <w:r w:rsidRPr="004679EC">
        <w:rPr>
          <w:noProof/>
          <w:color w:val="000000" w:themeColor="text1"/>
          <w:position w:val="-6"/>
        </w:rPr>
        <w:t xml:space="preserve">. Phys. Rev. Lett. </w:t>
      </w:r>
      <w:r w:rsidRPr="004679EC">
        <w:rPr>
          <w:b/>
          <w:bCs/>
          <w:noProof/>
          <w:color w:val="000000" w:themeColor="text1"/>
          <w:position w:val="-6"/>
        </w:rPr>
        <w:t>2001</w:t>
      </w:r>
      <w:r w:rsidRPr="004679EC">
        <w:rPr>
          <w:noProof/>
          <w:color w:val="000000" w:themeColor="text1"/>
          <w:position w:val="-6"/>
        </w:rPr>
        <w:t xml:space="preserve">, </w:t>
      </w:r>
      <w:r w:rsidRPr="004679EC">
        <w:rPr>
          <w:i/>
          <w:iCs/>
          <w:noProof/>
          <w:color w:val="000000" w:themeColor="text1"/>
          <w:position w:val="-6"/>
        </w:rPr>
        <w:t>87</w:t>
      </w:r>
      <w:r w:rsidRPr="004679EC">
        <w:rPr>
          <w:noProof/>
          <w:color w:val="000000" w:themeColor="text1"/>
          <w:position w:val="-6"/>
        </w:rPr>
        <w:t>, 186401.</w:t>
      </w:r>
    </w:p>
    <w:p w14:paraId="062415C8" w14:textId="77777777" w:rsidR="00E328B3" w:rsidRPr="004679EC" w:rsidRDefault="00E328B3" w:rsidP="00E328B3">
      <w:pPr>
        <w:pStyle w:val="a7"/>
        <w:numPr>
          <w:ilvl w:val="0"/>
          <w:numId w:val="1"/>
        </w:numPr>
        <w:spacing w:line="312" w:lineRule="auto"/>
        <w:ind w:firstLineChars="0"/>
        <w:textAlignment w:val="center"/>
        <w:rPr>
          <w:noProof/>
          <w:color w:val="000000" w:themeColor="text1"/>
          <w:position w:val="-6"/>
        </w:rPr>
      </w:pPr>
      <w:r w:rsidRPr="004679EC">
        <w:rPr>
          <w:b/>
          <w:bCs/>
          <w:noProof/>
          <w:color w:val="000000" w:themeColor="text1"/>
          <w:position w:val="-6"/>
        </w:rPr>
        <w:t xml:space="preserve">Gull, E.; Millis, A. J.; Lichtenstein, A. I.; et al. </w:t>
      </w:r>
      <w:r w:rsidRPr="004679EC">
        <w:rPr>
          <w:i/>
          <w:iCs/>
          <w:noProof/>
          <w:color w:val="000000" w:themeColor="text1"/>
          <w:position w:val="-6"/>
        </w:rPr>
        <w:t>Continuous-Time Monte Carlo Methods for Quantum Impurity Models</w:t>
      </w:r>
      <w:r w:rsidRPr="004679EC">
        <w:rPr>
          <w:noProof/>
          <w:color w:val="000000" w:themeColor="text1"/>
          <w:position w:val="-6"/>
        </w:rPr>
        <w:t xml:space="preserve">. Rev. Mod. Phys. </w:t>
      </w:r>
      <w:r w:rsidRPr="004679EC">
        <w:rPr>
          <w:b/>
          <w:bCs/>
          <w:noProof/>
          <w:color w:val="000000" w:themeColor="text1"/>
          <w:position w:val="-6"/>
        </w:rPr>
        <w:t>2011</w:t>
      </w:r>
      <w:r w:rsidRPr="004679EC">
        <w:rPr>
          <w:noProof/>
          <w:color w:val="000000" w:themeColor="text1"/>
          <w:position w:val="-6"/>
        </w:rPr>
        <w:t xml:space="preserve">, </w:t>
      </w:r>
      <w:r w:rsidRPr="004679EC">
        <w:rPr>
          <w:i/>
          <w:iCs/>
          <w:noProof/>
          <w:color w:val="000000" w:themeColor="text1"/>
          <w:position w:val="-6"/>
        </w:rPr>
        <w:t>83</w:t>
      </w:r>
      <w:r w:rsidRPr="004679EC">
        <w:rPr>
          <w:noProof/>
          <w:color w:val="000000" w:themeColor="text1"/>
          <w:position w:val="-6"/>
        </w:rPr>
        <w:t xml:space="preserve">, 349–404. </w:t>
      </w:r>
    </w:p>
    <w:p w14:paraId="31643D2C" w14:textId="77777777" w:rsidR="00E328B3" w:rsidRPr="004679EC" w:rsidRDefault="00E328B3" w:rsidP="00E328B3">
      <w:pPr>
        <w:pStyle w:val="a7"/>
        <w:numPr>
          <w:ilvl w:val="0"/>
          <w:numId w:val="1"/>
        </w:numPr>
        <w:spacing w:line="312" w:lineRule="auto"/>
        <w:ind w:firstLineChars="0"/>
        <w:textAlignment w:val="center"/>
        <w:rPr>
          <w:noProof/>
          <w:color w:val="000000" w:themeColor="text1"/>
          <w:position w:val="-6"/>
        </w:rPr>
      </w:pPr>
      <w:r w:rsidRPr="004679EC">
        <w:rPr>
          <w:b/>
          <w:bCs/>
          <w:noProof/>
          <w:color w:val="000000" w:themeColor="text1"/>
          <w:position w:val="-6"/>
        </w:rPr>
        <w:t>Haule, K.</w:t>
      </w:r>
      <w:r w:rsidRPr="004679EC">
        <w:rPr>
          <w:i/>
          <w:iCs/>
          <w:noProof/>
          <w:color w:val="000000" w:themeColor="text1"/>
          <w:position w:val="-6"/>
        </w:rPr>
        <w:t>Quantum Monte Carlo Impurity Solver for Cluster Dynamical Mean-Field Theory</w:t>
      </w:r>
      <w:r w:rsidRPr="004679EC">
        <w:rPr>
          <w:noProof/>
          <w:color w:val="000000" w:themeColor="text1"/>
          <w:position w:val="-6"/>
        </w:rPr>
        <w:t xml:space="preserve">. Phys. Rev. B </w:t>
      </w:r>
      <w:r w:rsidRPr="004679EC">
        <w:rPr>
          <w:b/>
          <w:bCs/>
          <w:noProof/>
          <w:color w:val="000000" w:themeColor="text1"/>
          <w:position w:val="-6"/>
        </w:rPr>
        <w:t>2007</w:t>
      </w:r>
      <w:r w:rsidRPr="004679EC">
        <w:rPr>
          <w:noProof/>
          <w:color w:val="000000" w:themeColor="text1"/>
          <w:position w:val="-6"/>
        </w:rPr>
        <w:t xml:space="preserve">, </w:t>
      </w:r>
      <w:r w:rsidRPr="004679EC">
        <w:rPr>
          <w:i/>
          <w:iCs/>
          <w:noProof/>
          <w:color w:val="000000" w:themeColor="text1"/>
          <w:position w:val="-6"/>
        </w:rPr>
        <w:t>75</w:t>
      </w:r>
      <w:r w:rsidRPr="004679EC">
        <w:rPr>
          <w:noProof/>
          <w:color w:val="000000" w:themeColor="text1"/>
          <w:position w:val="-6"/>
        </w:rPr>
        <w:t>, 155113.</w:t>
      </w:r>
      <w:r w:rsidRPr="004679EC">
        <w:rPr>
          <w:rFonts w:hint="eastAsia"/>
          <w:noProof/>
          <w:color w:val="000000" w:themeColor="text1"/>
          <w:position w:val="-6"/>
        </w:rPr>
        <w:t xml:space="preserve"> </w:t>
      </w:r>
    </w:p>
    <w:p w14:paraId="2A427A82" w14:textId="77777777" w:rsidR="001579E5" w:rsidRDefault="001579E5"/>
    <w:sectPr w:rsidR="001579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44D50" w14:textId="77777777" w:rsidR="00B47A01" w:rsidRDefault="00B47A01" w:rsidP="00E328B3">
      <w:r>
        <w:separator/>
      </w:r>
    </w:p>
  </w:endnote>
  <w:endnote w:type="continuationSeparator" w:id="0">
    <w:p w14:paraId="0F9B0624" w14:textId="77777777" w:rsidR="00B47A01" w:rsidRDefault="00B47A01" w:rsidP="00E3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88C6" w14:textId="77777777" w:rsidR="00B47A01" w:rsidRDefault="00B47A01" w:rsidP="00E328B3">
      <w:r>
        <w:separator/>
      </w:r>
    </w:p>
  </w:footnote>
  <w:footnote w:type="continuationSeparator" w:id="0">
    <w:p w14:paraId="4F1D6D22" w14:textId="77777777" w:rsidR="00B47A01" w:rsidRDefault="00B47A01" w:rsidP="00E3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E516C"/>
    <w:multiLevelType w:val="multilevel"/>
    <w:tmpl w:val="D2AC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210AB"/>
    <w:multiLevelType w:val="hybridMultilevel"/>
    <w:tmpl w:val="28E0642A"/>
    <w:lvl w:ilvl="0" w:tplc="A4E68E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AC1A8B"/>
    <w:multiLevelType w:val="multilevel"/>
    <w:tmpl w:val="06CE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91"/>
    <w:rsid w:val="001579E5"/>
    <w:rsid w:val="0052151E"/>
    <w:rsid w:val="00610591"/>
    <w:rsid w:val="009D4181"/>
    <w:rsid w:val="00B47A01"/>
    <w:rsid w:val="00C849F7"/>
    <w:rsid w:val="00E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EC9214"/>
  <w14:defaultImageDpi w14:val="32767"/>
  <w15:chartTrackingRefBased/>
  <w15:docId w15:val="{871CAD26-0F64-452A-B67B-98ABAAA3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4181"/>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8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28B3"/>
    <w:rPr>
      <w:sz w:val="18"/>
      <w:szCs w:val="18"/>
    </w:rPr>
  </w:style>
  <w:style w:type="paragraph" w:styleId="a5">
    <w:name w:val="footer"/>
    <w:basedOn w:val="a"/>
    <w:link w:val="a6"/>
    <w:uiPriority w:val="99"/>
    <w:unhideWhenUsed/>
    <w:rsid w:val="00E328B3"/>
    <w:pPr>
      <w:tabs>
        <w:tab w:val="center" w:pos="4153"/>
        <w:tab w:val="right" w:pos="8306"/>
      </w:tabs>
      <w:snapToGrid w:val="0"/>
      <w:jc w:val="left"/>
    </w:pPr>
    <w:rPr>
      <w:sz w:val="18"/>
      <w:szCs w:val="18"/>
    </w:rPr>
  </w:style>
  <w:style w:type="character" w:customStyle="1" w:styleId="a6">
    <w:name w:val="页脚 字符"/>
    <w:basedOn w:val="a0"/>
    <w:link w:val="a5"/>
    <w:uiPriority w:val="99"/>
    <w:rsid w:val="00E328B3"/>
    <w:rPr>
      <w:sz w:val="18"/>
      <w:szCs w:val="18"/>
    </w:rPr>
  </w:style>
  <w:style w:type="paragraph" w:styleId="a7">
    <w:name w:val="List Paragraph"/>
    <w:basedOn w:val="a"/>
    <w:uiPriority w:val="34"/>
    <w:qFormat/>
    <w:rsid w:val="00E328B3"/>
    <w:pPr>
      <w:ind w:firstLineChars="200" w:firstLine="420"/>
    </w:pPr>
    <w:rPr>
      <w:rFonts w:ascii="Times New Roman" w:eastAsia="Times New Roman" w:hAnsi="Times New Roman"/>
      <w:szCs w:val="21"/>
    </w:rPr>
  </w:style>
  <w:style w:type="character" w:customStyle="1" w:styleId="10">
    <w:name w:val="标题 1 字符"/>
    <w:basedOn w:val="a0"/>
    <w:link w:val="1"/>
    <w:uiPriority w:val="9"/>
    <w:rsid w:val="009D418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dc:creator>
  <cp:keywords/>
  <dc:description/>
  <cp:lastModifiedBy>MLM</cp:lastModifiedBy>
  <cp:revision>2</cp:revision>
  <dcterms:created xsi:type="dcterms:W3CDTF">2025-04-29T06:54:00Z</dcterms:created>
  <dcterms:modified xsi:type="dcterms:W3CDTF">2025-04-29T08:42:00Z</dcterms:modified>
</cp:coreProperties>
</file>