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alk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Table X. Comprehensive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Clinicopathological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and Biomarker Profiles of Patients with Breast Cancer</w:t>
      </w:r>
    </w:p>
    <w:tbl>
      <w:tblPr>
        <w:tblStyle w:val="TabloKlavuzu"/>
        <w:tblpPr w:leftFromText="141" w:rightFromText="141" w:vertAnchor="text" w:horzAnchor="margin" w:tblpXSpec="center" w:tblpY="508"/>
        <w:tblW w:w="13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7"/>
        <w:gridCol w:w="996"/>
        <w:gridCol w:w="996"/>
        <w:gridCol w:w="996"/>
        <w:gridCol w:w="996"/>
        <w:gridCol w:w="996"/>
        <w:gridCol w:w="997"/>
      </w:tblGrid>
      <w:t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Patient ID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Age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First-Degree Family History of Breast Cancer ( n)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Pathogenic Germline Mutation Status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Personal History of Breast Cancer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Pathological Findings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Histological Grade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Estrogen Receptor (ER, %)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Progesterone Receptor (PR, %)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HER2 Status (IHC/FISH)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Ki-67 Proliferation Index (%)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 Stage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 Stage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 Stage</w:t>
            </w:r>
          </w:p>
        </w:tc>
      </w:tr>
      <w:tr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55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38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76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carcinoma; Additional: Lobular carcinoma in situ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2.0,3.0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LVI: Positive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44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LVI: Positive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52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83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  <w:bookmarkStart w:id="0" w:name="_GoBack"/>
            <w:bookmarkEnd w:id="0"/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2+ (FISH positive)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68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Ductal carcinoma in situ (DCIS)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45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84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Primary: Invasive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39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Additional: Invasive lobular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91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Malignant tumor with mesenchymal component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Not Available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77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69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Additional: Ductal carcinoma in situ (DCIS); LVI: Positive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2+ (FISH positive)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carcinoma; LVI: Positive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47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66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52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 (IHC)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76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Additional: Ductal carcinoma in situ (DCIS)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84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lobular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73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carcinoma; Additional: Invasive micropapillary carcinoma; LVI: Positive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56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Present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Primary: Invasive ductal carcinoma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>
      <w:pPr>
        <w:pStyle w:val="Balk1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  <w:t xml:space="preserve">Abbreviations: ER, estrogen receptor; PR, progesterone receptor; HER2, human epidermal growth factor receptor 2; IHC, immunohistochemistry; FISH, fluorescence in situ hybridization, LVI, </w:t>
      </w:r>
      <w:proofErr w:type="spellStart"/>
      <w:r>
        <w:rPr>
          <w:rFonts w:ascii="Times New Roman" w:hAnsi="Times New Roman" w:cs="Times New Roman"/>
          <w:sz w:val="16"/>
          <w:szCs w:val="16"/>
        </w:rPr>
        <w:t>lymphovascular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invasion.</w:t>
      </w:r>
    </w:p>
    <w:sectPr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643D46-A85C-44AB-85A3-869E74B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</w:style>
  <w:style w:type="paragraph" w:styleId="GvdeMetni2">
    <w:name w:val="Body Text 2"/>
    <w:basedOn w:val="Normal"/>
    <w:link w:val="GvdeMetni2Char"/>
    <w:uiPriority w:val="99"/>
    <w:unhideWhenUsed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</w:style>
  <w:style w:type="paragraph" w:styleId="GvdeMetni3">
    <w:name w:val="Body Text 3"/>
    <w:basedOn w:val="Normal"/>
    <w:link w:val="GvdeMetni3Char"/>
    <w:uiPriority w:val="99"/>
    <w:unhideWhenUsed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outlineLvl w:val="9"/>
    </w:p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57A367-4EB0-4E4C-B786-7133F99A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Emre Utkan Büyükceran</cp:lastModifiedBy>
  <cp:revision>12</cp:revision>
  <dcterms:created xsi:type="dcterms:W3CDTF">2025-05-07T11:58:00Z</dcterms:created>
  <dcterms:modified xsi:type="dcterms:W3CDTF">2025-05-08T07:19:00Z</dcterms:modified>
  <cp:category/>
</cp:coreProperties>
</file>