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42A" w:rsidRDefault="0087342A" w:rsidP="0087342A">
      <w:pPr>
        <w:spacing w:line="480" w:lineRule="auto"/>
        <w:ind w:left="284" w:hanging="284"/>
        <w:jc w:val="both"/>
        <w:rPr>
          <w:rFonts w:ascii="Arial" w:hAnsi="Arial" w:cs="Arial"/>
          <w:b/>
          <w:bCs/>
          <w:color w:val="auto"/>
          <w:lang w:val="en-GB"/>
        </w:rPr>
      </w:pPr>
      <w:r>
        <w:rPr>
          <w:rFonts w:ascii="Arial" w:hAnsi="Arial" w:cs="Arial"/>
          <w:b/>
          <w:bCs/>
          <w:color w:val="auto"/>
          <w:lang w:val="en-GB"/>
        </w:rPr>
        <w:t xml:space="preserve">Supplement: </w:t>
      </w:r>
      <w:r w:rsidRPr="001219C1">
        <w:rPr>
          <w:rFonts w:ascii="Arial" w:hAnsi="Arial" w:cs="Arial"/>
          <w:b/>
          <w:bCs/>
          <w:color w:val="auto"/>
          <w:lang w:val="en-GB"/>
        </w:rPr>
        <w:t>Material and methods</w:t>
      </w:r>
    </w:p>
    <w:p w:rsidR="0087342A" w:rsidRPr="0087342A" w:rsidRDefault="0087342A" w:rsidP="0087342A">
      <w:pPr>
        <w:spacing w:line="480" w:lineRule="auto"/>
        <w:ind w:left="284" w:hanging="284"/>
        <w:jc w:val="both"/>
        <w:rPr>
          <w:rFonts w:ascii="Arial" w:hAnsi="Arial"/>
          <w:b/>
          <w:bCs/>
          <w:color w:val="auto"/>
          <w:lang w:val="en-GB"/>
        </w:rPr>
      </w:pPr>
    </w:p>
    <w:p w:rsidR="004F2AC1" w:rsidRPr="001219C1" w:rsidRDefault="004F2AC1" w:rsidP="004F2AC1">
      <w:pPr>
        <w:autoSpaceDE w:val="0"/>
        <w:autoSpaceDN w:val="0"/>
        <w:adjustRightInd w:val="0"/>
        <w:spacing w:line="480" w:lineRule="auto"/>
        <w:rPr>
          <w:rFonts w:ascii="Arial" w:hAnsi="Arial" w:cs="Arial"/>
          <w:i/>
          <w:lang w:val="en-GB"/>
        </w:rPr>
      </w:pPr>
      <w:r w:rsidRPr="001219C1">
        <w:rPr>
          <w:rFonts w:ascii="Arial" w:hAnsi="Arial" w:cs="Arial"/>
          <w:i/>
          <w:lang w:val="en-GB"/>
        </w:rPr>
        <w:t>Patient management</w:t>
      </w:r>
    </w:p>
    <w:p w:rsidR="004F2AC1" w:rsidRPr="001219C1" w:rsidRDefault="004F2AC1" w:rsidP="004F2AC1">
      <w:pPr>
        <w:autoSpaceDE w:val="0"/>
        <w:autoSpaceDN w:val="0"/>
        <w:adjustRightInd w:val="0"/>
        <w:spacing w:line="480" w:lineRule="auto"/>
        <w:jc w:val="both"/>
        <w:rPr>
          <w:rFonts w:ascii="Arial" w:hAnsi="Arial" w:cs="Arial"/>
          <w:lang w:val="en-GB"/>
        </w:rPr>
      </w:pPr>
      <w:r w:rsidRPr="001219C1">
        <w:rPr>
          <w:rFonts w:ascii="Arial" w:hAnsi="Arial" w:cs="Arial"/>
          <w:lang w:val="en-GB"/>
        </w:rPr>
        <w:t xml:space="preserve">OHCA patients were admitted to the medical ICU. Invasive hemodynamic monitoring of patients was performed with a pressure catheter in the radial artery. Crystalloid fluids were administered in all patients to achieve general treatment goals for a central venous pressure of 10–15 mmHg to optimize right heart filling pressure and achieve urine output &gt;1.5 mL/kg/h. The hemodynamic target was mean arterial pressure &gt;65 mmHg to ensure sufficient organ perfusion. Vasopressor agents were used if volume substitution alone did not result in adequate </w:t>
      </w:r>
      <w:proofErr w:type="spellStart"/>
      <w:r w:rsidRPr="001219C1">
        <w:rPr>
          <w:rFonts w:ascii="Arial" w:hAnsi="Arial" w:cs="Arial"/>
          <w:lang w:val="en-GB"/>
        </w:rPr>
        <w:t>hemodynamics</w:t>
      </w:r>
      <w:proofErr w:type="spellEnd"/>
      <w:r w:rsidRPr="001219C1">
        <w:rPr>
          <w:rFonts w:ascii="Arial" w:hAnsi="Arial" w:cs="Arial"/>
          <w:lang w:val="en-GB"/>
        </w:rPr>
        <w:t xml:space="preserve"> or was not feasible. Clinical and laboratory data were extracted from the ICU's computer organised patient report assistant patient data management system (COPRA system GmbH, Berlin, Germany). Targeted temperature management after ROSC was applied according to ERC guidelines</w:t>
      </w:r>
      <w:r>
        <w:rPr>
          <w:rFonts w:ascii="Arial" w:hAnsi="Arial" w:cs="Arial"/>
          <w:lang w:val="en-GB"/>
        </w:rPr>
        <w:t xml:space="preserve"> [</w:t>
      </w:r>
      <w:r w:rsidR="00C8290B" w:rsidRPr="00C8290B">
        <w:rPr>
          <w:rFonts w:ascii="Arial" w:hAnsi="Arial" w:cs="Arial"/>
          <w:color w:val="00B0F0"/>
          <w:lang w:val="en-GB"/>
        </w:rPr>
        <w:t>S1</w:t>
      </w:r>
      <w:r>
        <w:rPr>
          <w:rFonts w:ascii="Arial" w:hAnsi="Arial" w:cs="Arial"/>
          <w:lang w:val="en-GB"/>
        </w:rPr>
        <w:t>]</w:t>
      </w:r>
      <w:r w:rsidRPr="001219C1">
        <w:rPr>
          <w:rFonts w:ascii="Arial" w:hAnsi="Arial" w:cs="Arial"/>
          <w:lang w:val="en-GB"/>
        </w:rPr>
        <w:t xml:space="preserve">. </w:t>
      </w:r>
    </w:p>
    <w:p w:rsidR="004F2AC1" w:rsidRDefault="004F2AC1" w:rsidP="004F2AC1">
      <w:pPr>
        <w:shd w:val="clear" w:color="auto" w:fill="FFFFFF"/>
        <w:spacing w:after="60" w:line="480" w:lineRule="auto"/>
        <w:jc w:val="both"/>
        <w:rPr>
          <w:rFonts w:ascii="Arial" w:hAnsi="Arial" w:cs="Arial"/>
          <w:lang w:val="en-GB"/>
        </w:rPr>
      </w:pPr>
      <w:r w:rsidRPr="001219C1">
        <w:rPr>
          <w:rFonts w:ascii="Arial" w:hAnsi="Arial" w:cs="Arial"/>
          <w:lang w:val="en-GB"/>
        </w:rPr>
        <w:t xml:space="preserve">Primary cardiac causes (e.g. </w:t>
      </w:r>
      <w:r>
        <w:rPr>
          <w:rFonts w:ascii="Arial" w:hAnsi="Arial" w:cs="Arial"/>
          <w:lang w:val="en-GB"/>
        </w:rPr>
        <w:t>acute myocardial infarction, A</w:t>
      </w:r>
      <w:r w:rsidRPr="001219C1">
        <w:rPr>
          <w:rFonts w:ascii="Arial" w:hAnsi="Arial" w:cs="Arial"/>
          <w:color w:val="auto"/>
          <w:lang w:val="en-GB"/>
        </w:rPr>
        <w:t>MI</w:t>
      </w:r>
      <w:r w:rsidRPr="001219C1">
        <w:rPr>
          <w:rFonts w:ascii="Arial" w:hAnsi="Arial" w:cs="Arial"/>
          <w:lang w:val="en-GB"/>
        </w:rPr>
        <w:t xml:space="preserve">, </w:t>
      </w:r>
      <w:proofErr w:type="spellStart"/>
      <w:r w:rsidRPr="001219C1">
        <w:rPr>
          <w:rFonts w:ascii="Arial" w:hAnsi="Arial" w:cs="Arial"/>
          <w:lang w:val="en-GB"/>
        </w:rPr>
        <w:t>arrhythmogeni</w:t>
      </w:r>
      <w:r>
        <w:rPr>
          <w:rFonts w:ascii="Arial" w:hAnsi="Arial" w:cs="Arial"/>
          <w:lang w:val="en-GB"/>
        </w:rPr>
        <w:t>c</w:t>
      </w:r>
      <w:proofErr w:type="spellEnd"/>
      <w:r>
        <w:rPr>
          <w:rFonts w:ascii="Arial" w:hAnsi="Arial" w:cs="Arial"/>
          <w:lang w:val="en-GB"/>
        </w:rPr>
        <w:t xml:space="preserve"> cardiomyopathies, myocarditis</w:t>
      </w:r>
      <w:r w:rsidRPr="001219C1">
        <w:rPr>
          <w:rFonts w:ascii="Arial" w:hAnsi="Arial" w:cs="Arial"/>
          <w:lang w:val="en-GB"/>
        </w:rPr>
        <w:t xml:space="preserve">) were distinguished from primary non-cardiac causes of </w:t>
      </w:r>
      <w:r w:rsidRPr="001219C1">
        <w:rPr>
          <w:rFonts w:ascii="Arial" w:hAnsi="Arial" w:cs="Arial"/>
          <w:color w:val="auto"/>
          <w:lang w:val="en-GB"/>
        </w:rPr>
        <w:t>OHCA</w:t>
      </w:r>
      <w:r w:rsidRPr="001219C1">
        <w:rPr>
          <w:rFonts w:ascii="Arial" w:hAnsi="Arial" w:cs="Arial"/>
          <w:lang w:val="en-GB"/>
        </w:rPr>
        <w:t xml:space="preserve"> (e.g. acute respiratory failure, electrolyte disturbances, acute haemorrhage, acute neurological disorders, </w:t>
      </w:r>
      <w:proofErr w:type="gramStart"/>
      <w:r>
        <w:rPr>
          <w:rFonts w:ascii="Arial" w:hAnsi="Arial" w:cs="Arial"/>
          <w:lang w:val="en-GB"/>
        </w:rPr>
        <w:t>intoxications</w:t>
      </w:r>
      <w:proofErr w:type="gramEnd"/>
      <w:r w:rsidRPr="001219C1">
        <w:rPr>
          <w:rFonts w:ascii="Arial" w:hAnsi="Arial" w:cs="Arial"/>
          <w:lang w:val="en-GB"/>
        </w:rPr>
        <w:t>). The cause of OHCA was defined in consultation with the intensive care physician, emergency physician</w:t>
      </w:r>
      <w:r>
        <w:rPr>
          <w:rFonts w:ascii="Arial" w:hAnsi="Arial" w:cs="Arial"/>
          <w:lang w:val="en-GB"/>
        </w:rPr>
        <w:t xml:space="preserve"> and</w:t>
      </w:r>
      <w:r w:rsidRPr="001219C1">
        <w:rPr>
          <w:rFonts w:ascii="Arial" w:hAnsi="Arial" w:cs="Arial"/>
          <w:lang w:val="en-GB"/>
        </w:rPr>
        <w:t xml:space="preserve"> interventional cardiologist. A presumed </w:t>
      </w:r>
      <w:r w:rsidRPr="001219C1">
        <w:rPr>
          <w:rFonts w:ascii="Arial" w:hAnsi="Arial" w:cs="Arial"/>
          <w:color w:val="auto"/>
          <w:lang w:val="en-GB"/>
        </w:rPr>
        <w:t>AMI</w:t>
      </w:r>
      <w:r w:rsidRPr="001219C1">
        <w:rPr>
          <w:rFonts w:ascii="Arial" w:hAnsi="Arial" w:cs="Arial"/>
          <w:lang w:val="en-GB"/>
        </w:rPr>
        <w:t xml:space="preserve"> as underlying cause of </w:t>
      </w:r>
      <w:r w:rsidRPr="001219C1">
        <w:rPr>
          <w:rFonts w:ascii="Arial" w:hAnsi="Arial" w:cs="Arial"/>
          <w:color w:val="auto"/>
          <w:lang w:val="en-GB"/>
        </w:rPr>
        <w:t>OHCA</w:t>
      </w:r>
      <w:r w:rsidRPr="001219C1">
        <w:rPr>
          <w:rFonts w:ascii="Arial" w:hAnsi="Arial" w:cs="Arial"/>
          <w:lang w:val="en-GB"/>
        </w:rPr>
        <w:t xml:space="preserve"> was more likely with or defined as (1) a history of chest pain prior to collapse, (2) a known history of coronary artery disease, (3) ST elevations on the initial ECG after ROSC together with an acute coronary vessel occlusion or ruptured unstable plaque on coronary angiography.</w:t>
      </w:r>
    </w:p>
    <w:p w:rsidR="00F6399C" w:rsidRDefault="00F6399C" w:rsidP="004F2AC1">
      <w:pPr>
        <w:shd w:val="clear" w:color="auto" w:fill="FFFFFF"/>
        <w:spacing w:after="60" w:line="480" w:lineRule="auto"/>
        <w:jc w:val="both"/>
        <w:rPr>
          <w:rFonts w:ascii="Arial" w:hAnsi="Arial" w:cs="Arial"/>
          <w:lang w:val="en-GB"/>
        </w:rPr>
      </w:pPr>
    </w:p>
    <w:p w:rsidR="00F6399C" w:rsidRDefault="00F6399C" w:rsidP="004F2AC1">
      <w:pPr>
        <w:shd w:val="clear" w:color="auto" w:fill="FFFFFF"/>
        <w:spacing w:after="60" w:line="480" w:lineRule="auto"/>
        <w:jc w:val="both"/>
        <w:rPr>
          <w:rFonts w:ascii="Arial" w:hAnsi="Arial" w:cs="Arial"/>
          <w:lang w:val="en-GB"/>
        </w:rPr>
      </w:pPr>
    </w:p>
    <w:p w:rsidR="00F6399C" w:rsidRPr="001219C1" w:rsidRDefault="00F6399C" w:rsidP="00F6399C">
      <w:pPr>
        <w:pStyle w:val="Listenabsatz"/>
        <w:spacing w:after="60" w:line="480" w:lineRule="auto"/>
        <w:ind w:left="0"/>
        <w:jc w:val="both"/>
        <w:rPr>
          <w:rFonts w:ascii="Arial" w:hAnsi="Arial" w:cs="Arial"/>
          <w:i/>
          <w:color w:val="auto"/>
          <w:lang w:val="en-GB"/>
        </w:rPr>
      </w:pPr>
      <w:r w:rsidRPr="001219C1">
        <w:rPr>
          <w:rFonts w:ascii="Arial" w:hAnsi="Arial" w:cs="Arial"/>
          <w:i/>
          <w:color w:val="auto"/>
          <w:lang w:val="en-GB"/>
        </w:rPr>
        <w:lastRenderedPageBreak/>
        <w:t>Outcomes</w:t>
      </w:r>
    </w:p>
    <w:p w:rsidR="00F6399C" w:rsidRPr="004E0D3C" w:rsidRDefault="00F6399C" w:rsidP="00F6399C">
      <w:pPr>
        <w:shd w:val="clear" w:color="auto" w:fill="FFFFFF"/>
        <w:spacing w:after="60" w:line="480" w:lineRule="auto"/>
        <w:jc w:val="both"/>
        <w:rPr>
          <w:rFonts w:ascii="Arial" w:hAnsi="Arial" w:cs="Arial"/>
          <w:lang w:val="en-GB"/>
        </w:rPr>
      </w:pPr>
      <w:r w:rsidRPr="001219C1">
        <w:rPr>
          <w:rFonts w:ascii="Arial" w:hAnsi="Arial" w:cs="Arial"/>
          <w:lang w:val="en-GB"/>
        </w:rPr>
        <w:t xml:space="preserve">Neurological outcome after OHCA was evaluated according to the Glasgow–Pittsburgh Cerebral Performance Category (CPC) at hospital discharge. The CPC comprises 5 categories: CPC 1 (good recovery), CPC 2 (moderate disability), CPC 3 (severe </w:t>
      </w:r>
      <w:r w:rsidRPr="004E0D3C">
        <w:rPr>
          <w:rFonts w:ascii="Arial" w:hAnsi="Arial" w:cs="Arial"/>
          <w:lang w:val="en-GB"/>
        </w:rPr>
        <w:t>disability), CPC 4 (vegetative state) and CPC 5 (d</w:t>
      </w:r>
      <w:r w:rsidRPr="002D4887">
        <w:rPr>
          <w:rFonts w:ascii="Arial" w:hAnsi="Arial" w:cs="Arial"/>
          <w:lang w:val="en-GB"/>
        </w:rPr>
        <w:t>eath). To obtain dichotomous outcome variables, CPC 1 and CPC 2 were classified as favo</w:t>
      </w:r>
      <w:r>
        <w:rPr>
          <w:rFonts w:ascii="Arial" w:hAnsi="Arial" w:cs="Arial"/>
          <w:lang w:val="en-GB"/>
        </w:rPr>
        <w:t>u</w:t>
      </w:r>
      <w:r w:rsidRPr="002D4887">
        <w:rPr>
          <w:rFonts w:ascii="Arial" w:hAnsi="Arial" w:cs="Arial"/>
          <w:lang w:val="en-GB"/>
        </w:rPr>
        <w:t xml:space="preserve">rable, whereas CPC 3 to CPC 5 </w:t>
      </w:r>
      <w:proofErr w:type="gramStart"/>
      <w:r w:rsidRPr="002D4887">
        <w:rPr>
          <w:rFonts w:ascii="Arial" w:hAnsi="Arial" w:cs="Arial"/>
          <w:lang w:val="en-GB"/>
        </w:rPr>
        <w:t>were</w:t>
      </w:r>
      <w:proofErr w:type="gramEnd"/>
      <w:r w:rsidRPr="002D4887">
        <w:rPr>
          <w:rFonts w:ascii="Arial" w:hAnsi="Arial" w:cs="Arial"/>
          <w:lang w:val="en-GB"/>
        </w:rPr>
        <w:t xml:space="preserve"> deemed poor neurological outcomes.</w:t>
      </w:r>
    </w:p>
    <w:p w:rsidR="004F2AC1" w:rsidRPr="001219C1" w:rsidRDefault="004F2AC1" w:rsidP="004F2AC1">
      <w:pPr>
        <w:shd w:val="clear" w:color="auto" w:fill="FFFFFF"/>
        <w:spacing w:after="60" w:line="480" w:lineRule="auto"/>
        <w:jc w:val="both"/>
        <w:rPr>
          <w:rFonts w:ascii="Arial" w:hAnsi="Arial" w:cs="Arial"/>
          <w:lang w:val="en-GB"/>
        </w:rPr>
      </w:pPr>
    </w:p>
    <w:p w:rsidR="0087342A" w:rsidRPr="001219C1" w:rsidRDefault="0087342A" w:rsidP="0087342A">
      <w:pPr>
        <w:shd w:val="clear" w:color="auto" w:fill="FFFFFF"/>
        <w:spacing w:after="60" w:line="480" w:lineRule="auto"/>
        <w:jc w:val="both"/>
        <w:rPr>
          <w:rFonts w:ascii="Arial" w:hAnsi="Arial" w:cs="Arial"/>
          <w:i/>
          <w:color w:val="000033"/>
          <w:lang w:val="en-GB" w:eastAsia="de-DE"/>
        </w:rPr>
      </w:pPr>
      <w:r w:rsidRPr="001219C1">
        <w:rPr>
          <w:rFonts w:ascii="Arial" w:hAnsi="Arial" w:cs="Arial"/>
          <w:i/>
          <w:color w:val="000033"/>
          <w:lang w:val="en-GB" w:eastAsia="de-DE"/>
        </w:rPr>
        <w:t>Echocardiography</w:t>
      </w:r>
    </w:p>
    <w:p w:rsidR="0087342A" w:rsidRPr="001219C1" w:rsidRDefault="0087342A" w:rsidP="0087342A">
      <w:pPr>
        <w:shd w:val="clear" w:color="auto" w:fill="FFFFFF"/>
        <w:spacing w:after="60" w:line="480" w:lineRule="auto"/>
        <w:jc w:val="both"/>
        <w:rPr>
          <w:rFonts w:ascii="Arial" w:hAnsi="Arial" w:cs="Arial"/>
          <w:lang w:val="en-GB"/>
        </w:rPr>
      </w:pPr>
      <w:r w:rsidRPr="001219C1">
        <w:rPr>
          <w:rFonts w:ascii="Arial" w:hAnsi="Arial" w:cs="Arial"/>
          <w:lang w:val="en-GB"/>
        </w:rPr>
        <w:t xml:space="preserve">The 2021 ERC guidelines recommend early (as soon as possible) echocardiography in all patients to detect any underlying cardiac pathology and to quantify the degree of myocardial dysfunction. As recommended, 100% of the OHCA cohort underwent transthoracic echocardiography immediately after hospital admission by experienced emergency or intensive care physicians. In all OHCA patients echocardiography was used to assess LVEF, pericardial tamponade, high-grade </w:t>
      </w:r>
      <w:proofErr w:type="spellStart"/>
      <w:r w:rsidRPr="001219C1">
        <w:rPr>
          <w:rFonts w:ascii="Arial" w:hAnsi="Arial" w:cs="Arial"/>
          <w:lang w:val="en-GB"/>
        </w:rPr>
        <w:t>valvular</w:t>
      </w:r>
      <w:proofErr w:type="spellEnd"/>
      <w:r w:rsidRPr="001219C1">
        <w:rPr>
          <w:rFonts w:ascii="Arial" w:hAnsi="Arial" w:cs="Arial"/>
          <w:lang w:val="en-GB"/>
        </w:rPr>
        <w:t xml:space="preserve"> disease and acute signs of right heart failure as an indirect indicator of pulmonary embolism.</w:t>
      </w:r>
    </w:p>
    <w:p w:rsidR="0087342A" w:rsidRPr="001219C1" w:rsidRDefault="0087342A" w:rsidP="0087342A">
      <w:pPr>
        <w:shd w:val="clear" w:color="auto" w:fill="FFFFFF"/>
        <w:spacing w:after="60" w:line="480" w:lineRule="auto"/>
        <w:jc w:val="both"/>
        <w:rPr>
          <w:rFonts w:ascii="Arial" w:hAnsi="Arial" w:cs="Arial"/>
          <w:color w:val="000033"/>
          <w:lang w:val="en-GB" w:eastAsia="de-DE"/>
        </w:rPr>
      </w:pPr>
    </w:p>
    <w:p w:rsidR="0087342A" w:rsidRPr="001219C1" w:rsidRDefault="0087342A" w:rsidP="0087342A">
      <w:pPr>
        <w:shd w:val="clear" w:color="auto" w:fill="FFFFFF"/>
        <w:spacing w:after="60" w:line="480" w:lineRule="auto"/>
        <w:jc w:val="both"/>
        <w:rPr>
          <w:rFonts w:ascii="Arial" w:hAnsi="Arial" w:cs="Arial"/>
          <w:i/>
          <w:color w:val="000033"/>
          <w:lang w:val="en-GB" w:eastAsia="de-DE"/>
        </w:rPr>
      </w:pPr>
      <w:r w:rsidRPr="001219C1">
        <w:rPr>
          <w:rFonts w:ascii="Arial" w:hAnsi="Arial" w:cs="Arial"/>
          <w:i/>
          <w:color w:val="000033"/>
          <w:lang w:val="en-GB" w:eastAsia="de-DE"/>
        </w:rPr>
        <w:t>Lactate measurements</w:t>
      </w:r>
    </w:p>
    <w:p w:rsidR="0087342A" w:rsidRPr="001219C1" w:rsidRDefault="0087342A" w:rsidP="0087342A">
      <w:pPr>
        <w:shd w:val="clear" w:color="auto" w:fill="FFFFFF"/>
        <w:spacing w:after="60" w:line="480" w:lineRule="auto"/>
        <w:jc w:val="both"/>
        <w:rPr>
          <w:rFonts w:ascii="Arial" w:hAnsi="Arial" w:cs="Arial"/>
          <w:color w:val="000033"/>
          <w:lang w:val="en-GB" w:eastAsia="de-DE"/>
        </w:rPr>
      </w:pPr>
      <w:proofErr w:type="gramStart"/>
      <w:r w:rsidRPr="001219C1">
        <w:rPr>
          <w:rFonts w:ascii="Arial" w:hAnsi="Arial" w:cs="Arial"/>
          <w:color w:val="000033"/>
          <w:lang w:val="en-GB" w:eastAsia="de-DE"/>
        </w:rPr>
        <w:t xml:space="preserve">Lactate </w:t>
      </w:r>
      <w:r>
        <w:rPr>
          <w:rFonts w:ascii="Arial" w:hAnsi="Arial" w:cs="Arial"/>
          <w:color w:val="000033"/>
          <w:lang w:val="en-GB" w:eastAsia="de-DE"/>
        </w:rPr>
        <w:t>(as</w:t>
      </w:r>
      <w:r w:rsidRPr="001219C1">
        <w:rPr>
          <w:rFonts w:ascii="Arial" w:hAnsi="Arial" w:cs="Arial"/>
          <w:color w:val="000033"/>
          <w:lang w:val="en-GB" w:eastAsia="de-DE"/>
        </w:rPr>
        <w:t xml:space="preserve"> part of the standardised blood gas analysis</w:t>
      </w:r>
      <w:r>
        <w:rPr>
          <w:rFonts w:ascii="Arial" w:hAnsi="Arial" w:cs="Arial"/>
          <w:color w:val="000033"/>
          <w:lang w:val="en-GB" w:eastAsia="de-DE"/>
        </w:rPr>
        <w:t>)</w:t>
      </w:r>
      <w:r w:rsidRPr="001219C1">
        <w:rPr>
          <w:rFonts w:ascii="Arial" w:hAnsi="Arial" w:cs="Arial"/>
          <w:color w:val="000033"/>
          <w:lang w:val="en-GB" w:eastAsia="de-DE"/>
        </w:rPr>
        <w:t xml:space="preserve"> were</w:t>
      </w:r>
      <w:proofErr w:type="gramEnd"/>
      <w:r w:rsidRPr="001219C1">
        <w:rPr>
          <w:rFonts w:ascii="Arial" w:hAnsi="Arial" w:cs="Arial"/>
          <w:color w:val="000033"/>
          <w:lang w:val="en-GB" w:eastAsia="de-DE"/>
        </w:rPr>
        <w:t xml:space="preserve"> carried out with the ABL800 Flex (Radiometer RSCH GmbH). After an OHCA, lactate elevations are </w:t>
      </w:r>
      <w:proofErr w:type="spellStart"/>
      <w:r w:rsidRPr="001219C1">
        <w:rPr>
          <w:rFonts w:ascii="Arial" w:hAnsi="Arial" w:cs="Arial"/>
          <w:color w:val="000033"/>
          <w:lang w:val="en-GB" w:eastAsia="de-DE"/>
        </w:rPr>
        <w:t>prognostically</w:t>
      </w:r>
      <w:proofErr w:type="spellEnd"/>
      <w:r w:rsidRPr="001219C1">
        <w:rPr>
          <w:rFonts w:ascii="Arial" w:hAnsi="Arial" w:cs="Arial"/>
          <w:color w:val="000033"/>
          <w:lang w:val="en-GB" w:eastAsia="de-DE"/>
        </w:rPr>
        <w:t xml:space="preserve"> relevant as markers for the no-flow time, i.e. the time from collapse to the start of cardiopulmonary resuscitation, and are determined as a result of systemic ischaemia. </w:t>
      </w:r>
      <w:r w:rsidRPr="001219C1">
        <w:rPr>
          <w:rFonts w:ascii="Arial" w:hAnsi="Arial" w:cs="Arial"/>
          <w:color w:val="auto"/>
          <w:lang w:val="en-GB"/>
        </w:rPr>
        <w:t xml:space="preserve">In the post-resuscitation period, persistently high lactate levels and impaired lactate clearance </w:t>
      </w:r>
      <w:r w:rsidRPr="001219C1">
        <w:rPr>
          <w:rFonts w:ascii="Arial" w:hAnsi="Arial" w:cs="Arial"/>
          <w:color w:val="000033"/>
          <w:lang w:val="en-GB" w:eastAsia="de-DE"/>
        </w:rPr>
        <w:t>&lt;1.5 m</w:t>
      </w:r>
      <w:r>
        <w:rPr>
          <w:rFonts w:ascii="Arial" w:hAnsi="Arial" w:cs="Arial"/>
          <w:color w:val="000033"/>
          <w:lang w:val="en-GB" w:eastAsia="de-DE"/>
        </w:rPr>
        <w:t>m</w:t>
      </w:r>
      <w:r w:rsidRPr="001219C1">
        <w:rPr>
          <w:rFonts w:ascii="Arial" w:hAnsi="Arial" w:cs="Arial"/>
          <w:color w:val="000033"/>
          <w:lang w:val="en-GB" w:eastAsia="de-DE"/>
        </w:rPr>
        <w:t>ol/</w:t>
      </w:r>
      <w:r>
        <w:rPr>
          <w:rFonts w:ascii="Arial" w:hAnsi="Arial" w:cs="Arial"/>
          <w:color w:val="000033"/>
          <w:lang w:val="en-GB" w:eastAsia="de-DE"/>
        </w:rPr>
        <w:t>L</w:t>
      </w:r>
      <w:r w:rsidRPr="001219C1">
        <w:rPr>
          <w:rFonts w:ascii="Arial" w:hAnsi="Arial" w:cs="Arial"/>
          <w:color w:val="000033"/>
          <w:lang w:val="en-GB" w:eastAsia="de-DE"/>
        </w:rPr>
        <w:t xml:space="preserve"> per hour </w:t>
      </w:r>
      <w:r w:rsidRPr="001219C1">
        <w:rPr>
          <w:rFonts w:ascii="Arial" w:hAnsi="Arial" w:cs="Arial"/>
          <w:color w:val="auto"/>
          <w:lang w:val="en-GB"/>
        </w:rPr>
        <w:t xml:space="preserve">serve as markers of ongoing hypoperfusion in shock and are independent predictors of </w:t>
      </w:r>
      <w:r w:rsidRPr="00424905">
        <w:rPr>
          <w:rFonts w:ascii="Arial" w:hAnsi="Arial" w:cs="Arial"/>
          <w:color w:val="auto"/>
          <w:lang w:val="en-GB"/>
        </w:rPr>
        <w:t>survival [</w:t>
      </w:r>
      <w:r w:rsidR="00C8290B">
        <w:rPr>
          <w:rFonts w:ascii="Arial" w:hAnsi="Arial" w:cs="Arial"/>
          <w:color w:val="00B0F0"/>
          <w:lang w:val="en-GB"/>
        </w:rPr>
        <w:t>S2</w:t>
      </w:r>
      <w:r w:rsidRPr="00424905">
        <w:rPr>
          <w:rFonts w:ascii="Arial" w:hAnsi="Arial" w:cs="Arial"/>
          <w:color w:val="auto"/>
          <w:lang w:val="en-GB"/>
        </w:rPr>
        <w:t>]</w:t>
      </w:r>
    </w:p>
    <w:p w:rsidR="0087342A" w:rsidRPr="001219C1" w:rsidRDefault="0087342A" w:rsidP="0087342A">
      <w:pPr>
        <w:shd w:val="clear" w:color="auto" w:fill="FFFFFF"/>
        <w:spacing w:after="60" w:line="480" w:lineRule="auto"/>
        <w:jc w:val="both"/>
        <w:rPr>
          <w:rFonts w:ascii="Arial" w:hAnsi="Arial" w:cs="Arial"/>
          <w:color w:val="auto"/>
          <w:lang w:val="en-GB"/>
        </w:rPr>
      </w:pPr>
    </w:p>
    <w:p w:rsidR="0087342A" w:rsidRPr="001219C1" w:rsidRDefault="0087342A" w:rsidP="0087342A">
      <w:pPr>
        <w:spacing w:line="480" w:lineRule="auto"/>
        <w:jc w:val="both"/>
        <w:rPr>
          <w:rFonts w:ascii="Arial" w:hAnsi="Arial" w:cs="Arial"/>
          <w:color w:val="auto"/>
          <w:lang w:val="en-GB"/>
        </w:rPr>
      </w:pPr>
      <w:r w:rsidRPr="001219C1">
        <w:rPr>
          <w:rFonts w:ascii="Arial" w:hAnsi="Arial" w:cs="Arial"/>
          <w:i/>
          <w:color w:val="auto"/>
          <w:lang w:val="en-GB"/>
        </w:rPr>
        <w:t>Blood sample preparation</w:t>
      </w:r>
      <w:r>
        <w:rPr>
          <w:rFonts w:ascii="Arial" w:hAnsi="Arial" w:cs="Arial"/>
          <w:i/>
          <w:color w:val="auto"/>
          <w:lang w:val="en-GB"/>
        </w:rPr>
        <w:t xml:space="preserve"> and measurement of serum </w:t>
      </w:r>
      <w:r w:rsidRPr="001219C1">
        <w:rPr>
          <w:rFonts w:ascii="Arial" w:hAnsi="Arial" w:cs="Arial"/>
          <w:i/>
          <w:color w:val="auto"/>
          <w:lang w:val="en-GB"/>
        </w:rPr>
        <w:t>GDF-15 and NT-proBNP</w:t>
      </w:r>
      <w:r>
        <w:rPr>
          <w:rFonts w:ascii="Arial" w:hAnsi="Arial" w:cs="Arial"/>
          <w:i/>
          <w:color w:val="auto"/>
          <w:lang w:val="en-GB"/>
        </w:rPr>
        <w:t xml:space="preserve"> levels</w:t>
      </w:r>
      <w:r w:rsidRPr="001219C1">
        <w:rPr>
          <w:rFonts w:ascii="Arial" w:hAnsi="Arial" w:cs="Arial"/>
          <w:i/>
          <w:color w:val="auto"/>
          <w:lang w:val="en-GB"/>
        </w:rPr>
        <w:t xml:space="preserve"> </w:t>
      </w:r>
    </w:p>
    <w:p w:rsidR="0087342A" w:rsidRDefault="0087342A" w:rsidP="0087342A">
      <w:pPr>
        <w:pStyle w:val="Listenabsatz"/>
        <w:spacing w:line="480" w:lineRule="auto"/>
        <w:ind w:left="0"/>
        <w:jc w:val="both"/>
        <w:rPr>
          <w:rFonts w:ascii="Arial" w:hAnsi="Arial" w:cs="Arial"/>
          <w:color w:val="auto"/>
          <w:lang w:val="en-GB"/>
        </w:rPr>
      </w:pPr>
      <w:r w:rsidRPr="001219C1">
        <w:rPr>
          <w:rFonts w:ascii="Arial" w:hAnsi="Arial" w:cs="Arial"/>
          <w:color w:val="auto"/>
          <w:lang w:val="en-GB"/>
        </w:rPr>
        <w:t xml:space="preserve">Venous blood samples were collected by research personnel in serum separator tubes from </w:t>
      </w:r>
      <w:r w:rsidRPr="001219C1">
        <w:rPr>
          <w:rFonts w:ascii="Arial" w:hAnsi="Arial" w:cs="Arial"/>
          <w:lang w:val="en-GB"/>
        </w:rPr>
        <w:t xml:space="preserve">CAD controls after coronary angiography or </w:t>
      </w:r>
      <w:r w:rsidRPr="001219C1">
        <w:rPr>
          <w:rFonts w:ascii="Arial" w:hAnsi="Arial" w:cs="Arial"/>
          <w:color w:val="auto"/>
          <w:lang w:val="en-GB"/>
        </w:rPr>
        <w:t>resuscitated patients at five different time points: within the first three hours after ROSC (admission/day 0), 24 hours after ROSC (day 1), on the second (day 2), third (day 3) and fifth (day 5) day after CPR. Samples were allowed to clot for 15 min at room temperature before centrifugation for 15 min at 1000 x g. Serum was removed and aliquots were frozen at ≤ -20°C. For analyses serum aliquots were thawed once before ELISA and measured in a batch in duplicates.</w:t>
      </w:r>
      <w:r>
        <w:rPr>
          <w:rFonts w:ascii="Arial" w:hAnsi="Arial" w:cs="Arial"/>
          <w:color w:val="auto"/>
          <w:lang w:val="en-GB"/>
        </w:rPr>
        <w:t xml:space="preserve"> </w:t>
      </w:r>
    </w:p>
    <w:p w:rsidR="00424905" w:rsidRDefault="0087342A" w:rsidP="00424905">
      <w:pPr>
        <w:pStyle w:val="Listenabsatz"/>
        <w:spacing w:line="480" w:lineRule="auto"/>
        <w:ind w:left="0"/>
        <w:jc w:val="both"/>
        <w:rPr>
          <w:rFonts w:ascii="Arial" w:hAnsi="Arial" w:cs="Arial"/>
          <w:color w:val="auto"/>
          <w:lang w:val="en-GB"/>
        </w:rPr>
      </w:pPr>
      <w:r w:rsidRPr="001219C1">
        <w:rPr>
          <w:rFonts w:ascii="Arial" w:hAnsi="Arial" w:cs="Arial"/>
          <w:color w:val="auto"/>
          <w:lang w:val="en-GB"/>
        </w:rPr>
        <w:t>Serum NT-proBNP levels is an established biomarker of heart failure and known to predict poor outcome after survived OHCA [</w:t>
      </w:r>
      <w:r w:rsidR="00424905" w:rsidRPr="00424905">
        <w:rPr>
          <w:rFonts w:ascii="Arial" w:hAnsi="Arial" w:cs="Arial"/>
          <w:color w:val="00B0F0"/>
          <w:lang w:val="en-GB"/>
        </w:rPr>
        <w:t>S</w:t>
      </w:r>
      <w:r w:rsidR="00C8290B">
        <w:rPr>
          <w:rFonts w:ascii="Arial" w:hAnsi="Arial" w:cs="Arial"/>
          <w:color w:val="00B0F0"/>
          <w:lang w:val="en-GB"/>
        </w:rPr>
        <w:t>3</w:t>
      </w:r>
      <w:r w:rsidRPr="001219C1">
        <w:rPr>
          <w:rFonts w:ascii="Arial" w:hAnsi="Arial" w:cs="Arial"/>
          <w:color w:val="auto"/>
          <w:lang w:val="en-GB"/>
        </w:rPr>
        <w:t xml:space="preserve">]. GDF-15 and N-terminal B-type natriuretic peptide (NT-proBNP) serum levels were quantified using commercially available highly selective enzyme-linked immunosorbent assay kits (ELISA; Human GDF-15 </w:t>
      </w:r>
      <w:proofErr w:type="spellStart"/>
      <w:r w:rsidRPr="001219C1">
        <w:rPr>
          <w:rFonts w:ascii="Arial" w:hAnsi="Arial" w:cs="Arial"/>
          <w:color w:val="auto"/>
          <w:lang w:val="en-GB"/>
        </w:rPr>
        <w:t>Quantikine</w:t>
      </w:r>
      <w:proofErr w:type="spellEnd"/>
      <w:r w:rsidRPr="001219C1">
        <w:rPr>
          <w:rFonts w:ascii="Arial" w:hAnsi="Arial" w:cs="Arial"/>
          <w:color w:val="auto"/>
          <w:lang w:val="en-GB"/>
        </w:rPr>
        <w:t xml:space="preserve"> ELISA Kit, R&amp;D Systems, USA; GDF-15; Human NT-proBNP </w:t>
      </w:r>
      <w:proofErr w:type="spellStart"/>
      <w:r w:rsidRPr="001219C1">
        <w:rPr>
          <w:rFonts w:ascii="Arial" w:hAnsi="Arial" w:cs="Arial"/>
          <w:color w:val="auto"/>
          <w:lang w:val="en-GB"/>
        </w:rPr>
        <w:t>DuoSet</w:t>
      </w:r>
      <w:proofErr w:type="spellEnd"/>
      <w:r w:rsidRPr="001219C1">
        <w:rPr>
          <w:rFonts w:ascii="Arial" w:hAnsi="Arial" w:cs="Arial"/>
          <w:color w:val="auto"/>
          <w:lang w:val="en-GB"/>
        </w:rPr>
        <w:t xml:space="preserve"> ELISA, R&amp;D Systems, USA for NT-proBNP) according to the manufacturer’s instructions. The human recombinant GDF-15 or NT-proBNP provided by R&amp;D Systems were used to perform standard curves. The average zero standard optical density was </w:t>
      </w:r>
      <w:proofErr w:type="spellStart"/>
      <w:r w:rsidRPr="001219C1">
        <w:rPr>
          <w:rFonts w:ascii="Arial" w:hAnsi="Arial" w:cs="Arial"/>
          <w:color w:val="auto"/>
          <w:lang w:val="en-GB"/>
        </w:rPr>
        <w:t>substracted</w:t>
      </w:r>
      <w:proofErr w:type="spellEnd"/>
      <w:r w:rsidRPr="001219C1">
        <w:rPr>
          <w:rFonts w:ascii="Arial" w:hAnsi="Arial" w:cs="Arial"/>
          <w:color w:val="auto"/>
          <w:lang w:val="en-GB"/>
        </w:rPr>
        <w:t xml:space="preserve"> from the average of the duplicate readings for each standard, control, and sample. The personnel performing the ELISA were blinded to the clinical </w:t>
      </w:r>
      <w:proofErr w:type="spellStart"/>
      <w:r w:rsidRPr="001219C1">
        <w:rPr>
          <w:rFonts w:ascii="Arial" w:hAnsi="Arial" w:cs="Arial"/>
          <w:color w:val="auto"/>
          <w:lang w:val="en-GB"/>
        </w:rPr>
        <w:t>informations</w:t>
      </w:r>
      <w:proofErr w:type="spellEnd"/>
      <w:r w:rsidRPr="001219C1">
        <w:rPr>
          <w:rFonts w:ascii="Arial" w:hAnsi="Arial" w:cs="Arial"/>
          <w:color w:val="auto"/>
          <w:lang w:val="en-GB"/>
        </w:rPr>
        <w:t>.</w:t>
      </w:r>
    </w:p>
    <w:p w:rsidR="00424905" w:rsidRDefault="00424905" w:rsidP="00424905">
      <w:pPr>
        <w:pStyle w:val="Listenabsatz"/>
        <w:spacing w:line="480" w:lineRule="auto"/>
        <w:ind w:left="0"/>
        <w:jc w:val="both"/>
        <w:rPr>
          <w:rFonts w:ascii="Arial" w:hAnsi="Arial" w:cs="Arial"/>
          <w:color w:val="auto"/>
          <w:lang w:val="en-GB"/>
        </w:rPr>
      </w:pPr>
    </w:p>
    <w:p w:rsidR="00424905" w:rsidRDefault="00424905" w:rsidP="00424905">
      <w:pPr>
        <w:pStyle w:val="Listenabsatz"/>
        <w:spacing w:line="480" w:lineRule="auto"/>
        <w:ind w:left="0"/>
        <w:jc w:val="both"/>
        <w:rPr>
          <w:rFonts w:ascii="Arial" w:hAnsi="Arial" w:cs="Arial"/>
          <w:color w:val="auto"/>
          <w:lang w:val="en-GB"/>
        </w:rPr>
      </w:pPr>
    </w:p>
    <w:p w:rsidR="00424905" w:rsidRDefault="00424905" w:rsidP="00424905">
      <w:pPr>
        <w:pStyle w:val="Listenabsatz"/>
        <w:spacing w:line="480" w:lineRule="auto"/>
        <w:ind w:left="0"/>
        <w:jc w:val="both"/>
        <w:rPr>
          <w:rFonts w:ascii="Arial" w:hAnsi="Arial" w:cs="Arial"/>
          <w:color w:val="auto"/>
          <w:lang w:val="en-GB"/>
        </w:rPr>
      </w:pPr>
    </w:p>
    <w:p w:rsidR="00424905" w:rsidRDefault="00424905" w:rsidP="00424905">
      <w:pPr>
        <w:pStyle w:val="Listenabsatz"/>
        <w:spacing w:line="480" w:lineRule="auto"/>
        <w:ind w:left="0"/>
        <w:jc w:val="both"/>
        <w:rPr>
          <w:rFonts w:ascii="Arial" w:hAnsi="Arial" w:cs="Arial"/>
          <w:color w:val="auto"/>
          <w:lang w:val="en-GB"/>
        </w:rPr>
      </w:pPr>
    </w:p>
    <w:p w:rsidR="00C8290B" w:rsidRDefault="00424905" w:rsidP="00C8290B">
      <w:pPr>
        <w:spacing w:line="480" w:lineRule="auto"/>
        <w:rPr>
          <w:rFonts w:ascii="Arial" w:hAnsi="Arial" w:cs="Arial"/>
          <w:b/>
          <w:color w:val="auto"/>
          <w:lang w:val="en-GB"/>
        </w:rPr>
      </w:pPr>
      <w:r w:rsidRPr="00441927">
        <w:rPr>
          <w:rFonts w:ascii="Arial" w:hAnsi="Arial" w:cs="Arial"/>
          <w:b/>
          <w:color w:val="auto"/>
          <w:lang w:val="en-GB"/>
        </w:rPr>
        <w:lastRenderedPageBreak/>
        <w:t>References</w:t>
      </w:r>
    </w:p>
    <w:p w:rsidR="00424905" w:rsidRPr="00C8290B" w:rsidRDefault="00424905" w:rsidP="00C8290B">
      <w:pPr>
        <w:spacing w:line="480" w:lineRule="auto"/>
        <w:rPr>
          <w:rFonts w:ascii="Arial" w:hAnsi="Arial" w:cs="Arial"/>
          <w:b/>
          <w:color w:val="auto"/>
          <w:lang w:val="en-GB"/>
        </w:rPr>
      </w:pPr>
    </w:p>
    <w:p w:rsidR="00424905" w:rsidRDefault="00424905" w:rsidP="00424905">
      <w:pPr>
        <w:pStyle w:val="Listenabsatz"/>
        <w:spacing w:line="480" w:lineRule="auto"/>
        <w:ind w:left="0"/>
        <w:jc w:val="both"/>
        <w:rPr>
          <w:rFonts w:ascii="Arial" w:hAnsi="Arial" w:cs="Arial"/>
          <w:color w:val="auto"/>
          <w:lang w:val="en-GB"/>
        </w:rPr>
      </w:pPr>
      <w:r w:rsidRPr="00424905">
        <w:rPr>
          <w:rFonts w:ascii="Arial" w:hAnsi="Arial" w:cs="Arial"/>
          <w:color w:val="auto"/>
          <w:lang w:val="en-GB"/>
        </w:rPr>
        <w:t>S1.</w:t>
      </w:r>
      <w:r w:rsidRPr="00424905">
        <w:rPr>
          <w:rFonts w:ascii="Arial" w:hAnsi="Arial" w:cs="Arial"/>
          <w:color w:val="auto"/>
          <w:lang w:val="en-GB"/>
        </w:rPr>
        <w:tab/>
      </w:r>
      <w:r w:rsidR="00C8290B" w:rsidRPr="00424905">
        <w:rPr>
          <w:rFonts w:ascii="Arial" w:hAnsi="Arial" w:cs="Arial"/>
          <w:color w:val="auto"/>
        </w:rPr>
        <w:t xml:space="preserve">Nolan JP, </w:t>
      </w:r>
      <w:proofErr w:type="spellStart"/>
      <w:r w:rsidR="00C8290B" w:rsidRPr="00424905">
        <w:rPr>
          <w:rFonts w:ascii="Arial" w:hAnsi="Arial" w:cs="Arial"/>
          <w:color w:val="auto"/>
        </w:rPr>
        <w:t>Sandroni</w:t>
      </w:r>
      <w:proofErr w:type="spellEnd"/>
      <w:r w:rsidR="00C8290B" w:rsidRPr="00424905">
        <w:rPr>
          <w:rFonts w:ascii="Arial" w:hAnsi="Arial" w:cs="Arial"/>
          <w:color w:val="auto"/>
        </w:rPr>
        <w:t xml:space="preserve"> C, Böttiger BW, </w:t>
      </w:r>
      <w:proofErr w:type="spellStart"/>
      <w:r w:rsidR="00C8290B" w:rsidRPr="00424905">
        <w:rPr>
          <w:rFonts w:ascii="Arial" w:hAnsi="Arial" w:cs="Arial"/>
          <w:color w:val="auto"/>
        </w:rPr>
        <w:t>Cariou</w:t>
      </w:r>
      <w:proofErr w:type="spellEnd"/>
      <w:r w:rsidR="00C8290B" w:rsidRPr="00424905">
        <w:rPr>
          <w:rFonts w:ascii="Arial" w:hAnsi="Arial" w:cs="Arial"/>
          <w:color w:val="auto"/>
        </w:rPr>
        <w:t xml:space="preserve"> A, </w:t>
      </w:r>
      <w:proofErr w:type="spellStart"/>
      <w:r w:rsidR="00C8290B" w:rsidRPr="00424905">
        <w:rPr>
          <w:rFonts w:ascii="Arial" w:hAnsi="Arial" w:cs="Arial"/>
          <w:color w:val="auto"/>
        </w:rPr>
        <w:t>Cronberg</w:t>
      </w:r>
      <w:proofErr w:type="spellEnd"/>
      <w:r w:rsidR="00C8290B" w:rsidRPr="00424905">
        <w:rPr>
          <w:rFonts w:ascii="Arial" w:hAnsi="Arial" w:cs="Arial"/>
          <w:color w:val="auto"/>
        </w:rPr>
        <w:t xml:space="preserve"> T, </w:t>
      </w:r>
      <w:proofErr w:type="spellStart"/>
      <w:r w:rsidR="00C8290B" w:rsidRPr="00424905">
        <w:rPr>
          <w:rFonts w:ascii="Arial" w:hAnsi="Arial" w:cs="Arial"/>
          <w:color w:val="auto"/>
        </w:rPr>
        <w:t>Friberg</w:t>
      </w:r>
      <w:proofErr w:type="spellEnd"/>
      <w:r w:rsidR="00C8290B" w:rsidRPr="00424905">
        <w:rPr>
          <w:rFonts w:ascii="Arial" w:hAnsi="Arial" w:cs="Arial"/>
          <w:color w:val="auto"/>
        </w:rPr>
        <w:t xml:space="preserve"> H, et al.  </w:t>
      </w:r>
      <w:r w:rsidR="00C8290B">
        <w:rPr>
          <w:rFonts w:ascii="Arial" w:hAnsi="Arial" w:cs="Arial"/>
          <w:color w:val="auto"/>
        </w:rPr>
        <w:tab/>
      </w:r>
      <w:r w:rsidR="00C8290B" w:rsidRPr="00424905">
        <w:rPr>
          <w:rFonts w:ascii="Arial" w:hAnsi="Arial" w:cs="Arial"/>
          <w:color w:val="auto"/>
          <w:lang w:val="en-GB"/>
        </w:rPr>
        <w:t xml:space="preserve">European Resuscitation Council and European Society of Intensive Care </w:t>
      </w:r>
      <w:r w:rsidR="00C8290B">
        <w:rPr>
          <w:rFonts w:ascii="Arial" w:hAnsi="Arial" w:cs="Arial"/>
          <w:color w:val="auto"/>
          <w:lang w:val="en-GB"/>
        </w:rPr>
        <w:tab/>
      </w:r>
      <w:r w:rsidR="00C8290B" w:rsidRPr="00424905">
        <w:rPr>
          <w:rFonts w:ascii="Arial" w:hAnsi="Arial" w:cs="Arial"/>
          <w:color w:val="auto"/>
          <w:lang w:val="en-GB"/>
        </w:rPr>
        <w:t xml:space="preserve">Medicine Guidelines 2021: Post-resuscitation care. Resuscitation </w:t>
      </w:r>
      <w:r w:rsidR="00C8290B">
        <w:rPr>
          <w:rFonts w:ascii="Arial" w:hAnsi="Arial" w:cs="Arial"/>
          <w:color w:val="auto"/>
          <w:lang w:val="en-GB"/>
        </w:rPr>
        <w:tab/>
      </w:r>
      <w:bookmarkStart w:id="0" w:name="_GoBack"/>
      <w:bookmarkEnd w:id="0"/>
      <w:r w:rsidR="00C8290B" w:rsidRPr="00424905">
        <w:rPr>
          <w:rFonts w:ascii="Arial" w:hAnsi="Arial" w:cs="Arial"/>
          <w:color w:val="auto"/>
          <w:lang w:val="en-US"/>
        </w:rPr>
        <w:t>2021;</w:t>
      </w:r>
      <w:r w:rsidR="00C8290B" w:rsidRPr="00424905">
        <w:rPr>
          <w:rFonts w:ascii="Arial" w:hAnsi="Arial" w:cs="Arial"/>
          <w:color w:val="auto"/>
          <w:lang w:val="en-GB"/>
        </w:rPr>
        <w:t>161:220-69. https://doi.org/</w:t>
      </w:r>
      <w:r w:rsidR="00C8290B" w:rsidRPr="00424905">
        <w:rPr>
          <w:lang w:val="en-US"/>
        </w:rPr>
        <w:t xml:space="preserve"> </w:t>
      </w:r>
      <w:r w:rsidR="00C8290B" w:rsidRPr="00424905">
        <w:rPr>
          <w:rFonts w:ascii="Arial" w:hAnsi="Arial" w:cs="Arial"/>
          <w:color w:val="auto"/>
          <w:lang w:val="en-GB"/>
        </w:rPr>
        <w:t>10.1</w:t>
      </w:r>
      <w:r w:rsidR="00C8290B">
        <w:rPr>
          <w:rFonts w:ascii="Arial" w:hAnsi="Arial" w:cs="Arial"/>
          <w:color w:val="auto"/>
          <w:lang w:val="en-GB"/>
        </w:rPr>
        <w:t>016/j.resuscitation.2021.02.012.</w:t>
      </w:r>
    </w:p>
    <w:p w:rsidR="00C8290B" w:rsidRDefault="00C8290B" w:rsidP="00424905">
      <w:pPr>
        <w:pStyle w:val="Listenabsatz"/>
        <w:spacing w:line="480" w:lineRule="auto"/>
        <w:ind w:left="0"/>
        <w:jc w:val="both"/>
        <w:rPr>
          <w:rFonts w:ascii="Arial" w:hAnsi="Arial" w:cs="Arial"/>
          <w:color w:val="auto"/>
          <w:lang w:val="en-GB"/>
        </w:rPr>
      </w:pPr>
      <w:r>
        <w:rPr>
          <w:rFonts w:ascii="Arial" w:hAnsi="Arial" w:cs="Arial"/>
          <w:color w:val="auto"/>
          <w:lang w:val="en-GB"/>
        </w:rPr>
        <w:t xml:space="preserve">S2. </w:t>
      </w:r>
      <w:r>
        <w:rPr>
          <w:rFonts w:ascii="Arial" w:hAnsi="Arial" w:cs="Arial"/>
          <w:color w:val="auto"/>
          <w:lang w:val="en-GB"/>
        </w:rPr>
        <w:tab/>
      </w:r>
      <w:r w:rsidRPr="00C8290B">
        <w:rPr>
          <w:rFonts w:ascii="Arial" w:hAnsi="Arial" w:cs="Arial"/>
          <w:color w:val="auto"/>
          <w:lang w:val="en-GB"/>
        </w:rPr>
        <w:t xml:space="preserve">Williams TA, Martin R, </w:t>
      </w:r>
      <w:proofErr w:type="spellStart"/>
      <w:r w:rsidRPr="00C8290B">
        <w:rPr>
          <w:rFonts w:ascii="Arial" w:hAnsi="Arial" w:cs="Arial"/>
          <w:color w:val="auto"/>
          <w:lang w:val="en-GB"/>
        </w:rPr>
        <w:t>Celenza</w:t>
      </w:r>
      <w:proofErr w:type="spellEnd"/>
      <w:r w:rsidRPr="00C8290B">
        <w:rPr>
          <w:rFonts w:ascii="Arial" w:hAnsi="Arial" w:cs="Arial"/>
          <w:color w:val="auto"/>
          <w:lang w:val="en-GB"/>
        </w:rPr>
        <w:t xml:space="preserve"> A, </w:t>
      </w:r>
      <w:proofErr w:type="spellStart"/>
      <w:r w:rsidRPr="00C8290B">
        <w:rPr>
          <w:rFonts w:ascii="Arial" w:hAnsi="Arial" w:cs="Arial"/>
          <w:color w:val="auto"/>
          <w:lang w:val="en-GB"/>
        </w:rPr>
        <w:t>Bremner</w:t>
      </w:r>
      <w:proofErr w:type="spellEnd"/>
      <w:r w:rsidRPr="00C8290B">
        <w:rPr>
          <w:rFonts w:ascii="Arial" w:hAnsi="Arial" w:cs="Arial"/>
          <w:color w:val="auto"/>
          <w:lang w:val="en-GB"/>
        </w:rPr>
        <w:t xml:space="preserve"> A, </w:t>
      </w:r>
      <w:proofErr w:type="spellStart"/>
      <w:r w:rsidRPr="00C8290B">
        <w:rPr>
          <w:rFonts w:ascii="Arial" w:hAnsi="Arial" w:cs="Arial"/>
          <w:color w:val="auto"/>
          <w:lang w:val="en-GB"/>
        </w:rPr>
        <w:t>Fatovich</w:t>
      </w:r>
      <w:proofErr w:type="spellEnd"/>
      <w:r w:rsidRPr="00C8290B">
        <w:rPr>
          <w:rFonts w:ascii="Arial" w:hAnsi="Arial" w:cs="Arial"/>
          <w:color w:val="auto"/>
          <w:lang w:val="en-GB"/>
        </w:rPr>
        <w:t xml:space="preserve"> D, Krause J, et al. Use </w:t>
      </w:r>
      <w:r w:rsidRPr="00C8290B">
        <w:rPr>
          <w:rFonts w:ascii="Arial" w:hAnsi="Arial" w:cs="Arial"/>
          <w:color w:val="auto"/>
          <w:lang w:val="en-GB"/>
        </w:rPr>
        <w:tab/>
        <w:t xml:space="preserve">of serum lactate levels to predict survival for patients with out-of-hospital </w:t>
      </w:r>
      <w:r w:rsidRPr="00C8290B">
        <w:rPr>
          <w:rFonts w:ascii="Arial" w:hAnsi="Arial" w:cs="Arial"/>
          <w:color w:val="auto"/>
          <w:lang w:val="en-GB"/>
        </w:rPr>
        <w:tab/>
        <w:t xml:space="preserve">cardiac arrest: A cohort study. </w:t>
      </w:r>
      <w:proofErr w:type="spellStart"/>
      <w:proofErr w:type="gramStart"/>
      <w:r w:rsidRPr="00C8290B">
        <w:rPr>
          <w:rFonts w:ascii="Arial" w:hAnsi="Arial" w:cs="Arial"/>
          <w:color w:val="auto"/>
          <w:lang w:val="en-GB"/>
        </w:rPr>
        <w:t>Emerg</w:t>
      </w:r>
      <w:proofErr w:type="spellEnd"/>
      <w:r w:rsidRPr="00C8290B">
        <w:rPr>
          <w:rFonts w:ascii="Arial" w:hAnsi="Arial" w:cs="Arial"/>
          <w:color w:val="auto"/>
          <w:lang w:val="en-GB"/>
        </w:rPr>
        <w:t xml:space="preserve"> Med </w:t>
      </w:r>
      <w:proofErr w:type="spellStart"/>
      <w:r w:rsidRPr="00C8290B">
        <w:rPr>
          <w:rFonts w:ascii="Arial" w:hAnsi="Arial" w:cs="Arial"/>
          <w:color w:val="auto"/>
          <w:lang w:val="en-GB"/>
        </w:rPr>
        <w:t>Australas</w:t>
      </w:r>
      <w:proofErr w:type="spellEnd"/>
      <w:r w:rsidRPr="00C8290B">
        <w:rPr>
          <w:rFonts w:ascii="Arial" w:hAnsi="Arial" w:cs="Arial"/>
          <w:color w:val="auto"/>
          <w:lang w:val="en-GB"/>
        </w:rPr>
        <w:t>.</w:t>
      </w:r>
      <w:proofErr w:type="gramEnd"/>
      <w:r w:rsidRPr="00C8290B">
        <w:rPr>
          <w:rFonts w:ascii="Arial" w:hAnsi="Arial" w:cs="Arial"/>
          <w:color w:val="auto"/>
          <w:lang w:val="en-GB"/>
        </w:rPr>
        <w:t xml:space="preserve"> 2016</w:t>
      </w:r>
      <w:proofErr w:type="gramStart"/>
      <w:r w:rsidRPr="00C8290B">
        <w:rPr>
          <w:rFonts w:ascii="Arial" w:hAnsi="Arial" w:cs="Arial"/>
          <w:color w:val="auto"/>
          <w:lang w:val="en-GB"/>
        </w:rPr>
        <w:t>;28:171</w:t>
      </w:r>
      <w:proofErr w:type="gramEnd"/>
      <w:r w:rsidRPr="00C8290B">
        <w:rPr>
          <w:rFonts w:ascii="Arial" w:hAnsi="Arial" w:cs="Arial"/>
          <w:color w:val="auto"/>
          <w:lang w:val="en-GB"/>
        </w:rPr>
        <w:t>-8.</w:t>
      </w:r>
    </w:p>
    <w:p w:rsidR="00C8290B" w:rsidRPr="00424905" w:rsidRDefault="00C8290B" w:rsidP="00424905">
      <w:pPr>
        <w:pStyle w:val="Listenabsatz"/>
        <w:spacing w:line="480" w:lineRule="auto"/>
        <w:ind w:left="0"/>
        <w:jc w:val="both"/>
        <w:rPr>
          <w:rFonts w:ascii="Arial" w:hAnsi="Arial" w:cs="Arial"/>
          <w:color w:val="auto"/>
          <w:lang w:val="en-GB"/>
        </w:rPr>
      </w:pPr>
      <w:r>
        <w:rPr>
          <w:rFonts w:ascii="Arial" w:hAnsi="Arial" w:cs="Arial"/>
          <w:color w:val="auto"/>
          <w:lang w:val="en-GB"/>
        </w:rPr>
        <w:t>S3.</w:t>
      </w:r>
      <w:r>
        <w:rPr>
          <w:rFonts w:ascii="Arial" w:hAnsi="Arial" w:cs="Arial"/>
          <w:color w:val="auto"/>
          <w:lang w:val="en-GB"/>
        </w:rPr>
        <w:tab/>
      </w:r>
      <w:proofErr w:type="spellStart"/>
      <w:r w:rsidRPr="00424905">
        <w:rPr>
          <w:rFonts w:ascii="Arial" w:hAnsi="Arial" w:cs="Arial"/>
          <w:color w:val="auto"/>
          <w:lang w:val="en-GB"/>
        </w:rPr>
        <w:t>Myhre</w:t>
      </w:r>
      <w:proofErr w:type="spellEnd"/>
      <w:r w:rsidRPr="00424905">
        <w:rPr>
          <w:rFonts w:ascii="Arial" w:hAnsi="Arial" w:cs="Arial"/>
          <w:color w:val="auto"/>
          <w:lang w:val="en-GB"/>
        </w:rPr>
        <w:t xml:space="preserve"> PL, </w:t>
      </w:r>
      <w:proofErr w:type="spellStart"/>
      <w:r w:rsidRPr="00424905">
        <w:rPr>
          <w:rFonts w:ascii="Arial" w:hAnsi="Arial" w:cs="Arial"/>
          <w:color w:val="auto"/>
          <w:lang w:val="en-GB"/>
        </w:rPr>
        <w:t>Tiainen</w:t>
      </w:r>
      <w:proofErr w:type="spellEnd"/>
      <w:r w:rsidRPr="00424905">
        <w:rPr>
          <w:rFonts w:ascii="Arial" w:hAnsi="Arial" w:cs="Arial"/>
          <w:color w:val="auto"/>
          <w:lang w:val="en-GB"/>
        </w:rPr>
        <w:t xml:space="preserve"> M, </w:t>
      </w:r>
      <w:proofErr w:type="spellStart"/>
      <w:r w:rsidRPr="00424905">
        <w:rPr>
          <w:rFonts w:ascii="Arial" w:hAnsi="Arial" w:cs="Arial"/>
          <w:color w:val="auto"/>
          <w:lang w:val="en-GB"/>
        </w:rPr>
        <w:t>Pettilä</w:t>
      </w:r>
      <w:proofErr w:type="spellEnd"/>
      <w:r w:rsidRPr="00424905">
        <w:rPr>
          <w:rFonts w:ascii="Arial" w:hAnsi="Arial" w:cs="Arial"/>
          <w:color w:val="auto"/>
          <w:lang w:val="en-GB"/>
        </w:rPr>
        <w:t xml:space="preserve"> V, </w:t>
      </w:r>
      <w:proofErr w:type="spellStart"/>
      <w:r w:rsidRPr="00424905">
        <w:rPr>
          <w:rFonts w:ascii="Arial" w:hAnsi="Arial" w:cs="Arial"/>
          <w:color w:val="auto"/>
          <w:lang w:val="en-GB"/>
        </w:rPr>
        <w:t>Vaahersalo</w:t>
      </w:r>
      <w:proofErr w:type="spellEnd"/>
      <w:r w:rsidRPr="00424905">
        <w:rPr>
          <w:rFonts w:ascii="Arial" w:hAnsi="Arial" w:cs="Arial"/>
          <w:color w:val="auto"/>
          <w:lang w:val="en-GB"/>
        </w:rPr>
        <w:t xml:space="preserve"> J, </w:t>
      </w:r>
      <w:proofErr w:type="spellStart"/>
      <w:r w:rsidRPr="00424905">
        <w:rPr>
          <w:rFonts w:ascii="Arial" w:hAnsi="Arial" w:cs="Arial"/>
          <w:color w:val="auto"/>
          <w:lang w:val="en-GB"/>
        </w:rPr>
        <w:t>Hagve</w:t>
      </w:r>
      <w:proofErr w:type="spellEnd"/>
      <w:r w:rsidRPr="00424905">
        <w:rPr>
          <w:rFonts w:ascii="Arial" w:hAnsi="Arial" w:cs="Arial"/>
          <w:color w:val="auto"/>
          <w:lang w:val="en-GB"/>
        </w:rPr>
        <w:t xml:space="preserve"> TA, </w:t>
      </w:r>
      <w:proofErr w:type="spellStart"/>
      <w:r w:rsidRPr="00424905">
        <w:rPr>
          <w:rFonts w:ascii="Arial" w:hAnsi="Arial" w:cs="Arial"/>
          <w:color w:val="auto"/>
          <w:lang w:val="en-GB"/>
        </w:rPr>
        <w:t>Kurola</w:t>
      </w:r>
      <w:proofErr w:type="spellEnd"/>
      <w:r w:rsidRPr="00424905">
        <w:rPr>
          <w:rFonts w:ascii="Arial" w:hAnsi="Arial" w:cs="Arial"/>
          <w:color w:val="auto"/>
          <w:lang w:val="en-GB"/>
        </w:rPr>
        <w:t xml:space="preserve"> J, et al. NT-</w:t>
      </w:r>
      <w:r>
        <w:rPr>
          <w:rFonts w:ascii="Arial" w:hAnsi="Arial" w:cs="Arial"/>
          <w:color w:val="auto"/>
          <w:lang w:val="en-GB"/>
        </w:rPr>
        <w:tab/>
      </w:r>
      <w:r w:rsidRPr="00424905">
        <w:rPr>
          <w:rFonts w:ascii="Arial" w:hAnsi="Arial" w:cs="Arial"/>
          <w:color w:val="auto"/>
          <w:lang w:val="en-GB"/>
        </w:rPr>
        <w:t xml:space="preserve">proBNP in patients with out-of-hospital cardiac arrest: Results from the </w:t>
      </w:r>
      <w:r>
        <w:rPr>
          <w:rFonts w:ascii="Arial" w:hAnsi="Arial" w:cs="Arial"/>
          <w:color w:val="auto"/>
          <w:lang w:val="en-GB"/>
        </w:rPr>
        <w:tab/>
      </w:r>
      <w:r w:rsidRPr="00424905">
        <w:rPr>
          <w:rFonts w:ascii="Arial" w:hAnsi="Arial" w:cs="Arial"/>
          <w:color w:val="auto"/>
          <w:lang w:val="en-GB"/>
        </w:rPr>
        <w:t xml:space="preserve">FINNRESUSCI Study. </w:t>
      </w:r>
      <w:proofErr w:type="gramStart"/>
      <w:r w:rsidRPr="00424905">
        <w:rPr>
          <w:rFonts w:ascii="Arial" w:hAnsi="Arial" w:cs="Arial"/>
          <w:color w:val="auto"/>
          <w:lang w:val="en-GB"/>
        </w:rPr>
        <w:t>Resuscitation.</w:t>
      </w:r>
      <w:proofErr w:type="gramEnd"/>
      <w:r w:rsidRPr="00424905">
        <w:rPr>
          <w:rFonts w:ascii="Arial" w:hAnsi="Arial" w:cs="Arial"/>
          <w:color w:val="auto"/>
          <w:lang w:val="en-GB"/>
        </w:rPr>
        <w:t xml:space="preserve"> 2016</w:t>
      </w:r>
      <w:proofErr w:type="gramStart"/>
      <w:r w:rsidRPr="00424905">
        <w:rPr>
          <w:rFonts w:ascii="Arial" w:hAnsi="Arial" w:cs="Arial"/>
          <w:color w:val="auto"/>
          <w:lang w:val="en-GB"/>
        </w:rPr>
        <w:t>;</w:t>
      </w:r>
      <w:r>
        <w:rPr>
          <w:rFonts w:ascii="Arial" w:hAnsi="Arial" w:cs="Arial"/>
          <w:color w:val="auto"/>
          <w:lang w:val="en-GB"/>
        </w:rPr>
        <w:t>104:12</w:t>
      </w:r>
      <w:proofErr w:type="gramEnd"/>
      <w:r>
        <w:rPr>
          <w:rFonts w:ascii="Arial" w:hAnsi="Arial" w:cs="Arial"/>
          <w:color w:val="auto"/>
          <w:lang w:val="en-GB"/>
        </w:rPr>
        <w:t xml:space="preserve">-8. </w:t>
      </w:r>
      <w:r>
        <w:rPr>
          <w:rFonts w:ascii="Arial" w:hAnsi="Arial" w:cs="Arial"/>
          <w:color w:val="auto"/>
          <w:lang w:val="en-GB"/>
        </w:rPr>
        <w:tab/>
      </w:r>
      <w:r w:rsidRPr="00424905">
        <w:rPr>
          <w:rFonts w:ascii="Arial" w:hAnsi="Arial" w:cs="Arial"/>
          <w:color w:val="auto"/>
          <w:lang w:val="en-GB"/>
        </w:rPr>
        <w:t>https://doi.org/10.1016/j.resuscitation.2016.04.007.</w:t>
      </w:r>
    </w:p>
    <w:p w:rsidR="0081097A" w:rsidRPr="0087342A" w:rsidRDefault="00C8290B" w:rsidP="00424905">
      <w:pPr>
        <w:spacing w:line="480" w:lineRule="auto"/>
        <w:rPr>
          <w:lang w:val="en-GB"/>
        </w:rPr>
      </w:pPr>
    </w:p>
    <w:sectPr w:rsidR="0081097A" w:rsidRPr="0087342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C4243"/>
    <w:multiLevelType w:val="hybridMultilevel"/>
    <w:tmpl w:val="2DB0178C"/>
    <w:lvl w:ilvl="0" w:tplc="DB748C26">
      <w:start w:val="17"/>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nsid w:val="0CD32CDB"/>
    <w:multiLevelType w:val="hybridMultilevel"/>
    <w:tmpl w:val="B4FA5A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D617BCA"/>
    <w:multiLevelType w:val="hybridMultilevel"/>
    <w:tmpl w:val="61E4F008"/>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7C6E53D4"/>
    <w:multiLevelType w:val="hybridMultilevel"/>
    <w:tmpl w:val="CDDCE896"/>
    <w:lvl w:ilvl="0" w:tplc="7C4E6360">
      <w:start w:val="1"/>
      <w:numFmt w:val="decimal"/>
      <w:lvlText w:val="%1."/>
      <w:lvlJc w:val="left"/>
      <w:pPr>
        <w:ind w:left="720" w:hanging="360"/>
      </w:pPr>
      <w:rPr>
        <w:rFonts w:ascii="Arial" w:eastAsia="Times New Roman"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42A"/>
    <w:rsid w:val="003B6355"/>
    <w:rsid w:val="00424905"/>
    <w:rsid w:val="004F2AC1"/>
    <w:rsid w:val="005C0413"/>
    <w:rsid w:val="00680164"/>
    <w:rsid w:val="0087342A"/>
    <w:rsid w:val="00C8290B"/>
    <w:rsid w:val="00F639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7342A"/>
    <w:pPr>
      <w:spacing w:after="0" w:line="240" w:lineRule="auto"/>
    </w:pPr>
    <w:rPr>
      <w:rFonts w:ascii="Times New Roman" w:eastAsia="Times New Roman" w:hAnsi="Times New Roman" w:cs="Times New Roman"/>
      <w:color w:val="00000A"/>
      <w:sz w:val="24"/>
      <w:szCs w:val="24"/>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qFormat/>
    <w:rsid w:val="0087342A"/>
    <w:rPr>
      <w:sz w:val="16"/>
      <w:szCs w:val="16"/>
    </w:rPr>
  </w:style>
  <w:style w:type="character" w:customStyle="1" w:styleId="KommentartextZchn">
    <w:name w:val="Kommentartext Zchn"/>
    <w:basedOn w:val="Absatz-Standardschriftart"/>
    <w:link w:val="Kommentartext"/>
    <w:uiPriority w:val="99"/>
    <w:semiHidden/>
    <w:qFormat/>
    <w:rsid w:val="0087342A"/>
    <w:rPr>
      <w:rFonts w:ascii="Times New Roman" w:eastAsia="Times New Roman" w:hAnsi="Times New Roman" w:cs="Times New Roman"/>
      <w:sz w:val="20"/>
      <w:szCs w:val="20"/>
      <w:lang w:eastAsia="ja-JP"/>
    </w:rPr>
  </w:style>
  <w:style w:type="paragraph" w:styleId="Listenabsatz">
    <w:name w:val="List Paragraph"/>
    <w:basedOn w:val="Standard"/>
    <w:uiPriority w:val="34"/>
    <w:qFormat/>
    <w:rsid w:val="0087342A"/>
    <w:pPr>
      <w:ind w:left="720"/>
      <w:contextualSpacing/>
    </w:pPr>
  </w:style>
  <w:style w:type="paragraph" w:styleId="Kommentartext">
    <w:name w:val="annotation text"/>
    <w:basedOn w:val="Standard"/>
    <w:link w:val="KommentartextZchn"/>
    <w:uiPriority w:val="99"/>
    <w:semiHidden/>
    <w:unhideWhenUsed/>
    <w:qFormat/>
    <w:rsid w:val="0087342A"/>
    <w:rPr>
      <w:color w:val="auto"/>
      <w:sz w:val="20"/>
      <w:szCs w:val="20"/>
    </w:rPr>
  </w:style>
  <w:style w:type="character" w:customStyle="1" w:styleId="KommentartextZchn1">
    <w:name w:val="Kommentartext Zchn1"/>
    <w:basedOn w:val="Absatz-Standardschriftart"/>
    <w:uiPriority w:val="99"/>
    <w:semiHidden/>
    <w:rsid w:val="0087342A"/>
    <w:rPr>
      <w:rFonts w:ascii="Times New Roman" w:eastAsia="Times New Roman" w:hAnsi="Times New Roman" w:cs="Times New Roman"/>
      <w:color w:val="00000A"/>
      <w:sz w:val="20"/>
      <w:szCs w:val="20"/>
      <w:lang w:eastAsia="ja-JP"/>
    </w:rPr>
  </w:style>
  <w:style w:type="paragraph" w:styleId="Sprechblasentext">
    <w:name w:val="Balloon Text"/>
    <w:basedOn w:val="Standard"/>
    <w:link w:val="SprechblasentextZchn"/>
    <w:uiPriority w:val="99"/>
    <w:semiHidden/>
    <w:unhideWhenUsed/>
    <w:rsid w:val="0087342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342A"/>
    <w:rPr>
      <w:rFonts w:ascii="Tahoma" w:eastAsia="Times New Roman" w:hAnsi="Tahoma" w:cs="Tahoma"/>
      <w:color w:val="00000A"/>
      <w:sz w:val="16"/>
      <w:szCs w:val="16"/>
      <w:lang w:eastAsia="ja-JP"/>
    </w:rPr>
  </w:style>
  <w:style w:type="character" w:styleId="Hyperlink">
    <w:name w:val="Hyperlink"/>
    <w:rsid w:val="004249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7342A"/>
    <w:pPr>
      <w:spacing w:after="0" w:line="240" w:lineRule="auto"/>
    </w:pPr>
    <w:rPr>
      <w:rFonts w:ascii="Times New Roman" w:eastAsia="Times New Roman" w:hAnsi="Times New Roman" w:cs="Times New Roman"/>
      <w:color w:val="00000A"/>
      <w:sz w:val="24"/>
      <w:szCs w:val="24"/>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qFormat/>
    <w:rsid w:val="0087342A"/>
    <w:rPr>
      <w:sz w:val="16"/>
      <w:szCs w:val="16"/>
    </w:rPr>
  </w:style>
  <w:style w:type="character" w:customStyle="1" w:styleId="KommentartextZchn">
    <w:name w:val="Kommentartext Zchn"/>
    <w:basedOn w:val="Absatz-Standardschriftart"/>
    <w:link w:val="Kommentartext"/>
    <w:uiPriority w:val="99"/>
    <w:semiHidden/>
    <w:qFormat/>
    <w:rsid w:val="0087342A"/>
    <w:rPr>
      <w:rFonts w:ascii="Times New Roman" w:eastAsia="Times New Roman" w:hAnsi="Times New Roman" w:cs="Times New Roman"/>
      <w:sz w:val="20"/>
      <w:szCs w:val="20"/>
      <w:lang w:eastAsia="ja-JP"/>
    </w:rPr>
  </w:style>
  <w:style w:type="paragraph" w:styleId="Listenabsatz">
    <w:name w:val="List Paragraph"/>
    <w:basedOn w:val="Standard"/>
    <w:uiPriority w:val="34"/>
    <w:qFormat/>
    <w:rsid w:val="0087342A"/>
    <w:pPr>
      <w:ind w:left="720"/>
      <w:contextualSpacing/>
    </w:pPr>
  </w:style>
  <w:style w:type="paragraph" w:styleId="Kommentartext">
    <w:name w:val="annotation text"/>
    <w:basedOn w:val="Standard"/>
    <w:link w:val="KommentartextZchn"/>
    <w:uiPriority w:val="99"/>
    <w:semiHidden/>
    <w:unhideWhenUsed/>
    <w:qFormat/>
    <w:rsid w:val="0087342A"/>
    <w:rPr>
      <w:color w:val="auto"/>
      <w:sz w:val="20"/>
      <w:szCs w:val="20"/>
    </w:rPr>
  </w:style>
  <w:style w:type="character" w:customStyle="1" w:styleId="KommentartextZchn1">
    <w:name w:val="Kommentartext Zchn1"/>
    <w:basedOn w:val="Absatz-Standardschriftart"/>
    <w:uiPriority w:val="99"/>
    <w:semiHidden/>
    <w:rsid w:val="0087342A"/>
    <w:rPr>
      <w:rFonts w:ascii="Times New Roman" w:eastAsia="Times New Roman" w:hAnsi="Times New Roman" w:cs="Times New Roman"/>
      <w:color w:val="00000A"/>
      <w:sz w:val="20"/>
      <w:szCs w:val="20"/>
      <w:lang w:eastAsia="ja-JP"/>
    </w:rPr>
  </w:style>
  <w:style w:type="paragraph" w:styleId="Sprechblasentext">
    <w:name w:val="Balloon Text"/>
    <w:basedOn w:val="Standard"/>
    <w:link w:val="SprechblasentextZchn"/>
    <w:uiPriority w:val="99"/>
    <w:semiHidden/>
    <w:unhideWhenUsed/>
    <w:rsid w:val="0087342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342A"/>
    <w:rPr>
      <w:rFonts w:ascii="Tahoma" w:eastAsia="Times New Roman" w:hAnsi="Tahoma" w:cs="Tahoma"/>
      <w:color w:val="00000A"/>
      <w:sz w:val="16"/>
      <w:szCs w:val="16"/>
      <w:lang w:eastAsia="ja-JP"/>
    </w:rPr>
  </w:style>
  <w:style w:type="character" w:styleId="Hyperlink">
    <w:name w:val="Hyperlink"/>
    <w:rsid w:val="004249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760</Words>
  <Characters>4789</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Uniklinikum Freiburg</Company>
  <LinksUpToDate>false</LinksUpToDate>
  <CharactersWithSpaces>5538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Katrin Fink</dc:creator>
  <cp:lastModifiedBy>Dr. Katrin Fink</cp:lastModifiedBy>
  <cp:revision>2</cp:revision>
  <dcterms:created xsi:type="dcterms:W3CDTF">2025-05-20T11:37:00Z</dcterms:created>
  <dcterms:modified xsi:type="dcterms:W3CDTF">2025-05-20T11:37:00Z</dcterms:modified>
</cp:coreProperties>
</file>