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3E90" w14:textId="7DC524D7" w:rsidR="00897D69" w:rsidRDefault="00BC0700" w:rsidP="00BC0700">
      <w:pPr>
        <w:spacing w:line="480" w:lineRule="auto"/>
      </w:pPr>
      <w:r w:rsidRPr="00845023">
        <w:rPr>
          <w:b/>
          <w:bCs/>
        </w:rPr>
        <w:t xml:space="preserve">Table </w:t>
      </w:r>
      <w:r>
        <w:rPr>
          <w:b/>
          <w:bCs/>
        </w:rPr>
        <w:t>S1:</w:t>
      </w:r>
      <w:r>
        <w:t xml:space="preserve"> Network and node metrics for level-specific subnetworks of the 201</w:t>
      </w:r>
      <w:r w:rsidR="00920799">
        <w:t>7</w:t>
      </w:r>
      <w:r>
        <w:t xml:space="preserve"> Equestrian Canada competition contact networks in Ontario.</w:t>
      </w:r>
    </w:p>
    <w:tbl>
      <w:tblPr>
        <w:tblStyle w:val="ListTable6Colorful"/>
        <w:tblW w:w="10348" w:type="dxa"/>
        <w:tblInd w:w="-567" w:type="dxa"/>
        <w:tblLook w:val="06A0" w:firstRow="1" w:lastRow="0" w:firstColumn="1" w:lastColumn="0" w:noHBand="1" w:noVBand="1"/>
      </w:tblPr>
      <w:tblGrid>
        <w:gridCol w:w="2694"/>
        <w:gridCol w:w="1842"/>
        <w:gridCol w:w="2127"/>
        <w:gridCol w:w="1842"/>
        <w:gridCol w:w="1843"/>
      </w:tblGrid>
      <w:tr w:rsidR="00BC0700" w:rsidRPr="00ED21C1" w14:paraId="437E7494" w14:textId="77777777" w:rsidTr="003713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406A008" w14:textId="77777777" w:rsidR="00BC0700" w:rsidRPr="00ED21C1" w:rsidRDefault="00BC0700" w:rsidP="00480759">
            <w:pPr>
              <w:rPr>
                <w:szCs w:val="24"/>
              </w:rPr>
            </w:pPr>
            <w:bookmarkStart w:id="0" w:name="_Hlk55990413"/>
          </w:p>
        </w:tc>
        <w:tc>
          <w:tcPr>
            <w:tcW w:w="1842" w:type="dxa"/>
          </w:tcPr>
          <w:p w14:paraId="0D360350" w14:textId="77777777" w:rsidR="00BC0700" w:rsidRPr="00ED21C1" w:rsidRDefault="00BC0700" w:rsidP="00480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Bronze</w:t>
            </w:r>
          </w:p>
        </w:tc>
        <w:tc>
          <w:tcPr>
            <w:tcW w:w="2127" w:type="dxa"/>
          </w:tcPr>
          <w:p w14:paraId="6C29D493" w14:textId="77777777" w:rsidR="00BC0700" w:rsidRPr="00ED21C1" w:rsidRDefault="00BC0700" w:rsidP="00480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Silver</w:t>
            </w:r>
          </w:p>
        </w:tc>
        <w:tc>
          <w:tcPr>
            <w:tcW w:w="1842" w:type="dxa"/>
          </w:tcPr>
          <w:p w14:paraId="1BCCF44E" w14:textId="77777777" w:rsidR="00BC0700" w:rsidRPr="00ED21C1" w:rsidRDefault="00BC0700" w:rsidP="00480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Gold</w:t>
            </w:r>
          </w:p>
        </w:tc>
        <w:tc>
          <w:tcPr>
            <w:tcW w:w="1843" w:type="dxa"/>
          </w:tcPr>
          <w:p w14:paraId="20C51334" w14:textId="77777777" w:rsidR="00BC0700" w:rsidRDefault="00BC0700" w:rsidP="00480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Platinum</w:t>
            </w:r>
          </w:p>
        </w:tc>
      </w:tr>
      <w:tr w:rsidR="00BC0700" w:rsidRPr="00ED21C1" w14:paraId="20D76D86" w14:textId="77777777" w:rsidTr="003713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54B1E91" w14:textId="77777777" w:rsidR="00BC0700" w:rsidRPr="00C77B9B" w:rsidRDefault="00BC0700" w:rsidP="00480759">
            <w:pPr>
              <w:spacing w:after="12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Nodes (n)</w:t>
            </w:r>
          </w:p>
        </w:tc>
        <w:tc>
          <w:tcPr>
            <w:tcW w:w="1842" w:type="dxa"/>
          </w:tcPr>
          <w:p w14:paraId="0DE0817D" w14:textId="2CC093DA" w:rsidR="00BC0700" w:rsidRPr="00ED21C1" w:rsidRDefault="00355725" w:rsidP="00480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2127" w:type="dxa"/>
          </w:tcPr>
          <w:p w14:paraId="78D43F98" w14:textId="60313ABD" w:rsidR="00BC0700" w:rsidRPr="00ED21C1" w:rsidRDefault="00BC0700" w:rsidP="00480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71394">
              <w:rPr>
                <w:szCs w:val="24"/>
              </w:rPr>
              <w:t>09</w:t>
            </w:r>
          </w:p>
        </w:tc>
        <w:tc>
          <w:tcPr>
            <w:tcW w:w="1842" w:type="dxa"/>
          </w:tcPr>
          <w:p w14:paraId="0198AA5A" w14:textId="197671B8" w:rsidR="00BC0700" w:rsidRPr="00ED21C1" w:rsidRDefault="00371394" w:rsidP="00480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843" w:type="dxa"/>
          </w:tcPr>
          <w:p w14:paraId="58CBE32F" w14:textId="77777777" w:rsidR="00BC0700" w:rsidRDefault="00BC0700" w:rsidP="00480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BC0700" w:rsidRPr="00ED21C1" w14:paraId="55458314" w14:textId="77777777" w:rsidTr="003713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3917EC2" w14:textId="77777777" w:rsidR="00BC0700" w:rsidRDefault="00BC0700" w:rsidP="00480759">
            <w:pPr>
              <w:spacing w:after="12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Edges</w:t>
            </w:r>
          </w:p>
        </w:tc>
        <w:tc>
          <w:tcPr>
            <w:tcW w:w="1842" w:type="dxa"/>
          </w:tcPr>
          <w:p w14:paraId="7FB87A1E" w14:textId="197522A3" w:rsidR="00BC0700" w:rsidRPr="00ED21C1" w:rsidRDefault="00355725" w:rsidP="0048075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486</w:t>
            </w:r>
          </w:p>
        </w:tc>
        <w:tc>
          <w:tcPr>
            <w:tcW w:w="2127" w:type="dxa"/>
          </w:tcPr>
          <w:p w14:paraId="6331C017" w14:textId="0E570A09" w:rsidR="00BC0700" w:rsidRPr="00ED21C1" w:rsidRDefault="00371394" w:rsidP="0048075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939</w:t>
            </w:r>
          </w:p>
        </w:tc>
        <w:tc>
          <w:tcPr>
            <w:tcW w:w="1842" w:type="dxa"/>
          </w:tcPr>
          <w:p w14:paraId="06A3217A" w14:textId="4DD99C73" w:rsidR="00BC0700" w:rsidRPr="00ED21C1" w:rsidRDefault="00371394" w:rsidP="0048075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619</w:t>
            </w:r>
          </w:p>
        </w:tc>
        <w:tc>
          <w:tcPr>
            <w:tcW w:w="1843" w:type="dxa"/>
          </w:tcPr>
          <w:p w14:paraId="3B48071C" w14:textId="2116D183" w:rsidR="00BC0700" w:rsidRDefault="00BC0700" w:rsidP="0048075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</w:tr>
      <w:tr w:rsidR="00BC0700" w:rsidRPr="00ED21C1" w14:paraId="7F508E73" w14:textId="77777777" w:rsidTr="003713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6C28229" w14:textId="77777777" w:rsidR="00BC0700" w:rsidRPr="00EE4E0F" w:rsidRDefault="00BC0700" w:rsidP="00480759">
            <w:pPr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Density</w:t>
            </w:r>
          </w:p>
        </w:tc>
        <w:tc>
          <w:tcPr>
            <w:tcW w:w="1842" w:type="dxa"/>
          </w:tcPr>
          <w:p w14:paraId="4F084E50" w14:textId="0F31CD85" w:rsidR="00BC0700" w:rsidRDefault="00BC0700" w:rsidP="00480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55725"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  <w:r w:rsidR="00355725">
              <w:rPr>
                <w:szCs w:val="24"/>
              </w:rPr>
              <w:t>1</w:t>
            </w:r>
            <w:r>
              <w:rPr>
                <w:szCs w:val="24"/>
              </w:rPr>
              <w:t>%</w:t>
            </w:r>
          </w:p>
        </w:tc>
        <w:tc>
          <w:tcPr>
            <w:tcW w:w="2127" w:type="dxa"/>
          </w:tcPr>
          <w:p w14:paraId="0CB130BA" w14:textId="7296609C" w:rsidR="00BC0700" w:rsidRDefault="00371394" w:rsidP="00480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C0700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BC0700">
              <w:rPr>
                <w:szCs w:val="24"/>
              </w:rPr>
              <w:t>%</w:t>
            </w:r>
          </w:p>
        </w:tc>
        <w:tc>
          <w:tcPr>
            <w:tcW w:w="1842" w:type="dxa"/>
          </w:tcPr>
          <w:p w14:paraId="04A70500" w14:textId="5CF66D45" w:rsidR="00BC0700" w:rsidRDefault="00BC0700" w:rsidP="00480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71394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 w:rsidR="00371394">
              <w:rPr>
                <w:szCs w:val="24"/>
              </w:rPr>
              <w:t>7</w:t>
            </w:r>
            <w:r>
              <w:rPr>
                <w:szCs w:val="24"/>
              </w:rPr>
              <w:t>%</w:t>
            </w:r>
          </w:p>
        </w:tc>
        <w:tc>
          <w:tcPr>
            <w:tcW w:w="1843" w:type="dxa"/>
          </w:tcPr>
          <w:p w14:paraId="167771AC" w14:textId="44CBBFC5" w:rsidR="00BC0700" w:rsidRDefault="00BC0700" w:rsidP="00480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36.5%</w:t>
            </w:r>
          </w:p>
        </w:tc>
      </w:tr>
      <w:tr w:rsidR="00BC0700" w:rsidRPr="00ED21C1" w14:paraId="4F82D474" w14:textId="77777777" w:rsidTr="003713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075D01B" w14:textId="77777777" w:rsidR="00BC0700" w:rsidRPr="00CB479A" w:rsidRDefault="00BC0700" w:rsidP="00480759">
            <w:pPr>
              <w:spacing w:before="120"/>
              <w:rPr>
                <w:b w:val="0"/>
                <w:bCs w:val="0"/>
                <w:szCs w:val="24"/>
                <w:vertAlign w:val="superscript"/>
              </w:rPr>
            </w:pPr>
            <w:r>
              <w:rPr>
                <w:b w:val="0"/>
                <w:bCs w:val="0"/>
                <w:szCs w:val="24"/>
              </w:rPr>
              <w:t>Standardized Indegree</w:t>
            </w:r>
            <w:r>
              <w:rPr>
                <w:b w:val="0"/>
                <w:bCs w:val="0"/>
                <w:szCs w:val="24"/>
                <w:vertAlign w:val="superscript"/>
              </w:rPr>
              <w:t>*</w:t>
            </w:r>
          </w:p>
        </w:tc>
        <w:tc>
          <w:tcPr>
            <w:tcW w:w="1842" w:type="dxa"/>
          </w:tcPr>
          <w:p w14:paraId="52BD7F3D" w14:textId="7DA10B0A" w:rsidR="00BC0700" w:rsidRDefault="00BC070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</w:t>
            </w:r>
            <w:r w:rsidR="00355725">
              <w:rPr>
                <w:szCs w:val="24"/>
              </w:rPr>
              <w:t>07</w:t>
            </w:r>
            <w:r>
              <w:rPr>
                <w:szCs w:val="24"/>
              </w:rPr>
              <w:t xml:space="preserve"> (0.03 - 0.</w:t>
            </w:r>
            <w:r w:rsidR="00355725">
              <w:rPr>
                <w:szCs w:val="24"/>
              </w:rPr>
              <w:t>1</w:t>
            </w:r>
            <w:r>
              <w:rPr>
                <w:szCs w:val="24"/>
              </w:rPr>
              <w:t>)</w:t>
            </w:r>
          </w:p>
        </w:tc>
        <w:tc>
          <w:tcPr>
            <w:tcW w:w="2127" w:type="dxa"/>
          </w:tcPr>
          <w:p w14:paraId="4AC7226C" w14:textId="29EF408C" w:rsidR="00BC0700" w:rsidRDefault="00BC070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0.0</w:t>
            </w:r>
            <w:r w:rsidR="00371394">
              <w:rPr>
                <w:szCs w:val="24"/>
              </w:rPr>
              <w:t>6</w:t>
            </w:r>
            <w:r>
              <w:rPr>
                <w:szCs w:val="24"/>
              </w:rPr>
              <w:t xml:space="preserve"> (0.0</w:t>
            </w:r>
            <w:r w:rsidR="00371394">
              <w:rPr>
                <w:szCs w:val="24"/>
              </w:rPr>
              <w:t>3</w:t>
            </w:r>
            <w:r>
              <w:rPr>
                <w:szCs w:val="24"/>
              </w:rPr>
              <w:t xml:space="preserve"> - 0.</w:t>
            </w:r>
            <w:r w:rsidR="00371394">
              <w:rPr>
                <w:szCs w:val="24"/>
              </w:rPr>
              <w:t>1</w:t>
            </w:r>
            <w:r>
              <w:rPr>
                <w:szCs w:val="24"/>
              </w:rPr>
              <w:t>)</w:t>
            </w:r>
          </w:p>
        </w:tc>
        <w:tc>
          <w:tcPr>
            <w:tcW w:w="1842" w:type="dxa"/>
          </w:tcPr>
          <w:p w14:paraId="54806C37" w14:textId="611762F2" w:rsidR="00BC0700" w:rsidRDefault="00BC070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</w:t>
            </w:r>
            <w:r w:rsidR="00371394">
              <w:rPr>
                <w:szCs w:val="24"/>
              </w:rPr>
              <w:t>2</w:t>
            </w:r>
            <w:r>
              <w:rPr>
                <w:szCs w:val="24"/>
              </w:rPr>
              <w:t xml:space="preserve"> (0.0</w:t>
            </w:r>
            <w:r w:rsidR="00371394">
              <w:rPr>
                <w:szCs w:val="24"/>
              </w:rPr>
              <w:t>7</w:t>
            </w:r>
            <w:r>
              <w:rPr>
                <w:szCs w:val="24"/>
              </w:rPr>
              <w:t xml:space="preserve"> - 0.</w:t>
            </w:r>
            <w:r w:rsidR="00371394">
              <w:rPr>
                <w:szCs w:val="24"/>
              </w:rPr>
              <w:t>3</w:t>
            </w:r>
            <w:r>
              <w:rPr>
                <w:szCs w:val="24"/>
              </w:rPr>
              <w:t>)</w:t>
            </w:r>
          </w:p>
        </w:tc>
        <w:tc>
          <w:tcPr>
            <w:tcW w:w="1843" w:type="dxa"/>
          </w:tcPr>
          <w:p w14:paraId="5DC451CC" w14:textId="30A1BECD" w:rsidR="00BC0700" w:rsidRDefault="00BC070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0.3 (0.2 – 0.5)</w:t>
            </w:r>
          </w:p>
        </w:tc>
      </w:tr>
      <w:tr w:rsidR="00BC0700" w:rsidRPr="00ED21C1" w14:paraId="41419EB6" w14:textId="77777777" w:rsidTr="003713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91D3BB5" w14:textId="77777777" w:rsidR="00BC0700" w:rsidRPr="0049647C" w:rsidRDefault="00BC0700" w:rsidP="00480759">
            <w:pPr>
              <w:spacing w:before="120"/>
              <w:rPr>
                <w:b w:val="0"/>
                <w:bCs w:val="0"/>
                <w:szCs w:val="24"/>
                <w:vertAlign w:val="superscript"/>
              </w:rPr>
            </w:pPr>
            <w:r>
              <w:rPr>
                <w:b w:val="0"/>
                <w:bCs w:val="0"/>
                <w:szCs w:val="24"/>
              </w:rPr>
              <w:t>Standardized Outdegree</w:t>
            </w:r>
            <w:r>
              <w:rPr>
                <w:b w:val="0"/>
                <w:bCs w:val="0"/>
                <w:szCs w:val="24"/>
                <w:vertAlign w:val="superscript"/>
              </w:rPr>
              <w:t>*</w:t>
            </w:r>
          </w:p>
        </w:tc>
        <w:tc>
          <w:tcPr>
            <w:tcW w:w="1842" w:type="dxa"/>
          </w:tcPr>
          <w:p w14:paraId="2188793B" w14:textId="3F301BCA" w:rsidR="00BC0700" w:rsidRDefault="00BC070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</w:t>
            </w:r>
            <w:r w:rsidR="00355725">
              <w:rPr>
                <w:szCs w:val="24"/>
              </w:rPr>
              <w:t>09</w:t>
            </w:r>
            <w:r>
              <w:rPr>
                <w:szCs w:val="24"/>
              </w:rPr>
              <w:t xml:space="preserve"> (0.0</w:t>
            </w:r>
            <w:r w:rsidR="00355725">
              <w:rPr>
                <w:szCs w:val="24"/>
              </w:rPr>
              <w:t>4</w:t>
            </w:r>
            <w:r>
              <w:rPr>
                <w:szCs w:val="24"/>
              </w:rPr>
              <w:t xml:space="preserve"> - 0.</w:t>
            </w:r>
            <w:r w:rsidR="00355725">
              <w:rPr>
                <w:szCs w:val="24"/>
              </w:rPr>
              <w:t>1</w:t>
            </w:r>
            <w:r>
              <w:rPr>
                <w:szCs w:val="24"/>
              </w:rPr>
              <w:t>)</w:t>
            </w:r>
          </w:p>
        </w:tc>
        <w:tc>
          <w:tcPr>
            <w:tcW w:w="2127" w:type="dxa"/>
          </w:tcPr>
          <w:p w14:paraId="0B9F842F" w14:textId="7A3CF3BD" w:rsidR="00BC0700" w:rsidRDefault="00BC070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0.0</w:t>
            </w:r>
            <w:r w:rsidR="00371394">
              <w:rPr>
                <w:szCs w:val="24"/>
              </w:rPr>
              <w:t>7</w:t>
            </w:r>
            <w:r>
              <w:rPr>
                <w:szCs w:val="24"/>
              </w:rPr>
              <w:t xml:space="preserve"> (0.0</w:t>
            </w:r>
            <w:r w:rsidR="00371394">
              <w:rPr>
                <w:szCs w:val="24"/>
              </w:rPr>
              <w:t>4</w:t>
            </w:r>
            <w:r>
              <w:rPr>
                <w:szCs w:val="24"/>
              </w:rPr>
              <w:t xml:space="preserve"> - 0.1)</w:t>
            </w:r>
          </w:p>
        </w:tc>
        <w:tc>
          <w:tcPr>
            <w:tcW w:w="1842" w:type="dxa"/>
          </w:tcPr>
          <w:p w14:paraId="019EB7F3" w14:textId="47581216" w:rsidR="00BC0700" w:rsidRDefault="00BC070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0.1 (0.0</w:t>
            </w:r>
            <w:r w:rsidR="00371394">
              <w:rPr>
                <w:szCs w:val="24"/>
              </w:rPr>
              <w:t>8</w:t>
            </w:r>
            <w:r>
              <w:rPr>
                <w:szCs w:val="24"/>
              </w:rPr>
              <w:t xml:space="preserve"> - 0.</w:t>
            </w:r>
            <w:r w:rsidR="00371394">
              <w:rPr>
                <w:szCs w:val="24"/>
              </w:rPr>
              <w:t>3</w:t>
            </w:r>
            <w:r>
              <w:rPr>
                <w:szCs w:val="24"/>
              </w:rPr>
              <w:t>)</w:t>
            </w:r>
          </w:p>
        </w:tc>
        <w:tc>
          <w:tcPr>
            <w:tcW w:w="1843" w:type="dxa"/>
          </w:tcPr>
          <w:p w14:paraId="41039395" w14:textId="22991CCB" w:rsidR="00BC0700" w:rsidRDefault="00BC070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0.3 (0.08 – 0.5)</w:t>
            </w:r>
          </w:p>
        </w:tc>
      </w:tr>
      <w:tr w:rsidR="00BC0700" w:rsidRPr="00ED21C1" w14:paraId="0D0A0F46" w14:textId="77777777" w:rsidTr="003713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D727A6C" w14:textId="77777777" w:rsidR="00BC0700" w:rsidRPr="00DD78D4" w:rsidRDefault="00BC0700" w:rsidP="00480759">
            <w:pPr>
              <w:spacing w:before="12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Edge Weight</w:t>
            </w:r>
            <w:proofErr w:type="gramStart"/>
            <w:r>
              <w:rPr>
                <w:b w:val="0"/>
                <w:bCs w:val="0"/>
                <w:szCs w:val="24"/>
                <w:vertAlign w:val="superscript"/>
              </w:rPr>
              <w:t>*,*</w:t>
            </w:r>
            <w:proofErr w:type="gramEnd"/>
            <w:r>
              <w:rPr>
                <w:b w:val="0"/>
                <w:bCs w:val="0"/>
                <w:szCs w:val="24"/>
                <w:vertAlign w:val="superscript"/>
              </w:rPr>
              <w:t>*</w:t>
            </w:r>
          </w:p>
        </w:tc>
        <w:tc>
          <w:tcPr>
            <w:tcW w:w="1842" w:type="dxa"/>
          </w:tcPr>
          <w:p w14:paraId="7BCF2D97" w14:textId="5337B903" w:rsidR="00BC0700" w:rsidRDefault="00355725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BC0700">
              <w:rPr>
                <w:szCs w:val="24"/>
              </w:rPr>
              <w:t xml:space="preserve"> (</w:t>
            </w:r>
            <w:r>
              <w:rPr>
                <w:szCs w:val="24"/>
              </w:rPr>
              <w:t>1</w:t>
            </w:r>
            <w:r w:rsidR="00BC0700">
              <w:rPr>
                <w:szCs w:val="24"/>
              </w:rPr>
              <w:t xml:space="preserve"> - 1</w:t>
            </w:r>
            <w:r>
              <w:rPr>
                <w:szCs w:val="24"/>
              </w:rPr>
              <w:t>1</w:t>
            </w:r>
            <w:r w:rsidR="00BC0700">
              <w:rPr>
                <w:szCs w:val="24"/>
              </w:rPr>
              <w:t>)</w:t>
            </w:r>
          </w:p>
        </w:tc>
        <w:tc>
          <w:tcPr>
            <w:tcW w:w="2127" w:type="dxa"/>
          </w:tcPr>
          <w:p w14:paraId="5614E813" w14:textId="7555BDD3" w:rsidR="00BC0700" w:rsidRDefault="00355725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BC0700">
              <w:rPr>
                <w:szCs w:val="24"/>
              </w:rPr>
              <w:t xml:space="preserve"> (</w:t>
            </w:r>
            <w:r>
              <w:rPr>
                <w:szCs w:val="24"/>
              </w:rPr>
              <w:t>1</w:t>
            </w:r>
            <w:r w:rsidR="00BC0700">
              <w:rPr>
                <w:szCs w:val="24"/>
              </w:rPr>
              <w:t xml:space="preserve">- </w:t>
            </w:r>
            <w:r>
              <w:rPr>
                <w:szCs w:val="24"/>
              </w:rPr>
              <w:t>34</w:t>
            </w:r>
            <w:r w:rsidR="00BC0700">
              <w:rPr>
                <w:szCs w:val="24"/>
              </w:rPr>
              <w:t>)</w:t>
            </w:r>
          </w:p>
        </w:tc>
        <w:tc>
          <w:tcPr>
            <w:tcW w:w="1842" w:type="dxa"/>
          </w:tcPr>
          <w:p w14:paraId="7B18023B" w14:textId="3856DCC2" w:rsidR="00BC0700" w:rsidRDefault="00371394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BC0700">
              <w:rPr>
                <w:szCs w:val="24"/>
              </w:rPr>
              <w:t xml:space="preserve"> (2 </w:t>
            </w:r>
            <w:r>
              <w:rPr>
                <w:szCs w:val="24"/>
              </w:rPr>
              <w:t>–</w:t>
            </w:r>
            <w:r w:rsidR="00BC0700">
              <w:rPr>
                <w:szCs w:val="24"/>
              </w:rPr>
              <w:t xml:space="preserve"> </w:t>
            </w:r>
            <w:r>
              <w:rPr>
                <w:szCs w:val="24"/>
              </w:rPr>
              <w:t>95.5</w:t>
            </w:r>
            <w:r w:rsidR="00BC0700">
              <w:rPr>
                <w:szCs w:val="24"/>
              </w:rPr>
              <w:t>)</w:t>
            </w:r>
          </w:p>
        </w:tc>
        <w:tc>
          <w:tcPr>
            <w:tcW w:w="1843" w:type="dxa"/>
          </w:tcPr>
          <w:p w14:paraId="631A8FC3" w14:textId="7AD69DB0" w:rsidR="00BC0700" w:rsidRDefault="00BC070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182 (119 - 253)</w:t>
            </w:r>
          </w:p>
        </w:tc>
      </w:tr>
      <w:tr w:rsidR="00BC0700" w:rsidRPr="00ED21C1" w14:paraId="3C310A29" w14:textId="77777777" w:rsidTr="003713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5F8A554" w14:textId="77777777" w:rsidR="00BC0700" w:rsidRDefault="00BC0700" w:rsidP="00480759">
            <w:pPr>
              <w:spacing w:before="12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 xml:space="preserve">Clusters </w:t>
            </w:r>
          </w:p>
        </w:tc>
        <w:tc>
          <w:tcPr>
            <w:tcW w:w="1842" w:type="dxa"/>
          </w:tcPr>
          <w:p w14:paraId="3EEB6A7F" w14:textId="77777777" w:rsidR="00BC0700" w:rsidRDefault="00BC070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127" w:type="dxa"/>
          </w:tcPr>
          <w:p w14:paraId="686161F3" w14:textId="058CBE1B" w:rsidR="00BC0700" w:rsidRDefault="00355725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42" w:type="dxa"/>
          </w:tcPr>
          <w:p w14:paraId="7AF7A2FB" w14:textId="77777777" w:rsidR="00BC0700" w:rsidRDefault="00BC070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</w:tcPr>
          <w:p w14:paraId="0934731E" w14:textId="77777777" w:rsidR="00BC0700" w:rsidRDefault="00BC070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BC0700" w:rsidRPr="00ED21C1" w14:paraId="18418539" w14:textId="77777777" w:rsidTr="003713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05F8C94" w14:textId="77777777" w:rsidR="00BC0700" w:rsidRDefault="00BC0700" w:rsidP="00480759">
            <w:pPr>
              <w:spacing w:before="12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Modularity</w:t>
            </w:r>
          </w:p>
        </w:tc>
        <w:tc>
          <w:tcPr>
            <w:tcW w:w="1842" w:type="dxa"/>
          </w:tcPr>
          <w:p w14:paraId="2CA0E0C2" w14:textId="6C377B63" w:rsidR="00BC0700" w:rsidRDefault="00BC070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0.7</w:t>
            </w:r>
            <w:r w:rsidR="00355725">
              <w:rPr>
                <w:szCs w:val="24"/>
              </w:rPr>
              <w:t>4</w:t>
            </w:r>
          </w:p>
        </w:tc>
        <w:tc>
          <w:tcPr>
            <w:tcW w:w="2127" w:type="dxa"/>
          </w:tcPr>
          <w:p w14:paraId="32DB47E5" w14:textId="7242D3B5" w:rsidR="00BC0700" w:rsidRDefault="00BC070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0.6</w:t>
            </w:r>
            <w:r w:rsidR="00355725">
              <w:rPr>
                <w:szCs w:val="24"/>
              </w:rPr>
              <w:t>4</w:t>
            </w:r>
          </w:p>
        </w:tc>
        <w:tc>
          <w:tcPr>
            <w:tcW w:w="1842" w:type="dxa"/>
          </w:tcPr>
          <w:p w14:paraId="2161F8BB" w14:textId="2F0C5A5D" w:rsidR="00BC0700" w:rsidRDefault="00BC070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0.1</w:t>
            </w:r>
            <w:r w:rsidR="00371394">
              <w:rPr>
                <w:szCs w:val="24"/>
              </w:rPr>
              <w:t>3</w:t>
            </w:r>
          </w:p>
        </w:tc>
        <w:tc>
          <w:tcPr>
            <w:tcW w:w="1843" w:type="dxa"/>
          </w:tcPr>
          <w:p w14:paraId="468FDDEC" w14:textId="3404224F" w:rsidR="00BC0700" w:rsidRDefault="00BC070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0.0</w:t>
            </w:r>
            <w:r w:rsidR="00371394">
              <w:rPr>
                <w:szCs w:val="24"/>
              </w:rPr>
              <w:t>1</w:t>
            </w:r>
          </w:p>
        </w:tc>
      </w:tr>
    </w:tbl>
    <w:bookmarkEnd w:id="0"/>
    <w:p w14:paraId="6574E6F0" w14:textId="77777777" w:rsidR="00883E48" w:rsidRPr="0039799A" w:rsidRDefault="00883E48" w:rsidP="00883E48">
      <w:r>
        <w:rPr>
          <w:vertAlign w:val="superscript"/>
        </w:rPr>
        <w:t>*</w:t>
      </w:r>
      <w:r>
        <w:t>Results presented as median (Interquartile range)</w:t>
      </w:r>
    </w:p>
    <w:p w14:paraId="1646801A" w14:textId="29AD1866" w:rsidR="00883E48" w:rsidRDefault="00883E48" w:rsidP="00883E48">
      <w:pPr>
        <w:spacing w:line="480" w:lineRule="auto"/>
      </w:pPr>
      <w:r>
        <w:rPr>
          <w:vertAlign w:val="superscript"/>
        </w:rPr>
        <w:t>**</w:t>
      </w:r>
      <w:r w:rsidRPr="006A2CB7">
        <w:t xml:space="preserve"> </w:t>
      </w:r>
      <w:r>
        <w:t>Edge weight = the number of horses co-attending both competitions</w:t>
      </w:r>
    </w:p>
    <w:p w14:paraId="2E761B6B" w14:textId="639E7B9C" w:rsidR="00BC0700" w:rsidRDefault="00BC0700"/>
    <w:p w14:paraId="59088B62" w14:textId="56F432BA" w:rsidR="00DA62D5" w:rsidRDefault="00DA62D5" w:rsidP="00DA62D5">
      <w:pPr>
        <w:spacing w:line="480" w:lineRule="auto"/>
      </w:pPr>
      <w:r w:rsidRPr="00845023">
        <w:rPr>
          <w:b/>
          <w:bCs/>
        </w:rPr>
        <w:t xml:space="preserve">Table </w:t>
      </w:r>
      <w:r>
        <w:rPr>
          <w:b/>
          <w:bCs/>
        </w:rPr>
        <w:t>S2:</w:t>
      </w:r>
      <w:r>
        <w:t xml:space="preserve"> Network and node metrics for level-specific subnetworks of the 201</w:t>
      </w:r>
      <w:r w:rsidR="00920799">
        <w:t>6</w:t>
      </w:r>
      <w:r>
        <w:t xml:space="preserve"> Equestrian Canada competition contact networks in Ontario.</w:t>
      </w:r>
    </w:p>
    <w:tbl>
      <w:tblPr>
        <w:tblStyle w:val="ListTable6Colorful"/>
        <w:tblW w:w="10348" w:type="dxa"/>
        <w:tblInd w:w="-567" w:type="dxa"/>
        <w:tblLook w:val="06A0" w:firstRow="1" w:lastRow="0" w:firstColumn="1" w:lastColumn="0" w:noHBand="1" w:noVBand="1"/>
      </w:tblPr>
      <w:tblGrid>
        <w:gridCol w:w="2694"/>
        <w:gridCol w:w="1842"/>
        <w:gridCol w:w="2127"/>
        <w:gridCol w:w="1842"/>
        <w:gridCol w:w="1843"/>
      </w:tblGrid>
      <w:tr w:rsidR="00DA62D5" w:rsidRPr="00ED21C1" w14:paraId="6F5C4800" w14:textId="77777777" w:rsidTr="00480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3CC1875" w14:textId="77777777" w:rsidR="00DA62D5" w:rsidRPr="00ED21C1" w:rsidRDefault="00DA62D5" w:rsidP="00480759">
            <w:pPr>
              <w:rPr>
                <w:szCs w:val="24"/>
              </w:rPr>
            </w:pPr>
          </w:p>
        </w:tc>
        <w:tc>
          <w:tcPr>
            <w:tcW w:w="1842" w:type="dxa"/>
          </w:tcPr>
          <w:p w14:paraId="07D30B36" w14:textId="77777777" w:rsidR="00DA62D5" w:rsidRPr="00ED21C1" w:rsidRDefault="00DA62D5" w:rsidP="00480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Bronze</w:t>
            </w:r>
          </w:p>
        </w:tc>
        <w:tc>
          <w:tcPr>
            <w:tcW w:w="2127" w:type="dxa"/>
          </w:tcPr>
          <w:p w14:paraId="4661CDC4" w14:textId="77777777" w:rsidR="00DA62D5" w:rsidRPr="00ED21C1" w:rsidRDefault="00DA62D5" w:rsidP="00480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Silver</w:t>
            </w:r>
          </w:p>
        </w:tc>
        <w:tc>
          <w:tcPr>
            <w:tcW w:w="1842" w:type="dxa"/>
          </w:tcPr>
          <w:p w14:paraId="311FA60E" w14:textId="77777777" w:rsidR="00DA62D5" w:rsidRPr="00ED21C1" w:rsidRDefault="00DA62D5" w:rsidP="00480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Gold</w:t>
            </w:r>
          </w:p>
        </w:tc>
        <w:tc>
          <w:tcPr>
            <w:tcW w:w="1843" w:type="dxa"/>
          </w:tcPr>
          <w:p w14:paraId="2632365D" w14:textId="77777777" w:rsidR="00DA62D5" w:rsidRDefault="00DA62D5" w:rsidP="00480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Platinum</w:t>
            </w:r>
          </w:p>
        </w:tc>
      </w:tr>
      <w:tr w:rsidR="00DA62D5" w:rsidRPr="00ED21C1" w14:paraId="11F665B1" w14:textId="77777777" w:rsidTr="00480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2432D5F" w14:textId="77777777" w:rsidR="00DA62D5" w:rsidRPr="00C77B9B" w:rsidRDefault="00DA62D5" w:rsidP="00480759">
            <w:pPr>
              <w:spacing w:after="12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Nodes (n)</w:t>
            </w:r>
          </w:p>
        </w:tc>
        <w:tc>
          <w:tcPr>
            <w:tcW w:w="1842" w:type="dxa"/>
          </w:tcPr>
          <w:p w14:paraId="26307BA4" w14:textId="451DF471" w:rsidR="00DA62D5" w:rsidRPr="00ED21C1" w:rsidRDefault="00CA2EED" w:rsidP="00480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2127" w:type="dxa"/>
          </w:tcPr>
          <w:p w14:paraId="2D040C29" w14:textId="3826E2D4" w:rsidR="00DA62D5" w:rsidRPr="00ED21C1" w:rsidRDefault="00DA62D5" w:rsidP="00480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23A0C">
              <w:rPr>
                <w:szCs w:val="24"/>
              </w:rPr>
              <w:t>15</w:t>
            </w:r>
          </w:p>
        </w:tc>
        <w:tc>
          <w:tcPr>
            <w:tcW w:w="1842" w:type="dxa"/>
          </w:tcPr>
          <w:p w14:paraId="0F53429C" w14:textId="45A117B9" w:rsidR="00DA62D5" w:rsidRPr="00ED21C1" w:rsidRDefault="009A0163" w:rsidP="00480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843" w:type="dxa"/>
          </w:tcPr>
          <w:p w14:paraId="082F199E" w14:textId="68816796" w:rsidR="00DA62D5" w:rsidRDefault="00DA62D5" w:rsidP="00480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A6F3E">
              <w:rPr>
                <w:szCs w:val="24"/>
              </w:rPr>
              <w:t>7</w:t>
            </w:r>
          </w:p>
        </w:tc>
      </w:tr>
      <w:tr w:rsidR="00DA62D5" w:rsidRPr="00ED21C1" w14:paraId="108869C3" w14:textId="77777777" w:rsidTr="00480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4A7FFFB" w14:textId="77777777" w:rsidR="00DA62D5" w:rsidRDefault="00DA62D5" w:rsidP="00480759">
            <w:pPr>
              <w:spacing w:after="12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Edges</w:t>
            </w:r>
          </w:p>
        </w:tc>
        <w:tc>
          <w:tcPr>
            <w:tcW w:w="1842" w:type="dxa"/>
          </w:tcPr>
          <w:p w14:paraId="2C14215E" w14:textId="3627C54A" w:rsidR="00DA62D5" w:rsidRPr="00ED21C1" w:rsidRDefault="00CA2EED" w:rsidP="0048075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580</w:t>
            </w:r>
          </w:p>
        </w:tc>
        <w:tc>
          <w:tcPr>
            <w:tcW w:w="2127" w:type="dxa"/>
          </w:tcPr>
          <w:p w14:paraId="1B50DD2E" w14:textId="6C7077AE" w:rsidR="00DA62D5" w:rsidRPr="00ED21C1" w:rsidRDefault="00A23A0C" w:rsidP="0048075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1145</w:t>
            </w:r>
          </w:p>
        </w:tc>
        <w:tc>
          <w:tcPr>
            <w:tcW w:w="1842" w:type="dxa"/>
          </w:tcPr>
          <w:p w14:paraId="0841F2E0" w14:textId="301D373A" w:rsidR="00DA62D5" w:rsidRPr="00ED21C1" w:rsidRDefault="00DA62D5" w:rsidP="0048075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BA24E5">
              <w:rPr>
                <w:szCs w:val="24"/>
              </w:rPr>
              <w:t>74</w:t>
            </w:r>
          </w:p>
        </w:tc>
        <w:tc>
          <w:tcPr>
            <w:tcW w:w="1843" w:type="dxa"/>
          </w:tcPr>
          <w:p w14:paraId="650F2196" w14:textId="1034C42F" w:rsidR="00DA62D5" w:rsidRDefault="00FE3C3F" w:rsidP="0048075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</w:tc>
      </w:tr>
      <w:tr w:rsidR="00DA62D5" w:rsidRPr="00ED21C1" w14:paraId="44CDBBE6" w14:textId="77777777" w:rsidTr="00480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C4E1164" w14:textId="77777777" w:rsidR="00DA62D5" w:rsidRPr="00EE4E0F" w:rsidRDefault="00DA62D5" w:rsidP="00480759">
            <w:pPr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Density</w:t>
            </w:r>
          </w:p>
        </w:tc>
        <w:tc>
          <w:tcPr>
            <w:tcW w:w="1842" w:type="dxa"/>
          </w:tcPr>
          <w:p w14:paraId="39FE01F8" w14:textId="7E56F4B0" w:rsidR="00DA62D5" w:rsidRDefault="00DA62D5" w:rsidP="00480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A2EED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  <w:r w:rsidR="00CA2EED">
              <w:rPr>
                <w:szCs w:val="24"/>
              </w:rPr>
              <w:t>4</w:t>
            </w:r>
            <w:r>
              <w:rPr>
                <w:szCs w:val="24"/>
              </w:rPr>
              <w:t>%</w:t>
            </w:r>
          </w:p>
        </w:tc>
        <w:tc>
          <w:tcPr>
            <w:tcW w:w="2127" w:type="dxa"/>
          </w:tcPr>
          <w:p w14:paraId="609E5C5C" w14:textId="00CE770A" w:rsidR="00DA62D5" w:rsidRDefault="00DA62D5" w:rsidP="00480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8.</w:t>
            </w:r>
            <w:r w:rsidR="00A23A0C">
              <w:rPr>
                <w:szCs w:val="24"/>
              </w:rPr>
              <w:t>7</w:t>
            </w:r>
            <w:r>
              <w:rPr>
                <w:szCs w:val="24"/>
              </w:rPr>
              <w:t>%</w:t>
            </w:r>
          </w:p>
        </w:tc>
        <w:tc>
          <w:tcPr>
            <w:tcW w:w="1842" w:type="dxa"/>
          </w:tcPr>
          <w:p w14:paraId="364A2A63" w14:textId="1CA9F181" w:rsidR="00DA62D5" w:rsidRDefault="00DA62D5" w:rsidP="00480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18.</w:t>
            </w:r>
            <w:r w:rsidR="0035686B">
              <w:rPr>
                <w:szCs w:val="24"/>
              </w:rPr>
              <w:t>4</w:t>
            </w:r>
            <w:r>
              <w:rPr>
                <w:szCs w:val="24"/>
              </w:rPr>
              <w:t>%</w:t>
            </w:r>
          </w:p>
        </w:tc>
        <w:tc>
          <w:tcPr>
            <w:tcW w:w="1843" w:type="dxa"/>
          </w:tcPr>
          <w:p w14:paraId="5648E032" w14:textId="02EBC198" w:rsidR="00DA62D5" w:rsidRDefault="00DA62D5" w:rsidP="00480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E3C3F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 w:rsidR="00FE3C3F">
              <w:rPr>
                <w:szCs w:val="24"/>
              </w:rPr>
              <w:t>7</w:t>
            </w:r>
            <w:r>
              <w:rPr>
                <w:szCs w:val="24"/>
              </w:rPr>
              <w:t>%</w:t>
            </w:r>
          </w:p>
        </w:tc>
      </w:tr>
      <w:tr w:rsidR="00DA62D5" w:rsidRPr="00ED21C1" w14:paraId="6E26D860" w14:textId="77777777" w:rsidTr="00480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3AE4950" w14:textId="77777777" w:rsidR="00DA62D5" w:rsidRPr="00CB479A" w:rsidRDefault="00DA62D5" w:rsidP="00480759">
            <w:pPr>
              <w:spacing w:before="120"/>
              <w:rPr>
                <w:b w:val="0"/>
                <w:bCs w:val="0"/>
                <w:szCs w:val="24"/>
                <w:vertAlign w:val="superscript"/>
              </w:rPr>
            </w:pPr>
            <w:r>
              <w:rPr>
                <w:b w:val="0"/>
                <w:bCs w:val="0"/>
                <w:szCs w:val="24"/>
              </w:rPr>
              <w:t>Standardized Indegree</w:t>
            </w:r>
            <w:r>
              <w:rPr>
                <w:b w:val="0"/>
                <w:bCs w:val="0"/>
                <w:szCs w:val="24"/>
                <w:vertAlign w:val="superscript"/>
              </w:rPr>
              <w:t>*</w:t>
            </w:r>
          </w:p>
        </w:tc>
        <w:tc>
          <w:tcPr>
            <w:tcW w:w="1842" w:type="dxa"/>
          </w:tcPr>
          <w:p w14:paraId="703F44F9" w14:textId="522C09F7" w:rsidR="00DA62D5" w:rsidRDefault="00DA62D5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0.0</w:t>
            </w:r>
            <w:r w:rsidR="00867916">
              <w:rPr>
                <w:szCs w:val="24"/>
              </w:rPr>
              <w:t>9</w:t>
            </w:r>
            <w:r>
              <w:rPr>
                <w:szCs w:val="24"/>
              </w:rPr>
              <w:t xml:space="preserve"> (0.0</w:t>
            </w:r>
            <w:r w:rsidR="00CD7953">
              <w:rPr>
                <w:szCs w:val="24"/>
              </w:rPr>
              <w:t>4</w:t>
            </w:r>
            <w:r>
              <w:rPr>
                <w:szCs w:val="24"/>
              </w:rPr>
              <w:t xml:space="preserve"> - 0.</w:t>
            </w:r>
            <w:r w:rsidR="006255C3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</w:p>
        </w:tc>
        <w:tc>
          <w:tcPr>
            <w:tcW w:w="2127" w:type="dxa"/>
          </w:tcPr>
          <w:p w14:paraId="4645E62A" w14:textId="04379416" w:rsidR="00DA62D5" w:rsidRDefault="00DA62D5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0.0</w:t>
            </w:r>
            <w:r w:rsidR="006E0F70">
              <w:rPr>
                <w:szCs w:val="24"/>
              </w:rPr>
              <w:t>7</w:t>
            </w:r>
            <w:r>
              <w:rPr>
                <w:szCs w:val="24"/>
              </w:rPr>
              <w:t xml:space="preserve"> (0.03 - 0.1)</w:t>
            </w:r>
          </w:p>
        </w:tc>
        <w:tc>
          <w:tcPr>
            <w:tcW w:w="1842" w:type="dxa"/>
          </w:tcPr>
          <w:p w14:paraId="029BADB5" w14:textId="77777777" w:rsidR="00DA62D5" w:rsidRDefault="00DA62D5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0.2 (0.07 - 0.3)</w:t>
            </w:r>
          </w:p>
        </w:tc>
        <w:tc>
          <w:tcPr>
            <w:tcW w:w="1843" w:type="dxa"/>
          </w:tcPr>
          <w:p w14:paraId="2963A111" w14:textId="492F3B71" w:rsidR="00DA62D5" w:rsidRDefault="00DA62D5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</w:t>
            </w:r>
            <w:r w:rsidR="00875011">
              <w:rPr>
                <w:szCs w:val="24"/>
              </w:rPr>
              <w:t>4</w:t>
            </w:r>
            <w:r>
              <w:rPr>
                <w:szCs w:val="24"/>
              </w:rPr>
              <w:t xml:space="preserve"> (0.2 – 0.</w:t>
            </w:r>
            <w:r w:rsidR="00545A07">
              <w:rPr>
                <w:szCs w:val="24"/>
              </w:rPr>
              <w:t>6</w:t>
            </w:r>
            <w:r>
              <w:rPr>
                <w:szCs w:val="24"/>
              </w:rPr>
              <w:t>)</w:t>
            </w:r>
          </w:p>
        </w:tc>
      </w:tr>
      <w:tr w:rsidR="00DA62D5" w:rsidRPr="00ED21C1" w14:paraId="3AE6F15A" w14:textId="77777777" w:rsidTr="00480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347CB7E" w14:textId="77777777" w:rsidR="00DA62D5" w:rsidRPr="0049647C" w:rsidRDefault="00DA62D5" w:rsidP="00480759">
            <w:pPr>
              <w:spacing w:before="120"/>
              <w:rPr>
                <w:b w:val="0"/>
                <w:bCs w:val="0"/>
                <w:szCs w:val="24"/>
                <w:vertAlign w:val="superscript"/>
              </w:rPr>
            </w:pPr>
            <w:r>
              <w:rPr>
                <w:b w:val="0"/>
                <w:bCs w:val="0"/>
                <w:szCs w:val="24"/>
              </w:rPr>
              <w:t>Standardized Outdegree</w:t>
            </w:r>
            <w:r>
              <w:rPr>
                <w:b w:val="0"/>
                <w:bCs w:val="0"/>
                <w:szCs w:val="24"/>
                <w:vertAlign w:val="superscript"/>
              </w:rPr>
              <w:t>*</w:t>
            </w:r>
          </w:p>
        </w:tc>
        <w:tc>
          <w:tcPr>
            <w:tcW w:w="1842" w:type="dxa"/>
          </w:tcPr>
          <w:p w14:paraId="54567AE9" w14:textId="6C6CA2BF" w:rsidR="00DA62D5" w:rsidRDefault="00DA62D5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</w:t>
            </w:r>
            <w:r w:rsidR="007628EE">
              <w:rPr>
                <w:szCs w:val="24"/>
              </w:rPr>
              <w:t>1</w:t>
            </w:r>
            <w:r>
              <w:rPr>
                <w:szCs w:val="24"/>
              </w:rPr>
              <w:t xml:space="preserve"> (0.0</w:t>
            </w:r>
            <w:r w:rsidR="006A35DE">
              <w:rPr>
                <w:szCs w:val="24"/>
              </w:rPr>
              <w:t>6</w:t>
            </w:r>
            <w:r>
              <w:rPr>
                <w:szCs w:val="24"/>
              </w:rPr>
              <w:t xml:space="preserve"> - 0.</w:t>
            </w:r>
            <w:r w:rsidR="009F223E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</w:p>
        </w:tc>
        <w:tc>
          <w:tcPr>
            <w:tcW w:w="2127" w:type="dxa"/>
          </w:tcPr>
          <w:p w14:paraId="14B62A31" w14:textId="4B0124AE" w:rsidR="00DA62D5" w:rsidRDefault="00DA62D5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0.0</w:t>
            </w:r>
            <w:r w:rsidR="00A41784">
              <w:rPr>
                <w:szCs w:val="24"/>
              </w:rPr>
              <w:t>8</w:t>
            </w:r>
            <w:r>
              <w:rPr>
                <w:szCs w:val="24"/>
              </w:rPr>
              <w:t xml:space="preserve"> (0.0</w:t>
            </w:r>
            <w:r w:rsidR="00496670">
              <w:rPr>
                <w:szCs w:val="24"/>
              </w:rPr>
              <w:t>4</w:t>
            </w:r>
            <w:r>
              <w:rPr>
                <w:szCs w:val="24"/>
              </w:rPr>
              <w:t xml:space="preserve"> - 0.1)</w:t>
            </w:r>
          </w:p>
        </w:tc>
        <w:tc>
          <w:tcPr>
            <w:tcW w:w="1842" w:type="dxa"/>
          </w:tcPr>
          <w:p w14:paraId="2B7D62B5" w14:textId="4D136C38" w:rsidR="00DA62D5" w:rsidRDefault="00DA62D5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</w:t>
            </w:r>
            <w:r w:rsidR="00006214">
              <w:rPr>
                <w:szCs w:val="24"/>
              </w:rPr>
              <w:t>2</w:t>
            </w:r>
            <w:r>
              <w:rPr>
                <w:szCs w:val="24"/>
              </w:rPr>
              <w:t xml:space="preserve"> (0.0</w:t>
            </w:r>
            <w:r w:rsidR="00006214">
              <w:rPr>
                <w:szCs w:val="24"/>
              </w:rPr>
              <w:t>7</w:t>
            </w:r>
            <w:r>
              <w:rPr>
                <w:szCs w:val="24"/>
              </w:rPr>
              <w:t xml:space="preserve"> - 0.3)</w:t>
            </w:r>
          </w:p>
        </w:tc>
        <w:tc>
          <w:tcPr>
            <w:tcW w:w="1843" w:type="dxa"/>
          </w:tcPr>
          <w:p w14:paraId="0440897B" w14:textId="06B93343" w:rsidR="00DA62D5" w:rsidRDefault="00DA62D5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</w:t>
            </w:r>
            <w:r w:rsidR="00DD2E0A">
              <w:rPr>
                <w:szCs w:val="24"/>
              </w:rPr>
              <w:t>4</w:t>
            </w:r>
            <w:r>
              <w:rPr>
                <w:szCs w:val="24"/>
              </w:rPr>
              <w:t xml:space="preserve"> (0.</w:t>
            </w:r>
            <w:r w:rsidR="00DD2E0A">
              <w:rPr>
                <w:szCs w:val="24"/>
              </w:rPr>
              <w:t>2</w:t>
            </w:r>
            <w:r>
              <w:rPr>
                <w:szCs w:val="24"/>
              </w:rPr>
              <w:t xml:space="preserve"> – 0.5)</w:t>
            </w:r>
          </w:p>
        </w:tc>
      </w:tr>
      <w:tr w:rsidR="00DA62D5" w:rsidRPr="00ED21C1" w14:paraId="2F840068" w14:textId="77777777" w:rsidTr="00480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8C5CFFA" w14:textId="77777777" w:rsidR="00DA62D5" w:rsidRPr="00DD78D4" w:rsidRDefault="00DA62D5" w:rsidP="00480759">
            <w:pPr>
              <w:spacing w:before="12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Edge Weight</w:t>
            </w:r>
            <w:proofErr w:type="gramStart"/>
            <w:r>
              <w:rPr>
                <w:b w:val="0"/>
                <w:bCs w:val="0"/>
                <w:szCs w:val="24"/>
                <w:vertAlign w:val="superscript"/>
              </w:rPr>
              <w:t>*,*</w:t>
            </w:r>
            <w:proofErr w:type="gramEnd"/>
            <w:r>
              <w:rPr>
                <w:b w:val="0"/>
                <w:bCs w:val="0"/>
                <w:szCs w:val="24"/>
                <w:vertAlign w:val="superscript"/>
              </w:rPr>
              <w:t>*</w:t>
            </w:r>
          </w:p>
        </w:tc>
        <w:tc>
          <w:tcPr>
            <w:tcW w:w="1842" w:type="dxa"/>
          </w:tcPr>
          <w:p w14:paraId="67C89231" w14:textId="6682D618" w:rsidR="00DA62D5" w:rsidRDefault="00DA62D5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 (1 - 1</w:t>
            </w:r>
            <w:r w:rsidR="00030EC7">
              <w:rPr>
                <w:szCs w:val="24"/>
              </w:rPr>
              <w:t>9</w:t>
            </w:r>
            <w:r>
              <w:rPr>
                <w:szCs w:val="24"/>
              </w:rPr>
              <w:t>)</w:t>
            </w:r>
          </w:p>
        </w:tc>
        <w:tc>
          <w:tcPr>
            <w:tcW w:w="2127" w:type="dxa"/>
          </w:tcPr>
          <w:p w14:paraId="149D62FB" w14:textId="3CDF7B62" w:rsidR="00DA62D5" w:rsidRDefault="001714BD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A62D5">
              <w:rPr>
                <w:szCs w:val="24"/>
              </w:rPr>
              <w:t xml:space="preserve"> (1- </w:t>
            </w:r>
            <w:r>
              <w:rPr>
                <w:szCs w:val="24"/>
              </w:rPr>
              <w:t>4</w:t>
            </w:r>
            <w:r w:rsidR="00DA62D5">
              <w:rPr>
                <w:szCs w:val="24"/>
              </w:rPr>
              <w:t>4)</w:t>
            </w:r>
          </w:p>
        </w:tc>
        <w:tc>
          <w:tcPr>
            <w:tcW w:w="1842" w:type="dxa"/>
          </w:tcPr>
          <w:p w14:paraId="74EAF05A" w14:textId="6632FD42" w:rsidR="00DA62D5" w:rsidRDefault="00231B0C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DA62D5">
              <w:rPr>
                <w:szCs w:val="24"/>
              </w:rPr>
              <w:t xml:space="preserve"> (</w:t>
            </w:r>
            <w:r w:rsidR="00D93147">
              <w:rPr>
                <w:szCs w:val="24"/>
              </w:rPr>
              <w:t>1</w:t>
            </w:r>
            <w:r w:rsidR="00DA62D5">
              <w:rPr>
                <w:szCs w:val="24"/>
              </w:rPr>
              <w:t xml:space="preserve"> – </w:t>
            </w:r>
            <w:r w:rsidR="00D93147">
              <w:rPr>
                <w:szCs w:val="24"/>
              </w:rPr>
              <w:t>42</w:t>
            </w:r>
            <w:r w:rsidR="00DA62D5">
              <w:rPr>
                <w:szCs w:val="24"/>
              </w:rPr>
              <w:t>)</w:t>
            </w:r>
          </w:p>
        </w:tc>
        <w:tc>
          <w:tcPr>
            <w:tcW w:w="1843" w:type="dxa"/>
          </w:tcPr>
          <w:p w14:paraId="74139D3C" w14:textId="1B0952A9" w:rsidR="00DA62D5" w:rsidRDefault="00DA62D5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A5F1D">
              <w:rPr>
                <w:szCs w:val="24"/>
              </w:rPr>
              <w:t>50</w:t>
            </w:r>
            <w:r>
              <w:rPr>
                <w:szCs w:val="24"/>
              </w:rPr>
              <w:t xml:space="preserve"> (1</w:t>
            </w:r>
            <w:r w:rsidR="0007195E">
              <w:rPr>
                <w:szCs w:val="24"/>
              </w:rPr>
              <w:t>38</w:t>
            </w:r>
            <w:r>
              <w:rPr>
                <w:szCs w:val="24"/>
              </w:rPr>
              <w:t xml:space="preserve"> - 2</w:t>
            </w:r>
            <w:r w:rsidR="003E255D">
              <w:rPr>
                <w:szCs w:val="24"/>
              </w:rPr>
              <w:t>75</w:t>
            </w:r>
            <w:r>
              <w:rPr>
                <w:szCs w:val="24"/>
              </w:rPr>
              <w:t>)</w:t>
            </w:r>
          </w:p>
        </w:tc>
      </w:tr>
      <w:tr w:rsidR="00DA62D5" w:rsidRPr="00ED21C1" w14:paraId="268DD6BB" w14:textId="77777777" w:rsidTr="00480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6106820" w14:textId="77777777" w:rsidR="00DA62D5" w:rsidRDefault="00DA62D5" w:rsidP="00480759">
            <w:pPr>
              <w:spacing w:before="12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 xml:space="preserve">Clusters </w:t>
            </w:r>
          </w:p>
        </w:tc>
        <w:tc>
          <w:tcPr>
            <w:tcW w:w="1842" w:type="dxa"/>
          </w:tcPr>
          <w:p w14:paraId="6E77855D" w14:textId="77777777" w:rsidR="00DA62D5" w:rsidRDefault="00DA62D5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127" w:type="dxa"/>
          </w:tcPr>
          <w:p w14:paraId="7A4436CB" w14:textId="77777777" w:rsidR="00DA62D5" w:rsidRDefault="00DA62D5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42" w:type="dxa"/>
          </w:tcPr>
          <w:p w14:paraId="25F70D3F" w14:textId="77777777" w:rsidR="00DA62D5" w:rsidRDefault="00DA62D5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</w:tcPr>
          <w:p w14:paraId="11C3FB56" w14:textId="77777777" w:rsidR="00DA62D5" w:rsidRDefault="00DA62D5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A62D5" w:rsidRPr="00ED21C1" w14:paraId="1C4F3A47" w14:textId="77777777" w:rsidTr="00480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A737829" w14:textId="77777777" w:rsidR="00DA62D5" w:rsidRDefault="00DA62D5" w:rsidP="00480759">
            <w:pPr>
              <w:spacing w:before="12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Modularity</w:t>
            </w:r>
          </w:p>
        </w:tc>
        <w:tc>
          <w:tcPr>
            <w:tcW w:w="1842" w:type="dxa"/>
          </w:tcPr>
          <w:p w14:paraId="2AD58786" w14:textId="42086408" w:rsidR="00DA62D5" w:rsidRDefault="00DA62D5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0.7</w:t>
            </w:r>
            <w:r w:rsidR="007E0005">
              <w:rPr>
                <w:szCs w:val="24"/>
              </w:rPr>
              <w:t>3</w:t>
            </w:r>
          </w:p>
        </w:tc>
        <w:tc>
          <w:tcPr>
            <w:tcW w:w="2127" w:type="dxa"/>
          </w:tcPr>
          <w:p w14:paraId="5CBCF638" w14:textId="3F1AC0E9" w:rsidR="00DA62D5" w:rsidRDefault="00DA62D5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0.6</w:t>
            </w:r>
            <w:r w:rsidR="00655365">
              <w:rPr>
                <w:szCs w:val="24"/>
              </w:rPr>
              <w:t>9</w:t>
            </w:r>
          </w:p>
        </w:tc>
        <w:tc>
          <w:tcPr>
            <w:tcW w:w="1842" w:type="dxa"/>
          </w:tcPr>
          <w:p w14:paraId="583EBAAD" w14:textId="46583DCF" w:rsidR="00DA62D5" w:rsidRDefault="00DA62D5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0.1</w:t>
            </w:r>
            <w:r w:rsidR="00B933B7">
              <w:rPr>
                <w:szCs w:val="24"/>
              </w:rPr>
              <w:t>4</w:t>
            </w:r>
          </w:p>
        </w:tc>
        <w:tc>
          <w:tcPr>
            <w:tcW w:w="1843" w:type="dxa"/>
          </w:tcPr>
          <w:p w14:paraId="798C741B" w14:textId="77777777" w:rsidR="00DA62D5" w:rsidRDefault="00DA62D5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0.01</w:t>
            </w:r>
          </w:p>
        </w:tc>
      </w:tr>
    </w:tbl>
    <w:p w14:paraId="45799A37" w14:textId="77777777" w:rsidR="00EE3D53" w:rsidRPr="0039799A" w:rsidRDefault="00EE3D53" w:rsidP="00EE3D53">
      <w:r>
        <w:rPr>
          <w:vertAlign w:val="superscript"/>
        </w:rPr>
        <w:t>*</w:t>
      </w:r>
      <w:r>
        <w:t>Results presented as median (Interquartile range)</w:t>
      </w:r>
    </w:p>
    <w:p w14:paraId="3B6B1662" w14:textId="77777777" w:rsidR="00883E48" w:rsidRDefault="00883E48" w:rsidP="00883E48">
      <w:pPr>
        <w:spacing w:line="480" w:lineRule="auto"/>
      </w:pPr>
      <w:r>
        <w:rPr>
          <w:vertAlign w:val="superscript"/>
        </w:rPr>
        <w:t>**</w:t>
      </w:r>
      <w:r w:rsidRPr="006A2CB7">
        <w:t xml:space="preserve"> </w:t>
      </w:r>
      <w:r>
        <w:t>Edge weight = the number of horses co-attending both competitions</w:t>
      </w:r>
    </w:p>
    <w:p w14:paraId="51F90383" w14:textId="599EAE38" w:rsidR="00DA62D5" w:rsidRDefault="00DA62D5"/>
    <w:p w14:paraId="215BC6C2" w14:textId="77777777" w:rsidR="00D421A1" w:rsidRDefault="00D421A1">
      <w:pPr>
        <w:rPr>
          <w:b/>
          <w:bCs/>
        </w:rPr>
      </w:pPr>
      <w:r>
        <w:rPr>
          <w:b/>
          <w:bCs/>
        </w:rPr>
        <w:br w:type="page"/>
      </w:r>
    </w:p>
    <w:p w14:paraId="581D9C00" w14:textId="1AF79AF4" w:rsidR="00423154" w:rsidRPr="001A42D7" w:rsidRDefault="00423154" w:rsidP="00423154">
      <w:pPr>
        <w:spacing w:line="480" w:lineRule="auto"/>
      </w:pPr>
      <w:r>
        <w:rPr>
          <w:b/>
          <w:bCs/>
        </w:rPr>
        <w:lastRenderedPageBreak/>
        <w:t xml:space="preserve">Table S3: </w:t>
      </w:r>
      <w:r>
        <w:t>Network and node metrics for discipline-specific sub-networks of the 201</w:t>
      </w:r>
      <w:r w:rsidR="00920799">
        <w:t>7</w:t>
      </w:r>
      <w:r>
        <w:t xml:space="preserve"> Equestrian Canada competition contact networks in Ontario.</w:t>
      </w:r>
    </w:p>
    <w:tbl>
      <w:tblPr>
        <w:tblStyle w:val="ListTable6Colorful"/>
        <w:tblW w:w="10065" w:type="dxa"/>
        <w:tblLook w:val="06A0" w:firstRow="1" w:lastRow="0" w:firstColumn="1" w:lastColumn="0" w:noHBand="1" w:noVBand="1"/>
      </w:tblPr>
      <w:tblGrid>
        <w:gridCol w:w="3119"/>
        <w:gridCol w:w="2268"/>
        <w:gridCol w:w="2410"/>
        <w:gridCol w:w="2268"/>
      </w:tblGrid>
      <w:tr w:rsidR="00D421A1" w:rsidRPr="00ED21C1" w14:paraId="3E825560" w14:textId="77777777" w:rsidTr="00480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29F3808" w14:textId="77777777" w:rsidR="00D421A1" w:rsidRPr="00ED21C1" w:rsidRDefault="00D421A1" w:rsidP="00480759">
            <w:pPr>
              <w:rPr>
                <w:szCs w:val="24"/>
              </w:rPr>
            </w:pPr>
            <w:bookmarkStart w:id="1" w:name="_Hlk54263818"/>
          </w:p>
        </w:tc>
        <w:tc>
          <w:tcPr>
            <w:tcW w:w="2268" w:type="dxa"/>
          </w:tcPr>
          <w:p w14:paraId="21354AE6" w14:textId="77777777" w:rsidR="00D421A1" w:rsidRPr="00ED21C1" w:rsidRDefault="00D421A1" w:rsidP="00480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Hunter/Jumper</w:t>
            </w:r>
          </w:p>
        </w:tc>
        <w:tc>
          <w:tcPr>
            <w:tcW w:w="2410" w:type="dxa"/>
          </w:tcPr>
          <w:p w14:paraId="148711AE" w14:textId="77777777" w:rsidR="00D421A1" w:rsidRPr="00ED21C1" w:rsidRDefault="00D421A1" w:rsidP="00480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Dressage</w:t>
            </w:r>
          </w:p>
        </w:tc>
        <w:tc>
          <w:tcPr>
            <w:tcW w:w="2268" w:type="dxa"/>
          </w:tcPr>
          <w:p w14:paraId="1CBDF590" w14:textId="77777777" w:rsidR="00D421A1" w:rsidRPr="00ED21C1" w:rsidRDefault="00D421A1" w:rsidP="00480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Eventing</w:t>
            </w:r>
          </w:p>
        </w:tc>
      </w:tr>
      <w:tr w:rsidR="00D421A1" w:rsidRPr="00ED21C1" w14:paraId="2FD5985F" w14:textId="77777777" w:rsidTr="00480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9122954" w14:textId="77777777" w:rsidR="00D421A1" w:rsidRPr="00C77B9B" w:rsidRDefault="00D421A1" w:rsidP="00480759">
            <w:pPr>
              <w:spacing w:after="12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Nodes (n)</w:t>
            </w:r>
          </w:p>
        </w:tc>
        <w:tc>
          <w:tcPr>
            <w:tcW w:w="2268" w:type="dxa"/>
          </w:tcPr>
          <w:p w14:paraId="38C8531C" w14:textId="151CC48B" w:rsidR="00D421A1" w:rsidRPr="00ED21C1" w:rsidRDefault="00920799" w:rsidP="00480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  <w:tc>
          <w:tcPr>
            <w:tcW w:w="2410" w:type="dxa"/>
          </w:tcPr>
          <w:p w14:paraId="7829199B" w14:textId="77777777" w:rsidR="00D421A1" w:rsidRPr="00ED21C1" w:rsidRDefault="00D421A1" w:rsidP="00480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2268" w:type="dxa"/>
          </w:tcPr>
          <w:p w14:paraId="5BC8579A" w14:textId="77777777" w:rsidR="00D421A1" w:rsidRPr="00ED21C1" w:rsidRDefault="00D421A1" w:rsidP="00480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D421A1" w:rsidRPr="00ED21C1" w14:paraId="4B338FB3" w14:textId="77777777" w:rsidTr="00480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0433DCB" w14:textId="77777777" w:rsidR="00D421A1" w:rsidRDefault="00D421A1" w:rsidP="00480759">
            <w:pPr>
              <w:spacing w:after="12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Edges</w:t>
            </w:r>
          </w:p>
        </w:tc>
        <w:tc>
          <w:tcPr>
            <w:tcW w:w="2268" w:type="dxa"/>
          </w:tcPr>
          <w:p w14:paraId="1EA660F3" w14:textId="2FFE12E2" w:rsidR="00D421A1" w:rsidRPr="00ED21C1" w:rsidRDefault="00D421A1" w:rsidP="0048075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B5570">
              <w:rPr>
                <w:szCs w:val="24"/>
              </w:rPr>
              <w:t>581</w:t>
            </w:r>
          </w:p>
        </w:tc>
        <w:tc>
          <w:tcPr>
            <w:tcW w:w="2410" w:type="dxa"/>
          </w:tcPr>
          <w:p w14:paraId="6FE219B3" w14:textId="37118EE9" w:rsidR="00D421A1" w:rsidRPr="00ED21C1" w:rsidRDefault="00367B92" w:rsidP="0048075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290</w:t>
            </w:r>
          </w:p>
        </w:tc>
        <w:tc>
          <w:tcPr>
            <w:tcW w:w="2268" w:type="dxa"/>
          </w:tcPr>
          <w:p w14:paraId="5000D68C" w14:textId="43B82BCA" w:rsidR="00D421A1" w:rsidRPr="00ED21C1" w:rsidRDefault="009C4815" w:rsidP="0048075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192</w:t>
            </w:r>
          </w:p>
        </w:tc>
      </w:tr>
      <w:tr w:rsidR="00D421A1" w:rsidRPr="00ED21C1" w14:paraId="3485C476" w14:textId="77777777" w:rsidTr="00480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41CB3E0" w14:textId="77777777" w:rsidR="00D421A1" w:rsidRPr="00EE4E0F" w:rsidRDefault="00D421A1" w:rsidP="00480759">
            <w:pPr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Density</w:t>
            </w:r>
          </w:p>
        </w:tc>
        <w:tc>
          <w:tcPr>
            <w:tcW w:w="2268" w:type="dxa"/>
          </w:tcPr>
          <w:p w14:paraId="2C2D56CB" w14:textId="02798FAC" w:rsidR="00D421A1" w:rsidRDefault="00D421A1" w:rsidP="00480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B5570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 w:rsidR="007B5570">
              <w:rPr>
                <w:szCs w:val="24"/>
              </w:rPr>
              <w:t>0</w:t>
            </w:r>
            <w:r>
              <w:rPr>
                <w:szCs w:val="24"/>
              </w:rPr>
              <w:t>%</w:t>
            </w:r>
          </w:p>
        </w:tc>
        <w:tc>
          <w:tcPr>
            <w:tcW w:w="2410" w:type="dxa"/>
          </w:tcPr>
          <w:p w14:paraId="626768FC" w14:textId="684B93D1" w:rsidR="00D421A1" w:rsidRDefault="00D421A1" w:rsidP="00480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67B92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 w:rsidR="00367B92">
              <w:rPr>
                <w:szCs w:val="24"/>
              </w:rPr>
              <w:t>3</w:t>
            </w:r>
            <w:r>
              <w:rPr>
                <w:szCs w:val="24"/>
              </w:rPr>
              <w:t>%</w:t>
            </w:r>
          </w:p>
        </w:tc>
        <w:tc>
          <w:tcPr>
            <w:tcW w:w="2268" w:type="dxa"/>
          </w:tcPr>
          <w:p w14:paraId="34337113" w14:textId="03703682" w:rsidR="00D421A1" w:rsidRDefault="009C4815" w:rsidP="00480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37.9</w:t>
            </w:r>
            <w:r w:rsidR="00D421A1">
              <w:rPr>
                <w:szCs w:val="24"/>
              </w:rPr>
              <w:t>%</w:t>
            </w:r>
          </w:p>
        </w:tc>
      </w:tr>
      <w:tr w:rsidR="00D421A1" w:rsidRPr="00ED21C1" w14:paraId="184C7703" w14:textId="77777777" w:rsidTr="00480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ACEC58D" w14:textId="77777777" w:rsidR="00D421A1" w:rsidRPr="00CB479A" w:rsidRDefault="00D421A1" w:rsidP="00480759">
            <w:pPr>
              <w:spacing w:before="120"/>
              <w:rPr>
                <w:b w:val="0"/>
                <w:bCs w:val="0"/>
                <w:szCs w:val="24"/>
                <w:vertAlign w:val="superscript"/>
              </w:rPr>
            </w:pPr>
            <w:r>
              <w:rPr>
                <w:b w:val="0"/>
                <w:bCs w:val="0"/>
                <w:szCs w:val="24"/>
              </w:rPr>
              <w:t>Standardized Indegree</w:t>
            </w:r>
            <w:r>
              <w:rPr>
                <w:b w:val="0"/>
                <w:bCs w:val="0"/>
                <w:szCs w:val="24"/>
                <w:vertAlign w:val="superscript"/>
              </w:rPr>
              <w:t>*</w:t>
            </w:r>
          </w:p>
        </w:tc>
        <w:tc>
          <w:tcPr>
            <w:tcW w:w="2268" w:type="dxa"/>
          </w:tcPr>
          <w:p w14:paraId="397D6E2B" w14:textId="0C7F8991" w:rsidR="00D421A1" w:rsidRDefault="00D421A1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0.1</w:t>
            </w:r>
            <w:r w:rsidR="007B5570">
              <w:rPr>
                <w:szCs w:val="24"/>
              </w:rPr>
              <w:t xml:space="preserve"> </w:t>
            </w:r>
            <w:r>
              <w:rPr>
                <w:szCs w:val="24"/>
              </w:rPr>
              <w:t>(0.07 - 0.3)</w:t>
            </w:r>
          </w:p>
        </w:tc>
        <w:tc>
          <w:tcPr>
            <w:tcW w:w="2410" w:type="dxa"/>
          </w:tcPr>
          <w:p w14:paraId="1BF82716" w14:textId="3165783A" w:rsidR="00D421A1" w:rsidRDefault="00D421A1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0.1 (0.0</w:t>
            </w:r>
            <w:r w:rsidR="002450FD">
              <w:rPr>
                <w:szCs w:val="24"/>
              </w:rPr>
              <w:t>4</w:t>
            </w:r>
            <w:r>
              <w:rPr>
                <w:szCs w:val="24"/>
              </w:rPr>
              <w:t xml:space="preserve"> - 0.2)</w:t>
            </w:r>
          </w:p>
        </w:tc>
        <w:tc>
          <w:tcPr>
            <w:tcW w:w="2268" w:type="dxa"/>
          </w:tcPr>
          <w:p w14:paraId="1A004B10" w14:textId="030BF58C" w:rsidR="00D421A1" w:rsidRDefault="00D421A1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0.3 (0.2 - 0.</w:t>
            </w:r>
            <w:r w:rsidR="00097FFC">
              <w:rPr>
                <w:szCs w:val="24"/>
              </w:rPr>
              <w:t>5</w:t>
            </w:r>
            <w:r>
              <w:rPr>
                <w:szCs w:val="24"/>
              </w:rPr>
              <w:t>)</w:t>
            </w:r>
          </w:p>
        </w:tc>
      </w:tr>
      <w:tr w:rsidR="00D421A1" w:rsidRPr="00ED21C1" w14:paraId="2CF3313B" w14:textId="77777777" w:rsidTr="00480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87E6B88" w14:textId="77777777" w:rsidR="00D421A1" w:rsidRPr="0049647C" w:rsidRDefault="00D421A1" w:rsidP="00480759">
            <w:pPr>
              <w:spacing w:before="120"/>
              <w:rPr>
                <w:b w:val="0"/>
                <w:bCs w:val="0"/>
                <w:szCs w:val="24"/>
                <w:vertAlign w:val="superscript"/>
              </w:rPr>
            </w:pPr>
            <w:r>
              <w:rPr>
                <w:b w:val="0"/>
                <w:bCs w:val="0"/>
                <w:szCs w:val="24"/>
              </w:rPr>
              <w:t>Standardized Outdegree</w:t>
            </w:r>
            <w:r>
              <w:rPr>
                <w:b w:val="0"/>
                <w:bCs w:val="0"/>
                <w:szCs w:val="24"/>
                <w:vertAlign w:val="superscript"/>
              </w:rPr>
              <w:t>*</w:t>
            </w:r>
          </w:p>
        </w:tc>
        <w:tc>
          <w:tcPr>
            <w:tcW w:w="2268" w:type="dxa"/>
          </w:tcPr>
          <w:p w14:paraId="34F01826" w14:textId="137B0058" w:rsidR="00D421A1" w:rsidRDefault="00D421A1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</w:t>
            </w:r>
            <w:r w:rsidR="007E4FA3">
              <w:rPr>
                <w:szCs w:val="24"/>
              </w:rPr>
              <w:t>1</w:t>
            </w:r>
            <w:r>
              <w:rPr>
                <w:szCs w:val="24"/>
              </w:rPr>
              <w:t xml:space="preserve"> (0.1 - 0.3)</w:t>
            </w:r>
          </w:p>
        </w:tc>
        <w:tc>
          <w:tcPr>
            <w:tcW w:w="2410" w:type="dxa"/>
          </w:tcPr>
          <w:p w14:paraId="79DB382D" w14:textId="522CEEE7" w:rsidR="00D421A1" w:rsidRDefault="00D421A1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</w:t>
            </w:r>
            <w:r w:rsidR="00AB2CD2">
              <w:rPr>
                <w:szCs w:val="24"/>
              </w:rPr>
              <w:t>2</w:t>
            </w:r>
            <w:r>
              <w:rPr>
                <w:szCs w:val="24"/>
              </w:rPr>
              <w:t xml:space="preserve"> (0.04 - 0.2)</w:t>
            </w:r>
          </w:p>
        </w:tc>
        <w:tc>
          <w:tcPr>
            <w:tcW w:w="2268" w:type="dxa"/>
          </w:tcPr>
          <w:p w14:paraId="6A071666" w14:textId="2B04453F" w:rsidR="00D421A1" w:rsidRDefault="00D421A1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0.4 (0.2 - 0.</w:t>
            </w:r>
            <w:r w:rsidR="00781E76">
              <w:rPr>
                <w:szCs w:val="24"/>
              </w:rPr>
              <w:t>5</w:t>
            </w:r>
            <w:r>
              <w:rPr>
                <w:szCs w:val="24"/>
              </w:rPr>
              <w:t>)</w:t>
            </w:r>
          </w:p>
        </w:tc>
      </w:tr>
      <w:tr w:rsidR="00D421A1" w:rsidRPr="00ED21C1" w14:paraId="2E548E9D" w14:textId="77777777" w:rsidTr="00480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8B466AD" w14:textId="77777777" w:rsidR="00D421A1" w:rsidRPr="00DD78D4" w:rsidRDefault="00D421A1" w:rsidP="00480759">
            <w:pPr>
              <w:spacing w:before="12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Edge Weight</w:t>
            </w:r>
            <w:proofErr w:type="gramStart"/>
            <w:r>
              <w:rPr>
                <w:b w:val="0"/>
                <w:bCs w:val="0"/>
                <w:szCs w:val="24"/>
                <w:vertAlign w:val="superscript"/>
              </w:rPr>
              <w:t>*,*</w:t>
            </w:r>
            <w:proofErr w:type="gramEnd"/>
            <w:r>
              <w:rPr>
                <w:b w:val="0"/>
                <w:bCs w:val="0"/>
                <w:szCs w:val="24"/>
                <w:vertAlign w:val="superscript"/>
              </w:rPr>
              <w:t>*</w:t>
            </w:r>
          </w:p>
        </w:tc>
        <w:tc>
          <w:tcPr>
            <w:tcW w:w="2268" w:type="dxa"/>
          </w:tcPr>
          <w:p w14:paraId="0BD39DD8" w14:textId="2490FA26" w:rsidR="00D421A1" w:rsidRDefault="00DE2E29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421A1">
              <w:rPr>
                <w:szCs w:val="24"/>
              </w:rPr>
              <w:t xml:space="preserve"> (2 - 40)</w:t>
            </w:r>
          </w:p>
        </w:tc>
        <w:tc>
          <w:tcPr>
            <w:tcW w:w="2410" w:type="dxa"/>
          </w:tcPr>
          <w:p w14:paraId="505B1446" w14:textId="2E7FC889" w:rsidR="00D421A1" w:rsidRDefault="003A1072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421A1">
              <w:rPr>
                <w:szCs w:val="24"/>
              </w:rPr>
              <w:t xml:space="preserve"> (1 - </w:t>
            </w:r>
            <w:r>
              <w:rPr>
                <w:szCs w:val="24"/>
              </w:rPr>
              <w:t>5</w:t>
            </w:r>
            <w:r w:rsidR="00D421A1">
              <w:rPr>
                <w:szCs w:val="24"/>
              </w:rPr>
              <w:t>)</w:t>
            </w:r>
          </w:p>
        </w:tc>
        <w:tc>
          <w:tcPr>
            <w:tcW w:w="2268" w:type="dxa"/>
          </w:tcPr>
          <w:p w14:paraId="5125B318" w14:textId="12026C06" w:rsidR="00D421A1" w:rsidRDefault="00515323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D421A1">
              <w:rPr>
                <w:szCs w:val="24"/>
              </w:rPr>
              <w:t xml:space="preserve"> (</w:t>
            </w:r>
            <w:r>
              <w:rPr>
                <w:szCs w:val="24"/>
              </w:rPr>
              <w:t>2</w:t>
            </w:r>
            <w:r w:rsidR="00D421A1">
              <w:rPr>
                <w:szCs w:val="24"/>
              </w:rPr>
              <w:t xml:space="preserve"> - 1</w:t>
            </w:r>
            <w:r>
              <w:rPr>
                <w:szCs w:val="24"/>
              </w:rPr>
              <w:t>3</w:t>
            </w:r>
            <w:r w:rsidR="00D421A1">
              <w:rPr>
                <w:szCs w:val="24"/>
              </w:rPr>
              <w:t>)</w:t>
            </w:r>
          </w:p>
        </w:tc>
      </w:tr>
      <w:tr w:rsidR="00D421A1" w:rsidRPr="00ED21C1" w14:paraId="0DD3C6E3" w14:textId="77777777" w:rsidTr="00480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CEFF047" w14:textId="77777777" w:rsidR="00D421A1" w:rsidRDefault="00D421A1" w:rsidP="00480759">
            <w:pPr>
              <w:spacing w:before="12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 xml:space="preserve">Clusters </w:t>
            </w:r>
          </w:p>
        </w:tc>
        <w:tc>
          <w:tcPr>
            <w:tcW w:w="2268" w:type="dxa"/>
          </w:tcPr>
          <w:p w14:paraId="1BE1CC6E" w14:textId="08F59A98" w:rsidR="00D421A1" w:rsidRDefault="00B77F2E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410" w:type="dxa"/>
          </w:tcPr>
          <w:p w14:paraId="406C5C85" w14:textId="5C60D638" w:rsidR="00D421A1" w:rsidRDefault="00A862BD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268" w:type="dxa"/>
          </w:tcPr>
          <w:p w14:paraId="18263BE0" w14:textId="76D0EFCB" w:rsidR="00D421A1" w:rsidRDefault="00515323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421A1" w:rsidRPr="00ED21C1" w14:paraId="100FF010" w14:textId="77777777" w:rsidTr="00480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081A306" w14:textId="77777777" w:rsidR="00D421A1" w:rsidRDefault="00D421A1" w:rsidP="00480759">
            <w:pPr>
              <w:spacing w:before="12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Modularity</w:t>
            </w:r>
          </w:p>
        </w:tc>
        <w:tc>
          <w:tcPr>
            <w:tcW w:w="2268" w:type="dxa"/>
          </w:tcPr>
          <w:p w14:paraId="5857C544" w14:textId="17072E45" w:rsidR="00D421A1" w:rsidRDefault="00D421A1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</w:t>
            </w:r>
            <w:r w:rsidR="00B77F2E">
              <w:rPr>
                <w:szCs w:val="24"/>
              </w:rPr>
              <w:t>48</w:t>
            </w:r>
          </w:p>
        </w:tc>
        <w:tc>
          <w:tcPr>
            <w:tcW w:w="2410" w:type="dxa"/>
          </w:tcPr>
          <w:p w14:paraId="3A37A25C" w14:textId="1080F766" w:rsidR="00D421A1" w:rsidRDefault="00D421A1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</w:t>
            </w:r>
            <w:r w:rsidR="00A862BD">
              <w:rPr>
                <w:szCs w:val="24"/>
              </w:rPr>
              <w:t>5</w:t>
            </w:r>
          </w:p>
        </w:tc>
        <w:tc>
          <w:tcPr>
            <w:tcW w:w="2268" w:type="dxa"/>
          </w:tcPr>
          <w:p w14:paraId="035C8967" w14:textId="7529BF60" w:rsidR="00D421A1" w:rsidRDefault="00D421A1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0.1</w:t>
            </w:r>
            <w:r w:rsidR="008C49D0">
              <w:rPr>
                <w:szCs w:val="24"/>
              </w:rPr>
              <w:t>6</w:t>
            </w:r>
          </w:p>
        </w:tc>
      </w:tr>
    </w:tbl>
    <w:bookmarkEnd w:id="1"/>
    <w:p w14:paraId="6F928340" w14:textId="77777777" w:rsidR="00EE3D53" w:rsidRPr="0039799A" w:rsidRDefault="00EE3D53" w:rsidP="00EE3D53">
      <w:r>
        <w:rPr>
          <w:vertAlign w:val="superscript"/>
        </w:rPr>
        <w:t>*</w:t>
      </w:r>
      <w:r>
        <w:t>Results presented as median (Interquartile range)</w:t>
      </w:r>
    </w:p>
    <w:p w14:paraId="50205A74" w14:textId="4D292CEB" w:rsidR="00EE3D53" w:rsidRDefault="00EE3D53" w:rsidP="00EE3D53">
      <w:pPr>
        <w:spacing w:line="480" w:lineRule="auto"/>
      </w:pPr>
      <w:r>
        <w:rPr>
          <w:vertAlign w:val="superscript"/>
        </w:rPr>
        <w:t>**</w:t>
      </w:r>
      <w:r w:rsidRPr="006A2CB7">
        <w:t xml:space="preserve"> </w:t>
      </w:r>
      <w:r>
        <w:t>Edge weight = the number of horses co-attending both competitions</w:t>
      </w:r>
    </w:p>
    <w:p w14:paraId="763ECC2A" w14:textId="5BAE0EE5" w:rsidR="008C49D0" w:rsidRPr="001A42D7" w:rsidRDefault="008C49D0" w:rsidP="008C49D0">
      <w:pPr>
        <w:spacing w:line="480" w:lineRule="auto"/>
      </w:pPr>
      <w:r>
        <w:rPr>
          <w:b/>
          <w:bCs/>
        </w:rPr>
        <w:t xml:space="preserve">Table S4: </w:t>
      </w:r>
      <w:r>
        <w:t>Network and node metrics for discipline-specific sub-networks of the 2016 Equestrian Canada competition contact networks in Ontario.</w:t>
      </w:r>
    </w:p>
    <w:tbl>
      <w:tblPr>
        <w:tblStyle w:val="ListTable6Colorful"/>
        <w:tblW w:w="10065" w:type="dxa"/>
        <w:tblLook w:val="06A0" w:firstRow="1" w:lastRow="0" w:firstColumn="1" w:lastColumn="0" w:noHBand="1" w:noVBand="1"/>
      </w:tblPr>
      <w:tblGrid>
        <w:gridCol w:w="3119"/>
        <w:gridCol w:w="2268"/>
        <w:gridCol w:w="2410"/>
        <w:gridCol w:w="2268"/>
      </w:tblGrid>
      <w:tr w:rsidR="008C49D0" w:rsidRPr="00ED21C1" w14:paraId="12441A49" w14:textId="77777777" w:rsidTr="00480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48BD827" w14:textId="77777777" w:rsidR="008C49D0" w:rsidRPr="00ED21C1" w:rsidRDefault="008C49D0" w:rsidP="00480759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23F0054B" w14:textId="77777777" w:rsidR="008C49D0" w:rsidRPr="00ED21C1" w:rsidRDefault="008C49D0" w:rsidP="00480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Hunter/Jumper</w:t>
            </w:r>
          </w:p>
        </w:tc>
        <w:tc>
          <w:tcPr>
            <w:tcW w:w="2410" w:type="dxa"/>
          </w:tcPr>
          <w:p w14:paraId="4A07DFC5" w14:textId="77777777" w:rsidR="008C49D0" w:rsidRPr="00ED21C1" w:rsidRDefault="008C49D0" w:rsidP="00480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Dressage</w:t>
            </w:r>
          </w:p>
        </w:tc>
        <w:tc>
          <w:tcPr>
            <w:tcW w:w="2268" w:type="dxa"/>
          </w:tcPr>
          <w:p w14:paraId="2B205405" w14:textId="77777777" w:rsidR="008C49D0" w:rsidRPr="00ED21C1" w:rsidRDefault="008C49D0" w:rsidP="00480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Eventing</w:t>
            </w:r>
          </w:p>
        </w:tc>
      </w:tr>
      <w:tr w:rsidR="008C49D0" w:rsidRPr="00ED21C1" w14:paraId="626BE69D" w14:textId="77777777" w:rsidTr="00480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9B12D86" w14:textId="77777777" w:rsidR="008C49D0" w:rsidRPr="00C77B9B" w:rsidRDefault="008C49D0" w:rsidP="00480759">
            <w:pPr>
              <w:spacing w:after="12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Nodes (n)</w:t>
            </w:r>
          </w:p>
        </w:tc>
        <w:tc>
          <w:tcPr>
            <w:tcW w:w="2268" w:type="dxa"/>
          </w:tcPr>
          <w:p w14:paraId="7D2C40B2" w14:textId="4B47EAB1" w:rsidR="008C49D0" w:rsidRPr="00ED21C1" w:rsidRDefault="008C49D0" w:rsidP="00480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9D5F8B">
              <w:rPr>
                <w:szCs w:val="24"/>
              </w:rPr>
              <w:t>6</w:t>
            </w:r>
          </w:p>
        </w:tc>
        <w:tc>
          <w:tcPr>
            <w:tcW w:w="2410" w:type="dxa"/>
          </w:tcPr>
          <w:p w14:paraId="25BAF6C2" w14:textId="77777777" w:rsidR="008C49D0" w:rsidRPr="00ED21C1" w:rsidRDefault="008C49D0" w:rsidP="00480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2268" w:type="dxa"/>
          </w:tcPr>
          <w:p w14:paraId="10994154" w14:textId="6A330B9A" w:rsidR="008C49D0" w:rsidRPr="00ED21C1" w:rsidRDefault="008C49D0" w:rsidP="00480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84CEE">
              <w:rPr>
                <w:szCs w:val="24"/>
              </w:rPr>
              <w:t>0</w:t>
            </w:r>
          </w:p>
        </w:tc>
      </w:tr>
      <w:tr w:rsidR="008C49D0" w:rsidRPr="00ED21C1" w14:paraId="4D8AE77E" w14:textId="77777777" w:rsidTr="00480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07B1097" w14:textId="77777777" w:rsidR="008C49D0" w:rsidRDefault="008C49D0" w:rsidP="00480759">
            <w:pPr>
              <w:spacing w:after="12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Edges</w:t>
            </w:r>
          </w:p>
        </w:tc>
        <w:tc>
          <w:tcPr>
            <w:tcW w:w="2268" w:type="dxa"/>
          </w:tcPr>
          <w:p w14:paraId="6C385ED9" w14:textId="164C9C86" w:rsidR="008C49D0" w:rsidRPr="00ED21C1" w:rsidRDefault="008C49D0" w:rsidP="0048075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C3067F">
              <w:rPr>
                <w:szCs w:val="24"/>
              </w:rPr>
              <w:t>60</w:t>
            </w:r>
          </w:p>
        </w:tc>
        <w:tc>
          <w:tcPr>
            <w:tcW w:w="2410" w:type="dxa"/>
          </w:tcPr>
          <w:p w14:paraId="499B9D8C" w14:textId="72394093" w:rsidR="008C49D0" w:rsidRPr="00ED21C1" w:rsidRDefault="003763D7" w:rsidP="0048075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382</w:t>
            </w:r>
          </w:p>
        </w:tc>
        <w:tc>
          <w:tcPr>
            <w:tcW w:w="2268" w:type="dxa"/>
          </w:tcPr>
          <w:p w14:paraId="71F7E14B" w14:textId="012F7BDD" w:rsidR="008C49D0" w:rsidRPr="00ED21C1" w:rsidRDefault="008C49D0" w:rsidP="0048075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84CEE">
              <w:rPr>
                <w:szCs w:val="24"/>
              </w:rPr>
              <w:t>64</w:t>
            </w:r>
          </w:p>
        </w:tc>
      </w:tr>
      <w:tr w:rsidR="008C49D0" w:rsidRPr="00ED21C1" w14:paraId="2450B4C0" w14:textId="77777777" w:rsidTr="00480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4DFA051" w14:textId="77777777" w:rsidR="008C49D0" w:rsidRPr="00EE4E0F" w:rsidRDefault="008C49D0" w:rsidP="00480759">
            <w:pPr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Density</w:t>
            </w:r>
          </w:p>
        </w:tc>
        <w:tc>
          <w:tcPr>
            <w:tcW w:w="2268" w:type="dxa"/>
          </w:tcPr>
          <w:p w14:paraId="72163191" w14:textId="7B72E268" w:rsidR="008C49D0" w:rsidRDefault="008C49D0" w:rsidP="00480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3067F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  <w:r w:rsidR="00C3067F">
              <w:rPr>
                <w:szCs w:val="24"/>
              </w:rPr>
              <w:t>3</w:t>
            </w:r>
            <w:r>
              <w:rPr>
                <w:szCs w:val="24"/>
              </w:rPr>
              <w:t>%</w:t>
            </w:r>
          </w:p>
        </w:tc>
        <w:tc>
          <w:tcPr>
            <w:tcW w:w="2410" w:type="dxa"/>
          </w:tcPr>
          <w:p w14:paraId="58788854" w14:textId="5BDB8E54" w:rsidR="008C49D0" w:rsidRDefault="003763D7" w:rsidP="00480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8C49D0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8C49D0">
              <w:rPr>
                <w:szCs w:val="24"/>
              </w:rPr>
              <w:t>%</w:t>
            </w:r>
          </w:p>
        </w:tc>
        <w:tc>
          <w:tcPr>
            <w:tcW w:w="2268" w:type="dxa"/>
          </w:tcPr>
          <w:p w14:paraId="2312D3B6" w14:textId="284F7CF5" w:rsidR="008C49D0" w:rsidRDefault="00431F37" w:rsidP="00480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43</w:t>
            </w:r>
            <w:r w:rsidR="008C49D0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8C49D0">
              <w:rPr>
                <w:szCs w:val="24"/>
              </w:rPr>
              <w:t>%</w:t>
            </w:r>
          </w:p>
        </w:tc>
      </w:tr>
      <w:tr w:rsidR="008C49D0" w:rsidRPr="00ED21C1" w14:paraId="04B48F8F" w14:textId="77777777" w:rsidTr="00480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732F61A" w14:textId="77777777" w:rsidR="008C49D0" w:rsidRPr="00CB479A" w:rsidRDefault="008C49D0" w:rsidP="00480759">
            <w:pPr>
              <w:spacing w:before="120"/>
              <w:rPr>
                <w:b w:val="0"/>
                <w:bCs w:val="0"/>
                <w:szCs w:val="24"/>
                <w:vertAlign w:val="superscript"/>
              </w:rPr>
            </w:pPr>
            <w:r>
              <w:rPr>
                <w:b w:val="0"/>
                <w:bCs w:val="0"/>
                <w:szCs w:val="24"/>
              </w:rPr>
              <w:t>Standardized Indegree</w:t>
            </w:r>
            <w:r>
              <w:rPr>
                <w:b w:val="0"/>
                <w:bCs w:val="0"/>
                <w:szCs w:val="24"/>
                <w:vertAlign w:val="superscript"/>
              </w:rPr>
              <w:t>*</w:t>
            </w:r>
          </w:p>
        </w:tc>
        <w:tc>
          <w:tcPr>
            <w:tcW w:w="2268" w:type="dxa"/>
          </w:tcPr>
          <w:p w14:paraId="091820CF" w14:textId="6F23FE9B" w:rsidR="008C49D0" w:rsidRDefault="008C49D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</w:t>
            </w:r>
            <w:r w:rsidR="00AE7015">
              <w:rPr>
                <w:szCs w:val="24"/>
              </w:rPr>
              <w:t>2</w:t>
            </w:r>
            <w:r>
              <w:rPr>
                <w:szCs w:val="24"/>
              </w:rPr>
              <w:t xml:space="preserve"> (0.0</w:t>
            </w:r>
            <w:r w:rsidR="008142DD">
              <w:rPr>
                <w:szCs w:val="24"/>
              </w:rPr>
              <w:t>6</w:t>
            </w:r>
            <w:r>
              <w:rPr>
                <w:szCs w:val="24"/>
              </w:rPr>
              <w:t xml:space="preserve"> - 0.</w:t>
            </w:r>
            <w:r w:rsidR="005377A8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</w:p>
        </w:tc>
        <w:tc>
          <w:tcPr>
            <w:tcW w:w="2410" w:type="dxa"/>
          </w:tcPr>
          <w:p w14:paraId="7DAF651C" w14:textId="2263612B" w:rsidR="008C49D0" w:rsidRDefault="008C49D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</w:t>
            </w:r>
            <w:r w:rsidR="00E86CA7">
              <w:rPr>
                <w:szCs w:val="24"/>
              </w:rPr>
              <w:t>2</w:t>
            </w:r>
            <w:r>
              <w:rPr>
                <w:szCs w:val="24"/>
              </w:rPr>
              <w:t xml:space="preserve"> (0.0</w:t>
            </w:r>
            <w:r w:rsidR="00003BC8">
              <w:rPr>
                <w:szCs w:val="24"/>
              </w:rPr>
              <w:t>7</w:t>
            </w:r>
            <w:r>
              <w:rPr>
                <w:szCs w:val="24"/>
              </w:rPr>
              <w:t xml:space="preserve"> - 0.2)</w:t>
            </w:r>
          </w:p>
        </w:tc>
        <w:tc>
          <w:tcPr>
            <w:tcW w:w="2268" w:type="dxa"/>
          </w:tcPr>
          <w:p w14:paraId="4CC6E10D" w14:textId="56FECEE4" w:rsidR="008C49D0" w:rsidRDefault="008C49D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</w:t>
            </w:r>
            <w:r w:rsidR="00DD3D89">
              <w:rPr>
                <w:szCs w:val="24"/>
              </w:rPr>
              <w:t>4</w:t>
            </w:r>
            <w:r>
              <w:rPr>
                <w:szCs w:val="24"/>
              </w:rPr>
              <w:t xml:space="preserve"> (0.2 - 0.</w:t>
            </w:r>
            <w:r w:rsidR="003B093C">
              <w:rPr>
                <w:szCs w:val="24"/>
              </w:rPr>
              <w:t>6</w:t>
            </w:r>
            <w:r>
              <w:rPr>
                <w:szCs w:val="24"/>
              </w:rPr>
              <w:t>)</w:t>
            </w:r>
          </w:p>
        </w:tc>
      </w:tr>
      <w:tr w:rsidR="008C49D0" w:rsidRPr="00ED21C1" w14:paraId="7D59F7D4" w14:textId="77777777" w:rsidTr="00480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DF420A4" w14:textId="77777777" w:rsidR="008C49D0" w:rsidRPr="0049647C" w:rsidRDefault="008C49D0" w:rsidP="00480759">
            <w:pPr>
              <w:spacing w:before="120"/>
              <w:rPr>
                <w:b w:val="0"/>
                <w:bCs w:val="0"/>
                <w:szCs w:val="24"/>
                <w:vertAlign w:val="superscript"/>
              </w:rPr>
            </w:pPr>
            <w:r>
              <w:rPr>
                <w:b w:val="0"/>
                <w:bCs w:val="0"/>
                <w:szCs w:val="24"/>
              </w:rPr>
              <w:t>Standardized Outdegree</w:t>
            </w:r>
            <w:r>
              <w:rPr>
                <w:b w:val="0"/>
                <w:bCs w:val="0"/>
                <w:szCs w:val="24"/>
                <w:vertAlign w:val="superscript"/>
              </w:rPr>
              <w:t>*</w:t>
            </w:r>
          </w:p>
        </w:tc>
        <w:tc>
          <w:tcPr>
            <w:tcW w:w="2268" w:type="dxa"/>
          </w:tcPr>
          <w:p w14:paraId="3994F631" w14:textId="3CC60EB2" w:rsidR="008C49D0" w:rsidRDefault="008C49D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</w:t>
            </w:r>
            <w:r w:rsidR="009604D1">
              <w:rPr>
                <w:szCs w:val="24"/>
              </w:rPr>
              <w:t>2</w:t>
            </w:r>
            <w:r>
              <w:rPr>
                <w:szCs w:val="24"/>
              </w:rPr>
              <w:t xml:space="preserve"> (0.1 - 0.3)</w:t>
            </w:r>
          </w:p>
        </w:tc>
        <w:tc>
          <w:tcPr>
            <w:tcW w:w="2410" w:type="dxa"/>
          </w:tcPr>
          <w:p w14:paraId="22B57BA3" w14:textId="30E3AB8D" w:rsidR="008C49D0" w:rsidRDefault="008C49D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0.2 (0.0</w:t>
            </w:r>
            <w:r w:rsidR="00BD71CD">
              <w:rPr>
                <w:szCs w:val="24"/>
              </w:rPr>
              <w:t>9</w:t>
            </w:r>
            <w:r>
              <w:rPr>
                <w:szCs w:val="24"/>
              </w:rPr>
              <w:t xml:space="preserve"> - 0.2)</w:t>
            </w:r>
          </w:p>
        </w:tc>
        <w:tc>
          <w:tcPr>
            <w:tcW w:w="2268" w:type="dxa"/>
          </w:tcPr>
          <w:p w14:paraId="2754DAC8" w14:textId="423D1E57" w:rsidR="008C49D0" w:rsidRDefault="008C49D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0.4 (0.2 - 0.</w:t>
            </w:r>
            <w:r w:rsidR="00EE1BB8">
              <w:rPr>
                <w:szCs w:val="24"/>
              </w:rPr>
              <w:t>6</w:t>
            </w:r>
            <w:r>
              <w:rPr>
                <w:szCs w:val="24"/>
              </w:rPr>
              <w:t>)</w:t>
            </w:r>
          </w:p>
        </w:tc>
      </w:tr>
      <w:tr w:rsidR="008C49D0" w:rsidRPr="00ED21C1" w14:paraId="7861F17B" w14:textId="77777777" w:rsidTr="00480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F8583A9" w14:textId="77777777" w:rsidR="008C49D0" w:rsidRPr="00DD78D4" w:rsidRDefault="008C49D0" w:rsidP="00480759">
            <w:pPr>
              <w:spacing w:before="12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Edge Weight</w:t>
            </w:r>
            <w:proofErr w:type="gramStart"/>
            <w:r>
              <w:rPr>
                <w:b w:val="0"/>
                <w:bCs w:val="0"/>
                <w:szCs w:val="24"/>
                <w:vertAlign w:val="superscript"/>
              </w:rPr>
              <w:t>*,*</w:t>
            </w:r>
            <w:proofErr w:type="gramEnd"/>
            <w:r>
              <w:rPr>
                <w:b w:val="0"/>
                <w:bCs w:val="0"/>
                <w:szCs w:val="24"/>
                <w:vertAlign w:val="superscript"/>
              </w:rPr>
              <w:t>*</w:t>
            </w:r>
          </w:p>
        </w:tc>
        <w:tc>
          <w:tcPr>
            <w:tcW w:w="2268" w:type="dxa"/>
          </w:tcPr>
          <w:p w14:paraId="4018F024" w14:textId="7DB27E8E" w:rsidR="008C49D0" w:rsidRDefault="0052519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8C49D0">
              <w:rPr>
                <w:szCs w:val="24"/>
              </w:rPr>
              <w:t xml:space="preserve"> (2 - </w:t>
            </w:r>
            <w:r w:rsidR="00BB3FF5">
              <w:rPr>
                <w:szCs w:val="24"/>
              </w:rPr>
              <w:t>53</w:t>
            </w:r>
            <w:r w:rsidR="008C49D0">
              <w:rPr>
                <w:szCs w:val="24"/>
              </w:rPr>
              <w:t>)</w:t>
            </w:r>
          </w:p>
        </w:tc>
        <w:tc>
          <w:tcPr>
            <w:tcW w:w="2410" w:type="dxa"/>
          </w:tcPr>
          <w:p w14:paraId="17C177C3" w14:textId="2C9CADF2" w:rsidR="008C49D0" w:rsidRDefault="008C49D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2 (1 - </w:t>
            </w:r>
            <w:r w:rsidR="004555D9">
              <w:rPr>
                <w:szCs w:val="24"/>
              </w:rPr>
              <w:t>6</w:t>
            </w:r>
            <w:r>
              <w:rPr>
                <w:szCs w:val="24"/>
              </w:rPr>
              <w:t>)</w:t>
            </w:r>
          </w:p>
        </w:tc>
        <w:tc>
          <w:tcPr>
            <w:tcW w:w="2268" w:type="dxa"/>
          </w:tcPr>
          <w:p w14:paraId="741C2FC8" w14:textId="7871B891" w:rsidR="008C49D0" w:rsidRDefault="003A6335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8C49D0">
              <w:rPr>
                <w:szCs w:val="24"/>
              </w:rPr>
              <w:t xml:space="preserve"> (</w:t>
            </w:r>
            <w:r>
              <w:rPr>
                <w:szCs w:val="24"/>
              </w:rPr>
              <w:t>4</w:t>
            </w:r>
            <w:r w:rsidR="008C49D0">
              <w:rPr>
                <w:szCs w:val="24"/>
              </w:rPr>
              <w:t xml:space="preserve"> - 1</w:t>
            </w:r>
            <w:r>
              <w:rPr>
                <w:szCs w:val="24"/>
              </w:rPr>
              <w:t>6</w:t>
            </w:r>
            <w:r w:rsidR="008C49D0">
              <w:rPr>
                <w:szCs w:val="24"/>
              </w:rPr>
              <w:t>)</w:t>
            </w:r>
          </w:p>
        </w:tc>
      </w:tr>
      <w:tr w:rsidR="008C49D0" w:rsidRPr="00ED21C1" w14:paraId="39AFA82F" w14:textId="77777777" w:rsidTr="00480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079F631" w14:textId="77777777" w:rsidR="008C49D0" w:rsidRDefault="008C49D0" w:rsidP="00480759">
            <w:pPr>
              <w:spacing w:before="12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 xml:space="preserve">Clusters </w:t>
            </w:r>
          </w:p>
        </w:tc>
        <w:tc>
          <w:tcPr>
            <w:tcW w:w="2268" w:type="dxa"/>
          </w:tcPr>
          <w:p w14:paraId="41E68F0A" w14:textId="0947F9A1" w:rsidR="008C49D0" w:rsidRDefault="00BB3FF5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410" w:type="dxa"/>
          </w:tcPr>
          <w:p w14:paraId="450A5949" w14:textId="77777777" w:rsidR="008C49D0" w:rsidRDefault="008C49D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268" w:type="dxa"/>
          </w:tcPr>
          <w:p w14:paraId="39101984" w14:textId="77777777" w:rsidR="008C49D0" w:rsidRDefault="008C49D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8C49D0" w:rsidRPr="00ED21C1" w14:paraId="725A4C2E" w14:textId="77777777" w:rsidTr="00480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2D3D4A3" w14:textId="77777777" w:rsidR="008C49D0" w:rsidRDefault="008C49D0" w:rsidP="00480759">
            <w:pPr>
              <w:spacing w:before="12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Modularity</w:t>
            </w:r>
          </w:p>
        </w:tc>
        <w:tc>
          <w:tcPr>
            <w:tcW w:w="2268" w:type="dxa"/>
          </w:tcPr>
          <w:p w14:paraId="33914895" w14:textId="7BD88904" w:rsidR="008C49D0" w:rsidRDefault="008C49D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</w:t>
            </w:r>
            <w:r w:rsidR="00BB3FF5">
              <w:rPr>
                <w:szCs w:val="24"/>
              </w:rPr>
              <w:t>5</w:t>
            </w:r>
          </w:p>
        </w:tc>
        <w:tc>
          <w:tcPr>
            <w:tcW w:w="2410" w:type="dxa"/>
          </w:tcPr>
          <w:p w14:paraId="679A4E06" w14:textId="63A89D96" w:rsidR="008C49D0" w:rsidRDefault="008C49D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</w:t>
            </w:r>
            <w:r w:rsidR="004555D9">
              <w:rPr>
                <w:szCs w:val="24"/>
              </w:rPr>
              <w:t>48</w:t>
            </w:r>
          </w:p>
        </w:tc>
        <w:tc>
          <w:tcPr>
            <w:tcW w:w="2268" w:type="dxa"/>
          </w:tcPr>
          <w:p w14:paraId="25B02A7A" w14:textId="0BAC81E6" w:rsidR="008C49D0" w:rsidRDefault="008C49D0" w:rsidP="0048075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0.</w:t>
            </w:r>
            <w:r w:rsidR="00594F13">
              <w:rPr>
                <w:szCs w:val="24"/>
              </w:rPr>
              <w:t>2</w:t>
            </w:r>
          </w:p>
        </w:tc>
      </w:tr>
    </w:tbl>
    <w:p w14:paraId="1952CBCF" w14:textId="77777777" w:rsidR="0039799A" w:rsidRPr="0039799A" w:rsidRDefault="0039799A" w:rsidP="0039799A">
      <w:r>
        <w:rPr>
          <w:vertAlign w:val="superscript"/>
        </w:rPr>
        <w:t>*</w:t>
      </w:r>
      <w:r>
        <w:t>Results presented as median (Interquartile range)</w:t>
      </w:r>
    </w:p>
    <w:p w14:paraId="3B78F137" w14:textId="30355C04" w:rsidR="00EE3D53" w:rsidRDefault="00155CBD" w:rsidP="00EE3D53">
      <w:pPr>
        <w:spacing w:line="480" w:lineRule="auto"/>
      </w:pPr>
      <w:r>
        <w:rPr>
          <w:vertAlign w:val="superscript"/>
        </w:rPr>
        <w:t>**</w:t>
      </w:r>
      <w:r w:rsidR="00EE3D53">
        <w:t>Edge weight = the number of horses co-attending both competitions</w:t>
      </w:r>
    </w:p>
    <w:p w14:paraId="0FFCF48F" w14:textId="29CAA7E5" w:rsidR="008C49D0" w:rsidRPr="00155CBD" w:rsidRDefault="008C49D0"/>
    <w:p w14:paraId="320C5BFB" w14:textId="77777777" w:rsidR="00656295" w:rsidRDefault="00656295">
      <w:pPr>
        <w:rPr>
          <w:b/>
          <w:bCs/>
        </w:rPr>
      </w:pPr>
      <w:r>
        <w:rPr>
          <w:b/>
          <w:bCs/>
        </w:rPr>
        <w:br w:type="page"/>
      </w:r>
    </w:p>
    <w:p w14:paraId="01218E9F" w14:textId="77777777" w:rsidR="003F3F6E" w:rsidRDefault="003F3F6E">
      <w:pPr>
        <w:rPr>
          <w:b/>
          <w:bCs/>
        </w:rPr>
        <w:sectPr w:rsidR="003F3F6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DA45A3F" w14:textId="5542DCE8" w:rsidR="007C2E95" w:rsidRDefault="007C2E95">
      <w:r>
        <w:rPr>
          <w:b/>
          <w:bCs/>
        </w:rPr>
        <w:lastRenderedPageBreak/>
        <w:t>Table S5:</w:t>
      </w:r>
      <w:r>
        <w:t xml:space="preserve"> </w:t>
      </w:r>
      <w:r w:rsidR="00EF5344">
        <w:t>Network and node metrics for the 2016-2018 Equestrian Canada monthly contact network of competition venues in Ontario.</w:t>
      </w:r>
    </w:p>
    <w:tbl>
      <w:tblPr>
        <w:tblStyle w:val="ListTable6Colorful"/>
        <w:tblW w:w="0" w:type="auto"/>
        <w:tblInd w:w="-142" w:type="dxa"/>
        <w:tblLook w:val="06A0" w:firstRow="1" w:lastRow="0" w:firstColumn="1" w:lastColumn="0" w:noHBand="1" w:noVBand="1"/>
      </w:tblPr>
      <w:tblGrid>
        <w:gridCol w:w="2630"/>
        <w:gridCol w:w="1264"/>
        <w:gridCol w:w="1265"/>
        <w:gridCol w:w="1264"/>
        <w:gridCol w:w="1265"/>
        <w:gridCol w:w="1264"/>
        <w:gridCol w:w="1265"/>
        <w:gridCol w:w="1265"/>
      </w:tblGrid>
      <w:tr w:rsidR="003F3F6E" w14:paraId="124B0E4E" w14:textId="0D63772C" w:rsidTr="00722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3A10AC" w14:textId="77777777" w:rsidR="003E3972" w:rsidRPr="00FC7ED8" w:rsidRDefault="003E3972" w:rsidP="00480759">
            <w:pPr>
              <w:pStyle w:val="ListParagraph"/>
              <w:ind w:left="0"/>
              <w:rPr>
                <w:szCs w:val="24"/>
              </w:rPr>
            </w:pPr>
            <w:bookmarkStart w:id="2" w:name="_Hlk54191317"/>
          </w:p>
        </w:tc>
        <w:tc>
          <w:tcPr>
            <w:tcW w:w="1264" w:type="dxa"/>
          </w:tcPr>
          <w:p w14:paraId="399E7FE9" w14:textId="31178194" w:rsidR="003E3972" w:rsidRPr="00ED550D" w:rsidRDefault="003E3972" w:rsidP="00480759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March</w:t>
            </w:r>
          </w:p>
        </w:tc>
        <w:tc>
          <w:tcPr>
            <w:tcW w:w="1265" w:type="dxa"/>
          </w:tcPr>
          <w:p w14:paraId="109DD6ED" w14:textId="251BE093" w:rsidR="003E3972" w:rsidRPr="00ED550D" w:rsidRDefault="003E3972" w:rsidP="00480759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April</w:t>
            </w:r>
          </w:p>
        </w:tc>
        <w:tc>
          <w:tcPr>
            <w:tcW w:w="1264" w:type="dxa"/>
          </w:tcPr>
          <w:p w14:paraId="6C400B17" w14:textId="13B87316" w:rsidR="003E3972" w:rsidRDefault="003E3972" w:rsidP="00480759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May</w:t>
            </w:r>
          </w:p>
        </w:tc>
        <w:tc>
          <w:tcPr>
            <w:tcW w:w="1265" w:type="dxa"/>
          </w:tcPr>
          <w:p w14:paraId="35696B9D" w14:textId="532A46B4" w:rsidR="003E3972" w:rsidRDefault="003E3972" w:rsidP="00480759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June</w:t>
            </w:r>
          </w:p>
        </w:tc>
        <w:tc>
          <w:tcPr>
            <w:tcW w:w="1264" w:type="dxa"/>
          </w:tcPr>
          <w:p w14:paraId="7041CC0D" w14:textId="1AE3092F" w:rsidR="003E3972" w:rsidRDefault="003E3972" w:rsidP="00480759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July</w:t>
            </w:r>
          </w:p>
        </w:tc>
        <w:tc>
          <w:tcPr>
            <w:tcW w:w="1265" w:type="dxa"/>
          </w:tcPr>
          <w:p w14:paraId="4E25F867" w14:textId="1955427A" w:rsidR="003E3972" w:rsidRDefault="003E3972" w:rsidP="00480759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August</w:t>
            </w:r>
          </w:p>
        </w:tc>
        <w:tc>
          <w:tcPr>
            <w:tcW w:w="1265" w:type="dxa"/>
          </w:tcPr>
          <w:p w14:paraId="3BDF7C1F" w14:textId="6B4C952C" w:rsidR="003E3972" w:rsidRDefault="00C24659" w:rsidP="00480759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September</w:t>
            </w:r>
          </w:p>
        </w:tc>
      </w:tr>
      <w:tr w:rsidR="003F3F6E" w14:paraId="0D045D4C" w14:textId="36B5CFED" w:rsidTr="00722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706F65" w14:textId="77777777" w:rsidR="003E3972" w:rsidRPr="00ED550D" w:rsidRDefault="003E3972" w:rsidP="00480759">
            <w:pPr>
              <w:pStyle w:val="ListParagraph"/>
              <w:spacing w:after="80"/>
              <w:ind w:left="0"/>
              <w:contextualSpacing w:val="0"/>
              <w:rPr>
                <w:b w:val="0"/>
                <w:bCs w:val="0"/>
                <w:szCs w:val="24"/>
              </w:rPr>
            </w:pPr>
            <w:r w:rsidRPr="00ED550D">
              <w:rPr>
                <w:b w:val="0"/>
                <w:bCs w:val="0"/>
                <w:szCs w:val="24"/>
              </w:rPr>
              <w:t>201</w:t>
            </w:r>
            <w:r>
              <w:rPr>
                <w:b w:val="0"/>
                <w:bCs w:val="0"/>
                <w:szCs w:val="24"/>
              </w:rPr>
              <w:t>6</w:t>
            </w:r>
            <w:r w:rsidRPr="00ED550D">
              <w:rPr>
                <w:b w:val="0"/>
                <w:bCs w:val="0"/>
                <w:szCs w:val="24"/>
              </w:rPr>
              <w:t>:</w:t>
            </w:r>
          </w:p>
          <w:p w14:paraId="486E6436" w14:textId="77777777" w:rsidR="003E3972" w:rsidRPr="00320666" w:rsidRDefault="003E3972" w:rsidP="00385E80">
            <w:pPr>
              <w:pStyle w:val="ListParagraph"/>
              <w:spacing w:after="40"/>
              <w:ind w:left="0"/>
              <w:contextualSpacing w:val="0"/>
              <w:rPr>
                <w:b w:val="0"/>
                <w:bCs w:val="0"/>
                <w:szCs w:val="24"/>
                <w:vertAlign w:val="superscript"/>
              </w:rPr>
            </w:pPr>
            <w:r w:rsidRPr="00ED550D">
              <w:rPr>
                <w:b w:val="0"/>
                <w:bCs w:val="0"/>
                <w:szCs w:val="24"/>
              </w:rPr>
              <w:t>Median Geodesic</w:t>
            </w:r>
            <w:r>
              <w:rPr>
                <w:b w:val="0"/>
                <w:bCs w:val="0"/>
                <w:szCs w:val="24"/>
                <w:vertAlign w:val="superscript"/>
              </w:rPr>
              <w:t>*</w:t>
            </w:r>
          </w:p>
          <w:p w14:paraId="2ED0213D" w14:textId="3EEAF0D8" w:rsidR="003E3972" w:rsidRDefault="003E3972" w:rsidP="00C21EA0">
            <w:pPr>
              <w:pStyle w:val="ListParagraph"/>
              <w:spacing w:after="40"/>
              <w:ind w:left="0"/>
              <w:contextualSpacing w:val="0"/>
              <w:rPr>
                <w:szCs w:val="24"/>
                <w:vertAlign w:val="superscript"/>
              </w:rPr>
            </w:pPr>
            <w:r>
              <w:rPr>
                <w:b w:val="0"/>
                <w:bCs w:val="0"/>
                <w:szCs w:val="24"/>
              </w:rPr>
              <w:t>Giant Strong Component</w:t>
            </w:r>
          </w:p>
          <w:p w14:paraId="4E074262" w14:textId="4B8A29B2" w:rsidR="003E3972" w:rsidRPr="00A670A3" w:rsidRDefault="003E3972" w:rsidP="00480759">
            <w:pPr>
              <w:pStyle w:val="ListParagraph"/>
              <w:spacing w:after="120"/>
              <w:ind w:left="0"/>
              <w:contextualSpacing w:val="0"/>
              <w:rPr>
                <w:b w:val="0"/>
                <w:bCs w:val="0"/>
                <w:szCs w:val="24"/>
                <w:vertAlign w:val="superscript"/>
              </w:rPr>
            </w:pPr>
            <w:r>
              <w:rPr>
                <w:b w:val="0"/>
                <w:bCs w:val="0"/>
                <w:szCs w:val="24"/>
              </w:rPr>
              <w:t>Giant Weak Component</w:t>
            </w:r>
          </w:p>
        </w:tc>
        <w:tc>
          <w:tcPr>
            <w:tcW w:w="1264" w:type="dxa"/>
          </w:tcPr>
          <w:p w14:paraId="078A907B" w14:textId="77777777" w:rsidR="003E3972" w:rsidRDefault="003E3972" w:rsidP="00480759">
            <w:pPr>
              <w:pStyle w:val="ListParagraph"/>
              <w:spacing w:after="8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69D58138" w14:textId="2FB233D9" w:rsidR="003E3972" w:rsidRDefault="003E3972" w:rsidP="00385E80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 (1 - 1)</w:t>
            </w:r>
          </w:p>
          <w:p w14:paraId="65F045FD" w14:textId="6C6EF4B4" w:rsidR="003E3972" w:rsidRDefault="003E3972" w:rsidP="0063355A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14:paraId="12939817" w14:textId="6B81FC52" w:rsidR="003E3972" w:rsidRPr="00FC7ED8" w:rsidRDefault="003E3972" w:rsidP="000F2542">
            <w:pPr>
              <w:pStyle w:val="ListParagraph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65" w:type="dxa"/>
          </w:tcPr>
          <w:p w14:paraId="433E7728" w14:textId="77777777" w:rsidR="003E3972" w:rsidRDefault="003E3972" w:rsidP="00480759">
            <w:pPr>
              <w:pStyle w:val="ListParagraph"/>
              <w:spacing w:after="8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4E6E1A57" w14:textId="7069D0D6" w:rsidR="003E3972" w:rsidRDefault="003E3972" w:rsidP="00385E80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1.2 (1 - 2)</w:t>
            </w:r>
          </w:p>
          <w:p w14:paraId="74892168" w14:textId="77777777" w:rsidR="003E3972" w:rsidRDefault="003E3972" w:rsidP="00904E86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14:paraId="70F54927" w14:textId="281D6BD5" w:rsidR="003E3972" w:rsidRPr="00FC7ED8" w:rsidRDefault="003E3972" w:rsidP="00480759">
            <w:pPr>
              <w:pStyle w:val="ListParagraph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64" w:type="dxa"/>
          </w:tcPr>
          <w:p w14:paraId="443FC9C0" w14:textId="77777777" w:rsidR="003E3972" w:rsidRDefault="003E3972" w:rsidP="00480759">
            <w:pPr>
              <w:pStyle w:val="ListParagraph"/>
              <w:spacing w:after="8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02925057" w14:textId="5795B22A" w:rsidR="003E3972" w:rsidRDefault="003E3972" w:rsidP="00F67592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2.0 (1 - 4)</w:t>
            </w:r>
          </w:p>
          <w:p w14:paraId="24E0E487" w14:textId="17D48A23" w:rsidR="003E3972" w:rsidRDefault="003E3972" w:rsidP="00F67592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  <w:p w14:paraId="61C181DD" w14:textId="143A7A54" w:rsidR="003E3972" w:rsidRDefault="003E3972" w:rsidP="00480759">
            <w:pPr>
              <w:pStyle w:val="ListParagraph"/>
              <w:spacing w:after="8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265" w:type="dxa"/>
          </w:tcPr>
          <w:p w14:paraId="1CF0BF51" w14:textId="77777777" w:rsidR="003E3972" w:rsidRDefault="003E3972" w:rsidP="00480759">
            <w:pPr>
              <w:pStyle w:val="ListParagraph"/>
              <w:spacing w:after="8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377BECEC" w14:textId="77777777" w:rsidR="003E3972" w:rsidRDefault="003E3972" w:rsidP="00C21EA0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2.2 (1 - 5)</w:t>
            </w:r>
          </w:p>
          <w:p w14:paraId="333DA195" w14:textId="77777777" w:rsidR="003E3972" w:rsidRDefault="003E3972" w:rsidP="00C21EA0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18</w:t>
            </w:r>
          </w:p>
          <w:p w14:paraId="11D4A392" w14:textId="08F088E4" w:rsidR="003E3972" w:rsidRDefault="003E3972" w:rsidP="000F2542">
            <w:pPr>
              <w:pStyle w:val="ListParagraph"/>
              <w:spacing w:after="8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264" w:type="dxa"/>
          </w:tcPr>
          <w:p w14:paraId="5279F219" w14:textId="77777777" w:rsidR="003E3972" w:rsidRDefault="003E3972" w:rsidP="00480759">
            <w:pPr>
              <w:pStyle w:val="ListParagraph"/>
              <w:spacing w:after="8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7A1CB926" w14:textId="77777777" w:rsidR="003E3972" w:rsidRDefault="003E3972" w:rsidP="00C21EA0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2.1 (1 - 4)</w:t>
            </w:r>
          </w:p>
          <w:p w14:paraId="663968B5" w14:textId="77777777" w:rsidR="003E3972" w:rsidRDefault="003E3972" w:rsidP="00C21EA0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17</w:t>
            </w:r>
          </w:p>
          <w:p w14:paraId="4E4A41F4" w14:textId="1873717D" w:rsidR="003E3972" w:rsidRDefault="003E3972" w:rsidP="000F2542">
            <w:pPr>
              <w:pStyle w:val="ListParagraph"/>
              <w:spacing w:after="8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265" w:type="dxa"/>
          </w:tcPr>
          <w:p w14:paraId="5D25DEDB" w14:textId="77777777" w:rsidR="003E3972" w:rsidRDefault="003E3972" w:rsidP="00480759">
            <w:pPr>
              <w:pStyle w:val="ListParagraph"/>
              <w:spacing w:after="8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362BEC94" w14:textId="77777777" w:rsidR="003E3972" w:rsidRDefault="008478D7" w:rsidP="00A77CF4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2.2 (1 - 5)</w:t>
            </w:r>
          </w:p>
          <w:p w14:paraId="7E073F21" w14:textId="77777777" w:rsidR="001619D5" w:rsidRDefault="008803C1" w:rsidP="001619D5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12</w:t>
            </w:r>
          </w:p>
          <w:p w14:paraId="643DC703" w14:textId="00008E6E" w:rsidR="001619D5" w:rsidRDefault="00A661D3" w:rsidP="001619D5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265" w:type="dxa"/>
          </w:tcPr>
          <w:p w14:paraId="17B15131" w14:textId="77777777" w:rsidR="003E3972" w:rsidRDefault="003E3972" w:rsidP="00480759">
            <w:pPr>
              <w:pStyle w:val="ListParagraph"/>
              <w:spacing w:after="8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106F3E79" w14:textId="77777777" w:rsidR="005824D7" w:rsidRDefault="005B124E" w:rsidP="005824D7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2.2 (1 - 5)</w:t>
            </w:r>
          </w:p>
          <w:p w14:paraId="03F6B234" w14:textId="77777777" w:rsidR="005824D7" w:rsidRDefault="005824D7" w:rsidP="005824D7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14:paraId="77F6761C" w14:textId="08EC295C" w:rsidR="008136E4" w:rsidRDefault="008136E4" w:rsidP="005824D7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3F3F6E" w14:paraId="681A5D97" w14:textId="685167B2" w:rsidTr="00722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7BF776" w14:textId="77777777" w:rsidR="003E3972" w:rsidRPr="00ED550D" w:rsidRDefault="003E3972" w:rsidP="00480759">
            <w:pPr>
              <w:pStyle w:val="ListParagraph"/>
              <w:spacing w:after="80"/>
              <w:ind w:left="0"/>
              <w:contextualSpacing w:val="0"/>
              <w:rPr>
                <w:b w:val="0"/>
                <w:bCs w:val="0"/>
                <w:szCs w:val="24"/>
              </w:rPr>
            </w:pPr>
            <w:r w:rsidRPr="00ED550D">
              <w:rPr>
                <w:b w:val="0"/>
                <w:bCs w:val="0"/>
                <w:szCs w:val="24"/>
              </w:rPr>
              <w:t>201</w:t>
            </w:r>
            <w:r>
              <w:rPr>
                <w:b w:val="0"/>
                <w:bCs w:val="0"/>
                <w:szCs w:val="24"/>
              </w:rPr>
              <w:t>7</w:t>
            </w:r>
            <w:r w:rsidRPr="00ED550D">
              <w:rPr>
                <w:b w:val="0"/>
                <w:bCs w:val="0"/>
                <w:szCs w:val="24"/>
              </w:rPr>
              <w:t>:</w:t>
            </w:r>
          </w:p>
          <w:p w14:paraId="5DD15550" w14:textId="77777777" w:rsidR="003E3972" w:rsidRPr="00320666" w:rsidRDefault="003E3972" w:rsidP="00134301">
            <w:pPr>
              <w:pStyle w:val="ListParagraph"/>
              <w:spacing w:after="40"/>
              <w:ind w:left="0"/>
              <w:contextualSpacing w:val="0"/>
              <w:rPr>
                <w:b w:val="0"/>
                <w:bCs w:val="0"/>
                <w:szCs w:val="24"/>
                <w:vertAlign w:val="superscript"/>
              </w:rPr>
            </w:pPr>
            <w:r w:rsidRPr="00ED550D">
              <w:rPr>
                <w:b w:val="0"/>
                <w:bCs w:val="0"/>
                <w:szCs w:val="24"/>
              </w:rPr>
              <w:t>Median Geodesic</w:t>
            </w:r>
            <w:r>
              <w:rPr>
                <w:b w:val="0"/>
                <w:bCs w:val="0"/>
                <w:szCs w:val="24"/>
                <w:vertAlign w:val="superscript"/>
              </w:rPr>
              <w:t>*</w:t>
            </w:r>
          </w:p>
          <w:p w14:paraId="6451CF0E" w14:textId="69A57B36" w:rsidR="003E3972" w:rsidRDefault="003E3972" w:rsidP="00686B1C">
            <w:pPr>
              <w:pStyle w:val="ListParagraph"/>
              <w:spacing w:after="40"/>
              <w:ind w:left="0"/>
              <w:contextualSpacing w:val="0"/>
              <w:rPr>
                <w:szCs w:val="24"/>
                <w:vertAlign w:val="superscript"/>
              </w:rPr>
            </w:pPr>
            <w:r>
              <w:rPr>
                <w:b w:val="0"/>
                <w:bCs w:val="0"/>
                <w:szCs w:val="24"/>
              </w:rPr>
              <w:t>Giant Strong Component</w:t>
            </w:r>
          </w:p>
          <w:p w14:paraId="42C2CA2F" w14:textId="04A4C272" w:rsidR="003E3972" w:rsidRPr="00686B1C" w:rsidRDefault="003E3972" w:rsidP="00686B1C">
            <w:pPr>
              <w:pStyle w:val="ListParagraph"/>
              <w:spacing w:after="120"/>
              <w:ind w:left="0"/>
              <w:contextualSpacing w:val="0"/>
              <w:rPr>
                <w:b w:val="0"/>
                <w:bCs w:val="0"/>
                <w:szCs w:val="24"/>
                <w:vertAlign w:val="superscript"/>
              </w:rPr>
            </w:pPr>
            <w:r>
              <w:rPr>
                <w:b w:val="0"/>
                <w:bCs w:val="0"/>
                <w:szCs w:val="24"/>
              </w:rPr>
              <w:t>Giant Weak Component</w:t>
            </w:r>
          </w:p>
        </w:tc>
        <w:tc>
          <w:tcPr>
            <w:tcW w:w="1264" w:type="dxa"/>
          </w:tcPr>
          <w:p w14:paraId="45D34B09" w14:textId="77777777" w:rsidR="003E3972" w:rsidRDefault="003E3972" w:rsidP="00480759">
            <w:pPr>
              <w:pStyle w:val="ListParagraph"/>
              <w:spacing w:after="8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55F26991" w14:textId="7840C45D" w:rsidR="003E3972" w:rsidRDefault="003E3972" w:rsidP="00E2506A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 (1 - 1)</w:t>
            </w:r>
          </w:p>
          <w:p w14:paraId="028D129C" w14:textId="77777777" w:rsidR="003E3972" w:rsidRDefault="003E3972" w:rsidP="00AA37A2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14:paraId="4FC8BC96" w14:textId="790FA723" w:rsidR="003E3972" w:rsidRPr="00284E93" w:rsidRDefault="003E3972" w:rsidP="00480759">
            <w:pPr>
              <w:pStyle w:val="ListParagraph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65" w:type="dxa"/>
          </w:tcPr>
          <w:p w14:paraId="62F7A952" w14:textId="77777777" w:rsidR="003E3972" w:rsidRDefault="003E3972" w:rsidP="00480759">
            <w:pPr>
              <w:pStyle w:val="ListParagraph"/>
              <w:spacing w:after="8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  <w:p w14:paraId="52279F08" w14:textId="14125ECA" w:rsidR="003E3972" w:rsidRDefault="003E3972" w:rsidP="00E2506A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1.2 (1 - 3)</w:t>
            </w:r>
          </w:p>
          <w:p w14:paraId="2AD45F59" w14:textId="77777777" w:rsidR="003E3972" w:rsidRDefault="003E3972" w:rsidP="00AA37A2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14:paraId="550CD37E" w14:textId="305AA14D" w:rsidR="003E3972" w:rsidRPr="00CA06E7" w:rsidRDefault="003E3972" w:rsidP="00480759">
            <w:pPr>
              <w:pStyle w:val="ListParagraph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64" w:type="dxa"/>
          </w:tcPr>
          <w:p w14:paraId="03230EBE" w14:textId="77777777" w:rsidR="003E3972" w:rsidRDefault="003E3972" w:rsidP="00480759">
            <w:pPr>
              <w:pStyle w:val="ListParagraph"/>
              <w:spacing w:after="8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  <w:p w14:paraId="546C3C39" w14:textId="77777777" w:rsidR="003E3972" w:rsidRDefault="003E3972" w:rsidP="00E2506A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1.8 (1 - 3)</w:t>
            </w:r>
          </w:p>
          <w:p w14:paraId="7A83A1F9" w14:textId="77777777" w:rsidR="003E3972" w:rsidRDefault="003E3972" w:rsidP="00E2506A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14:paraId="74477A59" w14:textId="6F89E07C" w:rsidR="003E3972" w:rsidRPr="00441C7A" w:rsidRDefault="003E3972" w:rsidP="00E2506A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265" w:type="dxa"/>
          </w:tcPr>
          <w:p w14:paraId="3069B263" w14:textId="77777777" w:rsidR="003E3972" w:rsidRDefault="003E3972" w:rsidP="00480759">
            <w:pPr>
              <w:pStyle w:val="ListParagraph"/>
              <w:spacing w:after="8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  <w:p w14:paraId="080DBED3" w14:textId="77777777" w:rsidR="003E3972" w:rsidRDefault="003E3972" w:rsidP="00E2506A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2.4 (1 - 6)</w:t>
            </w:r>
          </w:p>
          <w:p w14:paraId="02A36103" w14:textId="77777777" w:rsidR="003E3972" w:rsidRDefault="003E3972" w:rsidP="00E2506A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17</w:t>
            </w:r>
          </w:p>
          <w:p w14:paraId="3198C0EC" w14:textId="6FB9E2A5" w:rsidR="003E3972" w:rsidRPr="00FD4543" w:rsidRDefault="003E3972" w:rsidP="00E2506A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264" w:type="dxa"/>
          </w:tcPr>
          <w:p w14:paraId="42650787" w14:textId="77777777" w:rsidR="003E3972" w:rsidRDefault="003E3972" w:rsidP="00480759">
            <w:pPr>
              <w:pStyle w:val="ListParagraph"/>
              <w:spacing w:after="8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  <w:p w14:paraId="625D38E6" w14:textId="77777777" w:rsidR="003E3972" w:rsidRDefault="003E3972" w:rsidP="00E2506A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 (1 - 4)</w:t>
            </w:r>
          </w:p>
          <w:p w14:paraId="39DEAA69" w14:textId="765B700F" w:rsidR="003E3972" w:rsidRDefault="003E3972" w:rsidP="00E2506A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1CC8F362" w14:textId="4463BFC1" w:rsidR="003E3972" w:rsidRPr="00C1604F" w:rsidRDefault="003E3972" w:rsidP="00E2506A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65" w:type="dxa"/>
          </w:tcPr>
          <w:p w14:paraId="6093168D" w14:textId="77777777" w:rsidR="003E3972" w:rsidRDefault="003E3972" w:rsidP="00480759">
            <w:pPr>
              <w:pStyle w:val="ListParagraph"/>
              <w:spacing w:after="8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  <w:p w14:paraId="0C6DE0F2" w14:textId="77777777" w:rsidR="008478D7" w:rsidRDefault="007F6B34" w:rsidP="00A77CF4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2.3 (1 - 6)</w:t>
            </w:r>
          </w:p>
          <w:p w14:paraId="6D89F8AC" w14:textId="77777777" w:rsidR="008803C1" w:rsidRDefault="008803C1" w:rsidP="006F7ED6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  <w:p w14:paraId="3A097FAC" w14:textId="1A8C2B9F" w:rsidR="00A661D3" w:rsidRPr="007F6B34" w:rsidRDefault="00A661D3" w:rsidP="00480759">
            <w:pPr>
              <w:pStyle w:val="ListParagraph"/>
              <w:spacing w:after="8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265" w:type="dxa"/>
          </w:tcPr>
          <w:p w14:paraId="2F65C011" w14:textId="77777777" w:rsidR="003E3972" w:rsidRDefault="003E3972" w:rsidP="00480759">
            <w:pPr>
              <w:pStyle w:val="ListParagraph"/>
              <w:spacing w:after="8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  <w:p w14:paraId="3A4D0C19" w14:textId="6A61431E" w:rsidR="00003FA3" w:rsidRPr="00003FA3" w:rsidRDefault="00003FA3" w:rsidP="00003FA3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03FA3">
              <w:rPr>
                <w:szCs w:val="24"/>
              </w:rPr>
              <w:t>1.</w:t>
            </w:r>
            <w:r>
              <w:rPr>
                <w:szCs w:val="24"/>
              </w:rPr>
              <w:t xml:space="preserve">1 </w:t>
            </w:r>
            <w:r w:rsidR="0089199C" w:rsidRPr="00003FA3">
              <w:rPr>
                <w:szCs w:val="24"/>
              </w:rPr>
              <w:t>(1 - 2)</w:t>
            </w:r>
          </w:p>
          <w:p w14:paraId="3B6F475E" w14:textId="425E2152" w:rsidR="002B2FB6" w:rsidRDefault="00C65F6F" w:rsidP="002B2FB6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  <w:p w14:paraId="30312DAB" w14:textId="69B1BBA8" w:rsidR="00645EF6" w:rsidRPr="00003FA3" w:rsidRDefault="00645EF6" w:rsidP="002B2FB6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  <w:p w14:paraId="1604048A" w14:textId="3B86B7FC" w:rsidR="00003FA3" w:rsidRPr="00003FA3" w:rsidRDefault="00003FA3" w:rsidP="00003FA3">
            <w:pPr>
              <w:pStyle w:val="ListParagraph"/>
              <w:spacing w:after="40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3F3F6E" w14:paraId="20D878D2" w14:textId="37F84EA0" w:rsidTr="00722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855B5F" w14:textId="77777777" w:rsidR="003E3972" w:rsidRPr="00ED550D" w:rsidRDefault="003E3972" w:rsidP="00480759">
            <w:pPr>
              <w:pStyle w:val="ListParagraph"/>
              <w:spacing w:after="80"/>
              <w:ind w:left="0"/>
              <w:contextualSpacing w:val="0"/>
              <w:rPr>
                <w:b w:val="0"/>
                <w:bCs w:val="0"/>
                <w:szCs w:val="24"/>
              </w:rPr>
            </w:pPr>
            <w:r w:rsidRPr="00ED550D">
              <w:rPr>
                <w:b w:val="0"/>
                <w:bCs w:val="0"/>
                <w:szCs w:val="24"/>
              </w:rPr>
              <w:t>201</w:t>
            </w:r>
            <w:r>
              <w:rPr>
                <w:b w:val="0"/>
                <w:bCs w:val="0"/>
                <w:szCs w:val="24"/>
              </w:rPr>
              <w:t>8</w:t>
            </w:r>
            <w:r w:rsidRPr="00ED550D">
              <w:rPr>
                <w:b w:val="0"/>
                <w:bCs w:val="0"/>
                <w:szCs w:val="24"/>
              </w:rPr>
              <w:t>:</w:t>
            </w:r>
          </w:p>
          <w:p w14:paraId="550F2C78" w14:textId="77777777" w:rsidR="003E3972" w:rsidRPr="00320666" w:rsidRDefault="003E3972" w:rsidP="00686B1C">
            <w:pPr>
              <w:pStyle w:val="ListParagraph"/>
              <w:spacing w:after="40"/>
              <w:ind w:left="0"/>
              <w:contextualSpacing w:val="0"/>
              <w:rPr>
                <w:b w:val="0"/>
                <w:bCs w:val="0"/>
                <w:szCs w:val="24"/>
                <w:vertAlign w:val="superscript"/>
              </w:rPr>
            </w:pPr>
            <w:r w:rsidRPr="00ED550D">
              <w:rPr>
                <w:b w:val="0"/>
                <w:bCs w:val="0"/>
                <w:szCs w:val="24"/>
              </w:rPr>
              <w:t>Median Geodesic</w:t>
            </w:r>
            <w:r>
              <w:rPr>
                <w:b w:val="0"/>
                <w:bCs w:val="0"/>
                <w:szCs w:val="24"/>
                <w:vertAlign w:val="superscript"/>
              </w:rPr>
              <w:t>*</w:t>
            </w:r>
          </w:p>
          <w:p w14:paraId="2DF71048" w14:textId="77777777" w:rsidR="003E3972" w:rsidRDefault="003E3972" w:rsidP="00686B1C">
            <w:pPr>
              <w:pStyle w:val="ListParagraph"/>
              <w:spacing w:after="40"/>
              <w:ind w:left="0"/>
              <w:contextualSpacing w:val="0"/>
              <w:rPr>
                <w:szCs w:val="24"/>
              </w:rPr>
            </w:pPr>
            <w:r>
              <w:rPr>
                <w:b w:val="0"/>
                <w:bCs w:val="0"/>
                <w:szCs w:val="24"/>
              </w:rPr>
              <w:t>Giant Strong Component</w:t>
            </w:r>
          </w:p>
          <w:p w14:paraId="4229D315" w14:textId="4CC21D0A" w:rsidR="003E3972" w:rsidRPr="00686B1C" w:rsidRDefault="003E3972" w:rsidP="00480759">
            <w:pPr>
              <w:pStyle w:val="ListParagraph"/>
              <w:ind w:left="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Giant Weak Component</w:t>
            </w:r>
          </w:p>
        </w:tc>
        <w:tc>
          <w:tcPr>
            <w:tcW w:w="1264" w:type="dxa"/>
          </w:tcPr>
          <w:p w14:paraId="59939E26" w14:textId="77777777" w:rsidR="003E3972" w:rsidRDefault="003E3972" w:rsidP="00480759">
            <w:pPr>
              <w:pStyle w:val="ListParagraph"/>
              <w:spacing w:after="8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5D240698" w14:textId="798AD602" w:rsidR="003E3972" w:rsidRDefault="003E3972" w:rsidP="00DD2CF5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1 (1 </w:t>
            </w:r>
            <w:r w:rsidR="00645EF6">
              <w:rPr>
                <w:szCs w:val="24"/>
              </w:rPr>
              <w:t>–</w:t>
            </w:r>
            <w:r>
              <w:rPr>
                <w:szCs w:val="24"/>
              </w:rPr>
              <w:t xml:space="preserve"> 1)</w:t>
            </w:r>
          </w:p>
          <w:p w14:paraId="583580AB" w14:textId="77777777" w:rsidR="003E3972" w:rsidRDefault="003E3972" w:rsidP="00DD2CF5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14:paraId="67A8EF3A" w14:textId="1795F2D8" w:rsidR="003E3972" w:rsidRPr="00284E93" w:rsidRDefault="003E3972" w:rsidP="00DD2CF5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65" w:type="dxa"/>
          </w:tcPr>
          <w:p w14:paraId="56EE7570" w14:textId="77777777" w:rsidR="003E3972" w:rsidRDefault="003E3972" w:rsidP="00480759">
            <w:pPr>
              <w:pStyle w:val="ListParagraph"/>
              <w:spacing w:after="8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  <w:p w14:paraId="151C1CB6" w14:textId="7E8132E5" w:rsidR="003E3972" w:rsidRDefault="003E3972" w:rsidP="00FF0C1C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1 (1 </w:t>
            </w:r>
            <w:r w:rsidR="00645EF6">
              <w:rPr>
                <w:szCs w:val="24"/>
              </w:rPr>
              <w:t>–</w:t>
            </w:r>
            <w:r>
              <w:rPr>
                <w:szCs w:val="24"/>
              </w:rPr>
              <w:t xml:space="preserve"> 1)</w:t>
            </w:r>
          </w:p>
          <w:p w14:paraId="4A03EC40" w14:textId="682CC639" w:rsidR="003E3972" w:rsidRDefault="003E3972" w:rsidP="0095018A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14:paraId="72862F7B" w14:textId="35908ED4" w:rsidR="003E3972" w:rsidRPr="003C7E5A" w:rsidRDefault="003E3972" w:rsidP="0048075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64" w:type="dxa"/>
          </w:tcPr>
          <w:p w14:paraId="3570B4DA" w14:textId="77777777" w:rsidR="003E3972" w:rsidRDefault="003E3972" w:rsidP="00480759">
            <w:pPr>
              <w:pStyle w:val="ListParagraph"/>
              <w:spacing w:after="8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  <w:p w14:paraId="75DF99AC" w14:textId="06BAABDA" w:rsidR="003E3972" w:rsidRDefault="003E3972" w:rsidP="00F67592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1.5 (1 </w:t>
            </w:r>
            <w:r w:rsidR="00645EF6">
              <w:rPr>
                <w:szCs w:val="24"/>
              </w:rPr>
              <w:t>–</w:t>
            </w:r>
            <w:r>
              <w:rPr>
                <w:szCs w:val="24"/>
              </w:rPr>
              <w:t xml:space="preserve"> 3)</w:t>
            </w:r>
          </w:p>
          <w:p w14:paraId="2243161A" w14:textId="77777777" w:rsidR="003E3972" w:rsidRDefault="003E3972" w:rsidP="00F67592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14:paraId="4D25CCB8" w14:textId="40A8B6C6" w:rsidR="003E3972" w:rsidRPr="00D67CF9" w:rsidRDefault="003E3972" w:rsidP="00F67592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265" w:type="dxa"/>
          </w:tcPr>
          <w:p w14:paraId="08000287" w14:textId="77777777" w:rsidR="003E3972" w:rsidRDefault="003E3972" w:rsidP="00480759">
            <w:pPr>
              <w:pStyle w:val="ListParagraph"/>
              <w:spacing w:after="8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  <w:p w14:paraId="509307C1" w14:textId="62A1B575" w:rsidR="003E3972" w:rsidRDefault="003E3972" w:rsidP="00ED3A28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2.8 (1 </w:t>
            </w:r>
            <w:r w:rsidR="00645EF6">
              <w:rPr>
                <w:szCs w:val="24"/>
              </w:rPr>
              <w:t>–</w:t>
            </w:r>
            <w:r>
              <w:rPr>
                <w:szCs w:val="24"/>
              </w:rPr>
              <w:t xml:space="preserve"> 7)</w:t>
            </w:r>
          </w:p>
          <w:p w14:paraId="1D1EF96F" w14:textId="77777777" w:rsidR="003E3972" w:rsidRDefault="003E3972" w:rsidP="008565F7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  <w:p w14:paraId="48946BD9" w14:textId="22A04EAB" w:rsidR="003E3972" w:rsidRPr="00443ADF" w:rsidRDefault="003E3972" w:rsidP="008565F7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264" w:type="dxa"/>
          </w:tcPr>
          <w:p w14:paraId="0266E11B" w14:textId="77777777" w:rsidR="003E3972" w:rsidRDefault="003E3972" w:rsidP="00480759">
            <w:pPr>
              <w:pStyle w:val="ListParagraph"/>
              <w:spacing w:after="8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  <w:p w14:paraId="61A923C9" w14:textId="5B2FE020" w:rsidR="003E3972" w:rsidRDefault="003E3972" w:rsidP="003A6DCE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2.3 (1 </w:t>
            </w:r>
            <w:r w:rsidR="00645EF6">
              <w:rPr>
                <w:szCs w:val="24"/>
              </w:rPr>
              <w:t>–</w:t>
            </w:r>
            <w:r>
              <w:rPr>
                <w:szCs w:val="24"/>
              </w:rPr>
              <w:t xml:space="preserve"> 5)</w:t>
            </w:r>
          </w:p>
          <w:p w14:paraId="356094B7" w14:textId="77777777" w:rsidR="003E3972" w:rsidRDefault="003E3972" w:rsidP="003A6DCE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14:paraId="09B0EC6E" w14:textId="5F448065" w:rsidR="003E3972" w:rsidRPr="00C1604F" w:rsidRDefault="003E3972" w:rsidP="003A6DCE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265" w:type="dxa"/>
          </w:tcPr>
          <w:p w14:paraId="2F4CE5CC" w14:textId="77777777" w:rsidR="003E3972" w:rsidRDefault="003E3972" w:rsidP="00480759">
            <w:pPr>
              <w:pStyle w:val="ListParagraph"/>
              <w:spacing w:after="8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  <w:p w14:paraId="1212AF99" w14:textId="204174CD" w:rsidR="007F6B34" w:rsidRDefault="00C43F43" w:rsidP="00A77CF4">
            <w:pPr>
              <w:pStyle w:val="ListParagraph"/>
              <w:spacing w:after="4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2.1 (1 </w:t>
            </w:r>
            <w:r w:rsidR="00645EF6">
              <w:rPr>
                <w:szCs w:val="24"/>
              </w:rPr>
              <w:t>–</w:t>
            </w:r>
            <w:r>
              <w:rPr>
                <w:szCs w:val="24"/>
              </w:rPr>
              <w:t xml:space="preserve"> 5)</w:t>
            </w:r>
          </w:p>
          <w:p w14:paraId="10507D2C" w14:textId="77777777" w:rsidR="008803C1" w:rsidRDefault="00A77CF4" w:rsidP="00C24659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14:paraId="7BC66103" w14:textId="4D5EDD4C" w:rsidR="00C24659" w:rsidRPr="00C43F43" w:rsidRDefault="00C24659" w:rsidP="00C24659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265" w:type="dxa"/>
          </w:tcPr>
          <w:p w14:paraId="5093B7D2" w14:textId="77777777" w:rsidR="003E3972" w:rsidRDefault="003E3972" w:rsidP="00480759">
            <w:pPr>
              <w:pStyle w:val="ListParagraph"/>
              <w:spacing w:after="80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</w:p>
          <w:p w14:paraId="137E8A9E" w14:textId="203CD3CB" w:rsidR="00C65F6F" w:rsidRDefault="00FE4544" w:rsidP="008136E4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1 (1 </w:t>
            </w:r>
            <w:r w:rsidR="00645EF6">
              <w:rPr>
                <w:szCs w:val="24"/>
              </w:rPr>
              <w:t>–</w:t>
            </w:r>
            <w:r>
              <w:rPr>
                <w:szCs w:val="24"/>
              </w:rPr>
              <w:t xml:space="preserve"> 1)</w:t>
            </w:r>
          </w:p>
          <w:p w14:paraId="1531123C" w14:textId="77777777" w:rsidR="008136E4" w:rsidRDefault="008136E4" w:rsidP="00645EF6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14:paraId="4BED0FBD" w14:textId="5895D6B4" w:rsidR="00645EF6" w:rsidRPr="0089199C" w:rsidRDefault="00645EF6" w:rsidP="00645EF6">
            <w:pPr>
              <w:pStyle w:val="ListParagraph"/>
              <w:spacing w:after="4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bookmarkEnd w:id="2"/>
    <w:p w14:paraId="3CFFF59E" w14:textId="6513FC16" w:rsidR="00EF5344" w:rsidRDefault="0039799A">
      <w:r>
        <w:rPr>
          <w:vertAlign w:val="superscript"/>
        </w:rPr>
        <w:t>*</w:t>
      </w:r>
      <w:r>
        <w:t>Results presented as median (Interquartile range)</w:t>
      </w:r>
    </w:p>
    <w:p w14:paraId="4ABABBB9" w14:textId="78C078FA" w:rsidR="00745822" w:rsidRDefault="00745822"/>
    <w:p w14:paraId="0AEE07AF" w14:textId="59EDF639" w:rsidR="00745822" w:rsidRPr="00745822" w:rsidRDefault="00745822">
      <w:r>
        <w:rPr>
          <w:b/>
          <w:bCs/>
        </w:rPr>
        <w:t>Figure S1:</w:t>
      </w:r>
      <w:r>
        <w:t xml:space="preserve"> A flowchart detailing the </w:t>
      </w:r>
      <w:r w:rsidR="00C26788">
        <w:t>inclusion, exclusion, and formatting of data for</w:t>
      </w:r>
      <w:r w:rsidR="00F3230F">
        <w:t xml:space="preserve"> a network analysis of registered Equestrian Canada competitions and show results from 2016 to 2018.</w:t>
      </w:r>
    </w:p>
    <w:sectPr w:rsidR="00745822" w:rsidRPr="00745822" w:rsidSect="003F3F6E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C43F4"/>
    <w:multiLevelType w:val="multilevel"/>
    <w:tmpl w:val="34F2B6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A1C0273"/>
    <w:multiLevelType w:val="multilevel"/>
    <w:tmpl w:val="478887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21F6D57"/>
    <w:multiLevelType w:val="multilevel"/>
    <w:tmpl w:val="BF1C16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48946531">
    <w:abstractNumId w:val="1"/>
  </w:num>
  <w:num w:numId="2" w16cid:durableId="846940602">
    <w:abstractNumId w:val="0"/>
  </w:num>
  <w:num w:numId="3" w16cid:durableId="396050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00"/>
    <w:rsid w:val="00003BC8"/>
    <w:rsid w:val="00003FA3"/>
    <w:rsid w:val="00006214"/>
    <w:rsid w:val="00030EC7"/>
    <w:rsid w:val="0007195E"/>
    <w:rsid w:val="00097FFC"/>
    <w:rsid w:val="000F2542"/>
    <w:rsid w:val="00134301"/>
    <w:rsid w:val="00155CBD"/>
    <w:rsid w:val="001619D5"/>
    <w:rsid w:val="001714BD"/>
    <w:rsid w:val="00230D82"/>
    <w:rsid w:val="00231B0C"/>
    <w:rsid w:val="002450FD"/>
    <w:rsid w:val="002B2FB6"/>
    <w:rsid w:val="0030649B"/>
    <w:rsid w:val="00343E07"/>
    <w:rsid w:val="00355725"/>
    <w:rsid w:val="0035686B"/>
    <w:rsid w:val="00367B92"/>
    <w:rsid w:val="00371394"/>
    <w:rsid w:val="003763D7"/>
    <w:rsid w:val="00385E80"/>
    <w:rsid w:val="0039799A"/>
    <w:rsid w:val="003A0CC3"/>
    <w:rsid w:val="003A1072"/>
    <w:rsid w:val="003A6335"/>
    <w:rsid w:val="003A6DCE"/>
    <w:rsid w:val="003B093C"/>
    <w:rsid w:val="003E255D"/>
    <w:rsid w:val="003E3972"/>
    <w:rsid w:val="003F3F6E"/>
    <w:rsid w:val="00423154"/>
    <w:rsid w:val="00431F37"/>
    <w:rsid w:val="00441C7A"/>
    <w:rsid w:val="00443ADF"/>
    <w:rsid w:val="004555D9"/>
    <w:rsid w:val="00481CB6"/>
    <w:rsid w:val="00496670"/>
    <w:rsid w:val="004B4C2E"/>
    <w:rsid w:val="004B79F7"/>
    <w:rsid w:val="005100B5"/>
    <w:rsid w:val="00515323"/>
    <w:rsid w:val="00525190"/>
    <w:rsid w:val="005377A8"/>
    <w:rsid w:val="00545A07"/>
    <w:rsid w:val="0057193A"/>
    <w:rsid w:val="00571E35"/>
    <w:rsid w:val="005824D7"/>
    <w:rsid w:val="00594F13"/>
    <w:rsid w:val="005B124E"/>
    <w:rsid w:val="00605674"/>
    <w:rsid w:val="006255C3"/>
    <w:rsid w:val="0063355A"/>
    <w:rsid w:val="00645EF6"/>
    <w:rsid w:val="00655365"/>
    <w:rsid w:val="00656295"/>
    <w:rsid w:val="00686B1C"/>
    <w:rsid w:val="006936FB"/>
    <w:rsid w:val="00693CCC"/>
    <w:rsid w:val="006A35DE"/>
    <w:rsid w:val="006A4DB4"/>
    <w:rsid w:val="006E0F70"/>
    <w:rsid w:val="006F7ED6"/>
    <w:rsid w:val="00722F94"/>
    <w:rsid w:val="007269C7"/>
    <w:rsid w:val="00735EB7"/>
    <w:rsid w:val="00737DCD"/>
    <w:rsid w:val="00745822"/>
    <w:rsid w:val="007628EE"/>
    <w:rsid w:val="00780BE2"/>
    <w:rsid w:val="00781E76"/>
    <w:rsid w:val="00784CEE"/>
    <w:rsid w:val="00790A88"/>
    <w:rsid w:val="007B3683"/>
    <w:rsid w:val="007B5570"/>
    <w:rsid w:val="007C2E95"/>
    <w:rsid w:val="007E0005"/>
    <w:rsid w:val="007E4FA3"/>
    <w:rsid w:val="007F6B34"/>
    <w:rsid w:val="008010F1"/>
    <w:rsid w:val="008136E4"/>
    <w:rsid w:val="008142DD"/>
    <w:rsid w:val="00832EFA"/>
    <w:rsid w:val="008478D7"/>
    <w:rsid w:val="008565F7"/>
    <w:rsid w:val="00867916"/>
    <w:rsid w:val="00875011"/>
    <w:rsid w:val="008803C1"/>
    <w:rsid w:val="00883E48"/>
    <w:rsid w:val="0089199C"/>
    <w:rsid w:val="00897D69"/>
    <w:rsid w:val="008A6F3E"/>
    <w:rsid w:val="008B7D01"/>
    <w:rsid w:val="008C49D0"/>
    <w:rsid w:val="00904E86"/>
    <w:rsid w:val="00920799"/>
    <w:rsid w:val="00920EE4"/>
    <w:rsid w:val="009339B9"/>
    <w:rsid w:val="0095018A"/>
    <w:rsid w:val="009604D1"/>
    <w:rsid w:val="00993F44"/>
    <w:rsid w:val="009A0163"/>
    <w:rsid w:val="009A5F1D"/>
    <w:rsid w:val="009C4815"/>
    <w:rsid w:val="009D5F8B"/>
    <w:rsid w:val="009F223E"/>
    <w:rsid w:val="009F6007"/>
    <w:rsid w:val="00A23A0C"/>
    <w:rsid w:val="00A41784"/>
    <w:rsid w:val="00A661D3"/>
    <w:rsid w:val="00A66C2C"/>
    <w:rsid w:val="00A670A3"/>
    <w:rsid w:val="00A77CF4"/>
    <w:rsid w:val="00A862BD"/>
    <w:rsid w:val="00A964F4"/>
    <w:rsid w:val="00AA37A2"/>
    <w:rsid w:val="00AB2CD2"/>
    <w:rsid w:val="00AB5F1B"/>
    <w:rsid w:val="00AC57E5"/>
    <w:rsid w:val="00AC6793"/>
    <w:rsid w:val="00AD41B9"/>
    <w:rsid w:val="00AE7015"/>
    <w:rsid w:val="00AF0E70"/>
    <w:rsid w:val="00B00653"/>
    <w:rsid w:val="00B115E0"/>
    <w:rsid w:val="00B75DA7"/>
    <w:rsid w:val="00B77F2E"/>
    <w:rsid w:val="00B8697A"/>
    <w:rsid w:val="00B933B7"/>
    <w:rsid w:val="00BA24E5"/>
    <w:rsid w:val="00BB3FF5"/>
    <w:rsid w:val="00BC0700"/>
    <w:rsid w:val="00BD71CD"/>
    <w:rsid w:val="00C1604F"/>
    <w:rsid w:val="00C21EA0"/>
    <w:rsid w:val="00C24659"/>
    <w:rsid w:val="00C26788"/>
    <w:rsid w:val="00C3067F"/>
    <w:rsid w:val="00C43F43"/>
    <w:rsid w:val="00C65F6F"/>
    <w:rsid w:val="00CA2EED"/>
    <w:rsid w:val="00CD7953"/>
    <w:rsid w:val="00D421A1"/>
    <w:rsid w:val="00D42945"/>
    <w:rsid w:val="00D67CF9"/>
    <w:rsid w:val="00D802AB"/>
    <w:rsid w:val="00D82235"/>
    <w:rsid w:val="00D93147"/>
    <w:rsid w:val="00DA62D5"/>
    <w:rsid w:val="00DD2CF5"/>
    <w:rsid w:val="00DD2E0A"/>
    <w:rsid w:val="00DD2E2E"/>
    <w:rsid w:val="00DD3D89"/>
    <w:rsid w:val="00DD79B5"/>
    <w:rsid w:val="00DE2E29"/>
    <w:rsid w:val="00E2506A"/>
    <w:rsid w:val="00E30D2E"/>
    <w:rsid w:val="00E45A4C"/>
    <w:rsid w:val="00E6136F"/>
    <w:rsid w:val="00E71CEF"/>
    <w:rsid w:val="00E86CA7"/>
    <w:rsid w:val="00ED3A28"/>
    <w:rsid w:val="00EE1BB8"/>
    <w:rsid w:val="00EE3D53"/>
    <w:rsid w:val="00EF5344"/>
    <w:rsid w:val="00F05495"/>
    <w:rsid w:val="00F3230F"/>
    <w:rsid w:val="00F67592"/>
    <w:rsid w:val="00F87FC9"/>
    <w:rsid w:val="00FA66B8"/>
    <w:rsid w:val="00FD4543"/>
    <w:rsid w:val="00FE3C3F"/>
    <w:rsid w:val="00FE4544"/>
    <w:rsid w:val="00FF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813D9"/>
  <w15:chartTrackingRefBased/>
  <w15:docId w15:val="{3A041AC5-76EE-43B6-928C-FB0FAE1C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">
    <w:name w:val="List Table 6 Colorful"/>
    <w:basedOn w:val="TableNormal"/>
    <w:uiPriority w:val="51"/>
    <w:rsid w:val="00BC07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656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Rossi</dc:creator>
  <cp:keywords/>
  <dc:description/>
  <cp:lastModifiedBy>Amy Greer</cp:lastModifiedBy>
  <cp:revision>2</cp:revision>
  <dcterms:created xsi:type="dcterms:W3CDTF">2025-06-02T15:58:00Z</dcterms:created>
  <dcterms:modified xsi:type="dcterms:W3CDTF">2025-06-02T15:58:00Z</dcterms:modified>
</cp:coreProperties>
</file>