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1192B" w14:textId="77777777" w:rsidR="007F081B" w:rsidRPr="00ED0795" w:rsidRDefault="007F081B" w:rsidP="007F081B">
      <w:pPr>
        <w:pStyle w:val="Heading2"/>
        <w:ind w:left="576" w:hanging="576"/>
        <w:rPr>
          <w:sz w:val="24"/>
          <w:szCs w:val="24"/>
          <w:lang w:eastAsia="zh-CN"/>
        </w:rPr>
      </w:pPr>
      <w:r w:rsidRPr="00ED0795">
        <w:rPr>
          <w:sz w:val="24"/>
          <w:szCs w:val="24"/>
          <w:lang w:eastAsia="zh-CN"/>
        </w:rPr>
        <w:t>1.5</w:t>
      </w:r>
      <w:r w:rsidRPr="00ED0795">
        <w:rPr>
          <w:sz w:val="24"/>
          <w:szCs w:val="24"/>
          <w:lang w:eastAsia="zh-CN"/>
        </w:rPr>
        <w:tab/>
      </w:r>
      <w:r w:rsidRPr="00ED0795">
        <w:rPr>
          <w:rFonts w:hint="eastAsia"/>
          <w:sz w:val="24"/>
          <w:szCs w:val="24"/>
          <w:lang w:eastAsia="zh-CN"/>
        </w:rPr>
        <w:t>Supplement</w:t>
      </w:r>
    </w:p>
    <w:p w14:paraId="00EF8627" w14:textId="77777777" w:rsidR="007F081B" w:rsidRDefault="007F081B" w:rsidP="007F081B">
      <w:pPr>
        <w:spacing w:line="240" w:lineRule="auto"/>
        <w:rPr>
          <w:lang w:eastAsia="zh-CN"/>
        </w:rPr>
      </w:pPr>
    </w:p>
    <w:p w14:paraId="7FFA3FA2" w14:textId="77777777" w:rsidR="007F081B" w:rsidRDefault="007F081B" w:rsidP="007F081B">
      <w:pPr>
        <w:pStyle w:val="Heading3"/>
        <w:ind w:left="720" w:hanging="720"/>
      </w:pPr>
      <w:bookmarkStart w:id="0" w:name="_Toc78906424"/>
      <w:r>
        <w:t>1.5.1</w:t>
      </w:r>
      <w:r>
        <w:tab/>
      </w:r>
      <w:r w:rsidRPr="00832085">
        <w:t>Experimental groups</w:t>
      </w:r>
      <w:bookmarkEnd w:id="0"/>
    </w:p>
    <w:p w14:paraId="3E683645" w14:textId="77777777" w:rsidR="007F081B" w:rsidRPr="00421081" w:rsidRDefault="007F081B" w:rsidP="007F081B">
      <w:r w:rsidRPr="00421081">
        <w:t>Animal experimental groups for subretinal injection of hCPs</w:t>
      </w:r>
      <w:r>
        <w:t xml:space="preserve"> are shown in Table S1</w:t>
      </w:r>
    </w:p>
    <w:p w14:paraId="3EF6C338" w14:textId="77777777" w:rsidR="007F081B" w:rsidRPr="00D51D91" w:rsidRDefault="007F081B" w:rsidP="007F081B">
      <w:pPr>
        <w:pStyle w:val="NoSpacing"/>
        <w:spacing w:line="240" w:lineRule="auto"/>
        <w:rPr>
          <w:b/>
        </w:rPr>
      </w:pPr>
      <w:r>
        <w:rPr>
          <w:b/>
        </w:rPr>
        <w:t>Table S1. Animal experimental groups for subretinal injection of hCPs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F081B" w:rsidRPr="0083662E" w14:paraId="532B1C61" w14:textId="77777777" w:rsidTr="005A24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1BAC0021" w14:textId="77777777" w:rsidR="007F081B" w:rsidRPr="0083662E" w:rsidRDefault="007F081B" w:rsidP="005A2427">
            <w:pPr>
              <w:jc w:val="center"/>
              <w:rPr>
                <w:sz w:val="20"/>
                <w:szCs w:val="20"/>
              </w:rPr>
            </w:pPr>
            <w:r w:rsidRPr="0083662E">
              <w:rPr>
                <w:sz w:val="20"/>
                <w:szCs w:val="20"/>
              </w:rPr>
              <w:t>Long Evans 2 weeks</w:t>
            </w:r>
          </w:p>
        </w:tc>
        <w:tc>
          <w:tcPr>
            <w:tcW w:w="2337" w:type="dxa"/>
            <w:vAlign w:val="center"/>
          </w:tcPr>
          <w:p w14:paraId="308DC217" w14:textId="77777777" w:rsidR="007F081B" w:rsidRPr="0083662E" w:rsidRDefault="007F081B" w:rsidP="005A24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3662E">
              <w:rPr>
                <w:sz w:val="20"/>
                <w:szCs w:val="20"/>
              </w:rPr>
              <w:t>Total number of injected rats</w:t>
            </w:r>
          </w:p>
        </w:tc>
        <w:tc>
          <w:tcPr>
            <w:tcW w:w="2338" w:type="dxa"/>
            <w:vAlign w:val="center"/>
          </w:tcPr>
          <w:p w14:paraId="495BA680" w14:textId="77777777" w:rsidR="007F081B" w:rsidRPr="0083662E" w:rsidRDefault="007F081B" w:rsidP="005A24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3662E">
              <w:rPr>
                <w:sz w:val="20"/>
                <w:szCs w:val="20"/>
              </w:rPr>
              <w:t>Total number of successful injections</w:t>
            </w:r>
          </w:p>
        </w:tc>
        <w:tc>
          <w:tcPr>
            <w:tcW w:w="2338" w:type="dxa"/>
            <w:vAlign w:val="center"/>
          </w:tcPr>
          <w:p w14:paraId="5C0F548A" w14:textId="77777777" w:rsidR="007F081B" w:rsidRPr="0083662E" w:rsidRDefault="007F081B" w:rsidP="005A24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3662E">
              <w:rPr>
                <w:sz w:val="20"/>
                <w:szCs w:val="20"/>
              </w:rPr>
              <w:t>Number of animals with presence of cells 2 weeks post injection</w:t>
            </w:r>
          </w:p>
        </w:tc>
      </w:tr>
      <w:tr w:rsidR="007F081B" w:rsidRPr="0083662E" w14:paraId="44BA232F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37ECA4CF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16 weeks-hCP</w:t>
            </w:r>
          </w:p>
        </w:tc>
        <w:tc>
          <w:tcPr>
            <w:tcW w:w="2337" w:type="dxa"/>
            <w:vAlign w:val="center"/>
          </w:tcPr>
          <w:p w14:paraId="0C7B5E70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11</w:t>
            </w:r>
          </w:p>
        </w:tc>
        <w:tc>
          <w:tcPr>
            <w:tcW w:w="2338" w:type="dxa"/>
            <w:vAlign w:val="center"/>
          </w:tcPr>
          <w:p w14:paraId="73E29BDE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10</w:t>
            </w:r>
          </w:p>
        </w:tc>
        <w:tc>
          <w:tcPr>
            <w:tcW w:w="2338" w:type="dxa"/>
            <w:vAlign w:val="center"/>
          </w:tcPr>
          <w:p w14:paraId="578281CB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10</w:t>
            </w:r>
          </w:p>
        </w:tc>
      </w:tr>
      <w:tr w:rsidR="007F081B" w:rsidRPr="0083662E" w14:paraId="0A3A3921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33E4A521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14 weeks-hCP</w:t>
            </w:r>
          </w:p>
        </w:tc>
        <w:tc>
          <w:tcPr>
            <w:tcW w:w="2337" w:type="dxa"/>
            <w:vAlign w:val="center"/>
          </w:tcPr>
          <w:p w14:paraId="659FC1C5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9</w:t>
            </w:r>
          </w:p>
        </w:tc>
        <w:tc>
          <w:tcPr>
            <w:tcW w:w="2338" w:type="dxa"/>
            <w:vAlign w:val="center"/>
          </w:tcPr>
          <w:p w14:paraId="3CD99A27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9</w:t>
            </w:r>
          </w:p>
        </w:tc>
        <w:tc>
          <w:tcPr>
            <w:tcW w:w="2338" w:type="dxa"/>
            <w:vAlign w:val="center"/>
          </w:tcPr>
          <w:p w14:paraId="02FBA01D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</w:tr>
      <w:tr w:rsidR="007F081B" w:rsidRPr="0083662E" w14:paraId="21814AD1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76AE4A21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SHAM</w:t>
            </w:r>
          </w:p>
        </w:tc>
        <w:tc>
          <w:tcPr>
            <w:tcW w:w="2337" w:type="dxa"/>
            <w:vAlign w:val="center"/>
          </w:tcPr>
          <w:p w14:paraId="175ECC17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5</w:t>
            </w:r>
          </w:p>
        </w:tc>
        <w:tc>
          <w:tcPr>
            <w:tcW w:w="2338" w:type="dxa"/>
            <w:vAlign w:val="center"/>
          </w:tcPr>
          <w:p w14:paraId="2AC85F81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  <w:tc>
          <w:tcPr>
            <w:tcW w:w="2338" w:type="dxa"/>
            <w:vAlign w:val="center"/>
          </w:tcPr>
          <w:p w14:paraId="6404A6D6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</w:tr>
      <w:tr w:rsidR="007F081B" w:rsidRPr="0083662E" w14:paraId="3AB71630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781FFD0D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RCS rats 90 days</w:t>
            </w:r>
          </w:p>
        </w:tc>
        <w:tc>
          <w:tcPr>
            <w:tcW w:w="2337" w:type="dxa"/>
            <w:vAlign w:val="center"/>
          </w:tcPr>
          <w:p w14:paraId="7E3BE6B6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Total number of injected rats</w:t>
            </w:r>
          </w:p>
        </w:tc>
        <w:tc>
          <w:tcPr>
            <w:tcW w:w="2338" w:type="dxa"/>
            <w:vAlign w:val="center"/>
          </w:tcPr>
          <w:p w14:paraId="5B0ED238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Total number of successful injections</w:t>
            </w:r>
          </w:p>
        </w:tc>
        <w:tc>
          <w:tcPr>
            <w:tcW w:w="2338" w:type="dxa"/>
            <w:vAlign w:val="center"/>
          </w:tcPr>
          <w:p w14:paraId="62A3A328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Number of rats with presence of cells 90 days post injection</w:t>
            </w:r>
          </w:p>
        </w:tc>
      </w:tr>
      <w:tr w:rsidR="007F081B" w:rsidRPr="0083662E" w14:paraId="760ABC70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1CDB156B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High dose – 150k</w:t>
            </w:r>
          </w:p>
        </w:tc>
        <w:tc>
          <w:tcPr>
            <w:tcW w:w="2337" w:type="dxa"/>
            <w:vAlign w:val="center"/>
          </w:tcPr>
          <w:p w14:paraId="1BD16584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  <w:tc>
          <w:tcPr>
            <w:tcW w:w="2338" w:type="dxa"/>
            <w:vAlign w:val="center"/>
          </w:tcPr>
          <w:p w14:paraId="4B3042E8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7</w:t>
            </w:r>
          </w:p>
        </w:tc>
        <w:tc>
          <w:tcPr>
            <w:tcW w:w="2338" w:type="dxa"/>
            <w:vAlign w:val="center"/>
          </w:tcPr>
          <w:p w14:paraId="1583A2D7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6</w:t>
            </w:r>
          </w:p>
        </w:tc>
      </w:tr>
      <w:tr w:rsidR="007F081B" w:rsidRPr="0083662E" w14:paraId="2DF8695D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14EC0695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Medium dose – 100k</w:t>
            </w:r>
          </w:p>
        </w:tc>
        <w:tc>
          <w:tcPr>
            <w:tcW w:w="2337" w:type="dxa"/>
            <w:vAlign w:val="center"/>
          </w:tcPr>
          <w:p w14:paraId="3DC53934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  <w:tc>
          <w:tcPr>
            <w:tcW w:w="2338" w:type="dxa"/>
            <w:vAlign w:val="center"/>
          </w:tcPr>
          <w:p w14:paraId="523046C6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7</w:t>
            </w:r>
          </w:p>
        </w:tc>
        <w:tc>
          <w:tcPr>
            <w:tcW w:w="2338" w:type="dxa"/>
            <w:vAlign w:val="center"/>
          </w:tcPr>
          <w:p w14:paraId="2117ED54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5</w:t>
            </w:r>
          </w:p>
        </w:tc>
      </w:tr>
      <w:tr w:rsidR="007F081B" w:rsidRPr="0083662E" w14:paraId="259A5934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2DEED0F4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Low dose – 50k</w:t>
            </w:r>
          </w:p>
        </w:tc>
        <w:tc>
          <w:tcPr>
            <w:tcW w:w="2337" w:type="dxa"/>
            <w:vAlign w:val="center"/>
          </w:tcPr>
          <w:p w14:paraId="3DD2F503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  <w:tc>
          <w:tcPr>
            <w:tcW w:w="2338" w:type="dxa"/>
            <w:vAlign w:val="center"/>
          </w:tcPr>
          <w:p w14:paraId="610E3BCB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7</w:t>
            </w:r>
          </w:p>
        </w:tc>
        <w:tc>
          <w:tcPr>
            <w:tcW w:w="2338" w:type="dxa"/>
            <w:vAlign w:val="center"/>
          </w:tcPr>
          <w:p w14:paraId="7A18D46D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4</w:t>
            </w:r>
          </w:p>
        </w:tc>
      </w:tr>
      <w:tr w:rsidR="007F081B" w:rsidRPr="0083662E" w14:paraId="60F863E8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2D5CE041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SHAM</w:t>
            </w:r>
          </w:p>
        </w:tc>
        <w:tc>
          <w:tcPr>
            <w:tcW w:w="2337" w:type="dxa"/>
            <w:vAlign w:val="center"/>
          </w:tcPr>
          <w:p w14:paraId="5F13F893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  <w:tc>
          <w:tcPr>
            <w:tcW w:w="2338" w:type="dxa"/>
            <w:vAlign w:val="center"/>
          </w:tcPr>
          <w:p w14:paraId="1C340CE0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  <w:tc>
          <w:tcPr>
            <w:tcW w:w="2338" w:type="dxa"/>
            <w:vAlign w:val="center"/>
          </w:tcPr>
          <w:p w14:paraId="13DEAF51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</w:tr>
      <w:tr w:rsidR="007F081B" w:rsidRPr="0083662E" w14:paraId="1328BB59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341D9EF0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2337" w:type="dxa"/>
            <w:vAlign w:val="center"/>
          </w:tcPr>
          <w:p w14:paraId="6F6726FD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8</w:t>
            </w:r>
          </w:p>
        </w:tc>
        <w:tc>
          <w:tcPr>
            <w:tcW w:w="2338" w:type="dxa"/>
            <w:vAlign w:val="center"/>
          </w:tcPr>
          <w:p w14:paraId="634FB4E4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  <w:tc>
          <w:tcPr>
            <w:tcW w:w="2338" w:type="dxa"/>
            <w:vAlign w:val="center"/>
          </w:tcPr>
          <w:p w14:paraId="03DB67C6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</w:tr>
      <w:tr w:rsidR="007F081B" w:rsidRPr="0083662E" w14:paraId="312C0EF7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1CA80373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RD1 mice 1 week</w:t>
            </w:r>
          </w:p>
        </w:tc>
        <w:tc>
          <w:tcPr>
            <w:tcW w:w="2337" w:type="dxa"/>
            <w:vAlign w:val="center"/>
          </w:tcPr>
          <w:p w14:paraId="74991C81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Total number of injected mice</w:t>
            </w:r>
          </w:p>
        </w:tc>
        <w:tc>
          <w:tcPr>
            <w:tcW w:w="2338" w:type="dxa"/>
            <w:vAlign w:val="center"/>
          </w:tcPr>
          <w:p w14:paraId="30E776E0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Total number of successful injections</w:t>
            </w:r>
          </w:p>
        </w:tc>
        <w:tc>
          <w:tcPr>
            <w:tcW w:w="2338" w:type="dxa"/>
            <w:vAlign w:val="center"/>
          </w:tcPr>
          <w:p w14:paraId="3AC84C83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Number of rats with presence of cells 1-week post injection</w:t>
            </w:r>
          </w:p>
        </w:tc>
      </w:tr>
      <w:tr w:rsidR="007F081B" w:rsidRPr="0083662E" w14:paraId="2D755DB6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0246D740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High dose – 100k</w:t>
            </w:r>
          </w:p>
        </w:tc>
        <w:tc>
          <w:tcPr>
            <w:tcW w:w="2337" w:type="dxa"/>
            <w:vAlign w:val="center"/>
          </w:tcPr>
          <w:p w14:paraId="72BC6A98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4</w:t>
            </w:r>
          </w:p>
        </w:tc>
        <w:tc>
          <w:tcPr>
            <w:tcW w:w="2338" w:type="dxa"/>
            <w:vAlign w:val="center"/>
          </w:tcPr>
          <w:p w14:paraId="415239D7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4</w:t>
            </w:r>
          </w:p>
        </w:tc>
        <w:tc>
          <w:tcPr>
            <w:tcW w:w="2338" w:type="dxa"/>
            <w:vAlign w:val="center"/>
          </w:tcPr>
          <w:p w14:paraId="0A81B7D0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3</w:t>
            </w:r>
          </w:p>
        </w:tc>
      </w:tr>
      <w:tr w:rsidR="007F081B" w:rsidRPr="0083662E" w14:paraId="397E76AE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0A98DCF9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Low dose – 50k</w:t>
            </w:r>
          </w:p>
        </w:tc>
        <w:tc>
          <w:tcPr>
            <w:tcW w:w="2337" w:type="dxa"/>
            <w:vAlign w:val="center"/>
          </w:tcPr>
          <w:p w14:paraId="2561E55F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4</w:t>
            </w:r>
          </w:p>
        </w:tc>
        <w:tc>
          <w:tcPr>
            <w:tcW w:w="2338" w:type="dxa"/>
            <w:vAlign w:val="center"/>
          </w:tcPr>
          <w:p w14:paraId="37A927BB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3</w:t>
            </w:r>
          </w:p>
        </w:tc>
        <w:tc>
          <w:tcPr>
            <w:tcW w:w="2338" w:type="dxa"/>
            <w:vAlign w:val="center"/>
          </w:tcPr>
          <w:p w14:paraId="6F660FF1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2</w:t>
            </w:r>
          </w:p>
        </w:tc>
      </w:tr>
      <w:tr w:rsidR="007F081B" w:rsidRPr="0083662E" w14:paraId="09A1979D" w14:textId="77777777" w:rsidTr="005A24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439BBADE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SHAM</w:t>
            </w:r>
          </w:p>
        </w:tc>
        <w:tc>
          <w:tcPr>
            <w:tcW w:w="2337" w:type="dxa"/>
            <w:vAlign w:val="center"/>
          </w:tcPr>
          <w:p w14:paraId="485C9F54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4</w:t>
            </w:r>
          </w:p>
        </w:tc>
        <w:tc>
          <w:tcPr>
            <w:tcW w:w="2338" w:type="dxa"/>
            <w:vAlign w:val="center"/>
          </w:tcPr>
          <w:p w14:paraId="24593AB3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  <w:tc>
          <w:tcPr>
            <w:tcW w:w="2338" w:type="dxa"/>
            <w:vAlign w:val="center"/>
          </w:tcPr>
          <w:p w14:paraId="0E2DAF0F" w14:textId="77777777" w:rsidR="007F081B" w:rsidRPr="00ED0795" w:rsidRDefault="007F081B" w:rsidP="005A24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</w:tr>
      <w:tr w:rsidR="007F081B" w:rsidRPr="0083662E" w14:paraId="589AAB55" w14:textId="77777777" w:rsidTr="005A24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vAlign w:val="center"/>
          </w:tcPr>
          <w:p w14:paraId="17420840" w14:textId="77777777" w:rsidR="007F081B" w:rsidRPr="00ED0795" w:rsidRDefault="007F081B" w:rsidP="005A2427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ED0795">
              <w:rPr>
                <w:b w:val="0"/>
                <w:bCs w:val="0"/>
                <w:sz w:val="20"/>
                <w:szCs w:val="20"/>
              </w:rPr>
              <w:t>Control</w:t>
            </w:r>
          </w:p>
        </w:tc>
        <w:tc>
          <w:tcPr>
            <w:tcW w:w="2337" w:type="dxa"/>
            <w:vAlign w:val="center"/>
          </w:tcPr>
          <w:p w14:paraId="5B434B27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3</w:t>
            </w:r>
          </w:p>
        </w:tc>
        <w:tc>
          <w:tcPr>
            <w:tcW w:w="2338" w:type="dxa"/>
            <w:vAlign w:val="center"/>
          </w:tcPr>
          <w:p w14:paraId="3FA6F115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  <w:tc>
          <w:tcPr>
            <w:tcW w:w="2338" w:type="dxa"/>
            <w:vAlign w:val="center"/>
          </w:tcPr>
          <w:p w14:paraId="027B8B46" w14:textId="77777777" w:rsidR="007F081B" w:rsidRPr="00ED0795" w:rsidRDefault="007F081B" w:rsidP="005A24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0795">
              <w:rPr>
                <w:sz w:val="20"/>
                <w:szCs w:val="20"/>
              </w:rPr>
              <w:t>N/A</w:t>
            </w:r>
          </w:p>
        </w:tc>
      </w:tr>
    </w:tbl>
    <w:p w14:paraId="40ABD0D8" w14:textId="77777777" w:rsidR="007F081B" w:rsidRDefault="007F081B" w:rsidP="007F081B">
      <w:pPr>
        <w:spacing w:line="240" w:lineRule="auto"/>
      </w:pPr>
    </w:p>
    <w:p w14:paraId="1A77CDB5" w14:textId="77777777" w:rsidR="007F081B" w:rsidRDefault="007F081B" w:rsidP="007F081B">
      <w:pPr>
        <w:spacing w:line="240" w:lineRule="auto"/>
      </w:pPr>
    </w:p>
    <w:p w14:paraId="011B4710" w14:textId="77777777" w:rsidR="007F081B" w:rsidRDefault="007F081B" w:rsidP="007F081B">
      <w:pPr>
        <w:spacing w:line="240" w:lineRule="auto"/>
      </w:pPr>
    </w:p>
    <w:p w14:paraId="0E81EE08" w14:textId="77777777" w:rsidR="007F081B" w:rsidRDefault="007F081B" w:rsidP="007F081B">
      <w:pPr>
        <w:spacing w:line="240" w:lineRule="auto"/>
      </w:pPr>
    </w:p>
    <w:p w14:paraId="29956BBF" w14:textId="77777777" w:rsidR="007F081B" w:rsidRDefault="007F081B" w:rsidP="007F081B">
      <w:pPr>
        <w:spacing w:line="240" w:lineRule="auto"/>
      </w:pPr>
    </w:p>
    <w:p w14:paraId="64533E43" w14:textId="77777777" w:rsidR="007F081B" w:rsidRDefault="007F081B" w:rsidP="007F081B">
      <w:pPr>
        <w:spacing w:line="240" w:lineRule="auto"/>
      </w:pPr>
    </w:p>
    <w:p w14:paraId="6888778D" w14:textId="77777777" w:rsidR="007F081B" w:rsidRDefault="007F081B" w:rsidP="007F081B">
      <w:pPr>
        <w:spacing w:line="240" w:lineRule="auto"/>
      </w:pPr>
    </w:p>
    <w:p w14:paraId="565F5142" w14:textId="77777777" w:rsidR="007F081B" w:rsidRDefault="007F081B" w:rsidP="007F081B">
      <w:pPr>
        <w:spacing w:line="240" w:lineRule="auto"/>
      </w:pPr>
    </w:p>
    <w:p w14:paraId="21BD468B" w14:textId="77777777" w:rsidR="007F081B" w:rsidRDefault="007F081B" w:rsidP="007F081B">
      <w:pPr>
        <w:spacing w:line="240" w:lineRule="auto"/>
      </w:pPr>
    </w:p>
    <w:p w14:paraId="7547F5BE" w14:textId="77777777" w:rsidR="007F081B" w:rsidRDefault="007F081B" w:rsidP="007F081B">
      <w:pPr>
        <w:spacing w:line="240" w:lineRule="auto"/>
      </w:pPr>
    </w:p>
    <w:p w14:paraId="64AB8384" w14:textId="77777777" w:rsidR="007F081B" w:rsidRDefault="007F081B" w:rsidP="007F081B">
      <w:pPr>
        <w:spacing w:line="240" w:lineRule="auto"/>
      </w:pPr>
    </w:p>
    <w:p w14:paraId="22E144C8" w14:textId="77777777" w:rsidR="007F081B" w:rsidRDefault="007F081B" w:rsidP="007F081B">
      <w:pPr>
        <w:spacing w:line="240" w:lineRule="auto"/>
      </w:pPr>
    </w:p>
    <w:p w14:paraId="371880BA" w14:textId="77777777" w:rsidR="007F081B" w:rsidRDefault="007F081B" w:rsidP="007F081B">
      <w:pPr>
        <w:spacing w:line="240" w:lineRule="auto"/>
      </w:pPr>
    </w:p>
    <w:p w14:paraId="420F31C4" w14:textId="77777777" w:rsidR="007F081B" w:rsidRPr="00421081" w:rsidRDefault="007F081B" w:rsidP="007F081B">
      <w:pPr>
        <w:pStyle w:val="Heading3"/>
        <w:ind w:left="720" w:hanging="720"/>
      </w:pPr>
      <w:bookmarkStart w:id="1" w:name="_Toc78906423"/>
      <w:r w:rsidRPr="00421081">
        <w:t>1.5.2</w:t>
      </w:r>
      <w:r w:rsidRPr="00421081">
        <w:tab/>
      </w:r>
      <w:r w:rsidRPr="00832085">
        <w:t>Experimental design</w:t>
      </w:r>
      <w:bookmarkEnd w:id="1"/>
    </w:p>
    <w:p w14:paraId="5BF51002" w14:textId="77777777" w:rsidR="007F081B" w:rsidRPr="00613492" w:rsidRDefault="007F081B" w:rsidP="007F081B">
      <w:pPr>
        <w:pStyle w:val="Heading4"/>
        <w:ind w:left="864" w:hanging="864"/>
      </w:pPr>
      <w:bookmarkStart w:id="2" w:name="_Toc78906425"/>
      <w:r w:rsidRPr="00613492">
        <w:t>1.5.2.1</w:t>
      </w:r>
      <w:r w:rsidRPr="00613492">
        <w:tab/>
        <w:t>Overview of animal experiments</w:t>
      </w:r>
      <w:bookmarkEnd w:id="2"/>
    </w:p>
    <w:p w14:paraId="6373F477" w14:textId="77777777" w:rsidR="007F081B" w:rsidRPr="00613492" w:rsidRDefault="007F081B" w:rsidP="007F081B">
      <w:pPr>
        <w:spacing w:line="240" w:lineRule="auto"/>
      </w:pPr>
    </w:p>
    <w:p w14:paraId="72766DF7" w14:textId="77777777" w:rsidR="007F081B" w:rsidRPr="00613492" w:rsidRDefault="007F081B" w:rsidP="007F081B">
      <w:pPr>
        <w:spacing w:line="240" w:lineRule="auto"/>
      </w:pPr>
      <w:r w:rsidRPr="00613492">
        <w:rPr>
          <w:noProof/>
        </w:rPr>
        <w:drawing>
          <wp:inline distT="0" distB="0" distL="0" distR="0" wp14:anchorId="49598DDF" wp14:editId="0BA47F5A">
            <wp:extent cx="5943600" cy="2036445"/>
            <wp:effectExtent l="0" t="0" r="0" b="0"/>
            <wp:docPr id="55" name="Picture 55" descr="A picture containing text, gauge,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A picture containing text, gauge, devi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9CC8" w14:textId="77777777" w:rsidR="007F081B" w:rsidRPr="00015EEA" w:rsidRDefault="007F081B" w:rsidP="007F081B">
      <w:pPr>
        <w:spacing w:line="240" w:lineRule="auto"/>
        <w:jc w:val="both"/>
        <w:rPr>
          <w:sz w:val="22"/>
        </w:rPr>
      </w:pPr>
      <w:bookmarkStart w:id="3" w:name="_Toc78906426"/>
      <w:r w:rsidRPr="00015EEA">
        <w:rPr>
          <w:b/>
          <w:sz w:val="22"/>
        </w:rPr>
        <w:t>Figure S1. Experimental design of hCP injection in different animal models.</w:t>
      </w:r>
      <w:r w:rsidRPr="00015EEA">
        <w:rPr>
          <w:sz w:val="22"/>
        </w:rPr>
        <w:t xml:space="preserve"> Rats and mice are left to settle down for 4 days after arrival, which is followed by the start of cyclosporin treatment. hCP injection is performed at day 8 post-arrival for all groups. RD1 are sacrificed 1 week later, Long Evans 2 weeks later and RCS 90 days later. OKN and ERG are measured for RCS rats 60- and 90-days post-injection.</w:t>
      </w:r>
    </w:p>
    <w:p w14:paraId="093C8ED5" w14:textId="77777777" w:rsidR="007F081B" w:rsidRPr="00613492" w:rsidRDefault="007F081B" w:rsidP="007F081B">
      <w:pPr>
        <w:pStyle w:val="Heading3"/>
        <w:ind w:left="720" w:hanging="720"/>
      </w:pPr>
      <w:r w:rsidRPr="00613492">
        <w:t>1.5.3</w:t>
      </w:r>
      <w:r w:rsidRPr="00613492">
        <w:tab/>
        <w:t>Control and measured outcomes</w:t>
      </w:r>
      <w:bookmarkEnd w:id="3"/>
    </w:p>
    <w:p w14:paraId="7340439D" w14:textId="77777777" w:rsidR="007F081B" w:rsidRPr="00613492" w:rsidRDefault="007F081B" w:rsidP="007F081B">
      <w:pPr>
        <w:pStyle w:val="NoSpacing"/>
        <w:spacing w:line="240" w:lineRule="auto"/>
      </w:pPr>
      <w:r w:rsidRPr="00613492">
        <w:t>The control group consisted of rats/mice which had no surgery. The SHAM group consisted in rats/mice which had only a minimal surgery consisting in poking the eyeball with a 31-gauge needle without injecting anything. This is performed to replicate the trauma of needle injection itself. These rats/mice were sacrificed at the same time points as the experimental groups.</w:t>
      </w:r>
    </w:p>
    <w:p w14:paraId="036ECDC2" w14:textId="77777777" w:rsidR="007F081B" w:rsidRPr="00613492" w:rsidRDefault="007F081B" w:rsidP="007F081B">
      <w:pPr>
        <w:pStyle w:val="NoSpacing"/>
        <w:spacing w:line="240" w:lineRule="auto"/>
      </w:pPr>
      <w:r w:rsidRPr="00613492">
        <w:t>Outcomes for this study were based on direct examination, image processing and machine learning analysis of retinal sections or whole mount of injected rats/mice eyes. The measured outcomes were:</w:t>
      </w:r>
    </w:p>
    <w:p w14:paraId="4CD8385C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 w:rsidRPr="00613492">
        <w:t>% of cells engrafted expressing STEM121 (human)</w:t>
      </w:r>
    </w:p>
    <w:p w14:paraId="1DF6F3B2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 w:rsidRPr="00613492">
        <w:t>% of cells engrafted expressing Cone Arrestin (Cones)</w:t>
      </w:r>
    </w:p>
    <w:p w14:paraId="25EFB813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 w:rsidRPr="00613492">
        <w:t>% of cells engrafted expressing DAPI (Nuclei)</w:t>
      </w:r>
    </w:p>
    <w:p w14:paraId="78758485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 w:rsidRPr="00613492">
        <w:t>Number of nuclei in ONL (function of distance from injection location)</w:t>
      </w:r>
    </w:p>
    <w:p w14:paraId="4F69D76E" w14:textId="77777777" w:rsidR="007F081B" w:rsidRDefault="007F081B" w:rsidP="007F081B">
      <w:pPr>
        <w:pStyle w:val="NoSpacing"/>
        <w:spacing w:line="240" w:lineRule="auto"/>
        <w:ind w:left="720" w:hanging="360"/>
      </w:pPr>
      <w:r>
        <w:rPr>
          <w:rFonts w:ascii="Symbol" w:hAnsi="Symbol"/>
        </w:rPr>
        <w:t></w:t>
      </w:r>
      <w:r>
        <w:rPr>
          <w:rFonts w:ascii="Symbol" w:hAnsi="Symbol"/>
        </w:rPr>
        <w:tab/>
      </w:r>
      <w:r w:rsidRPr="00613492">
        <w:t>Spatial frequency (OKN measurement of functional assay)</w:t>
      </w:r>
    </w:p>
    <w:p w14:paraId="2A7A6D34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>
        <w:t>Response to light stimulus (ERG)</w:t>
      </w:r>
    </w:p>
    <w:p w14:paraId="35BC405A" w14:textId="77777777" w:rsidR="007F081B" w:rsidRPr="00613492" w:rsidRDefault="007F081B" w:rsidP="007F081B">
      <w:pPr>
        <w:pStyle w:val="NoSpacing"/>
        <w:spacing w:line="240" w:lineRule="auto"/>
        <w:ind w:left="720" w:hanging="360"/>
      </w:pPr>
      <w:r w:rsidRPr="00613492">
        <w:rPr>
          <w:rFonts w:ascii="Symbol" w:hAnsi="Symbol"/>
        </w:rPr>
        <w:t></w:t>
      </w:r>
      <w:r w:rsidRPr="00613492">
        <w:rPr>
          <w:rFonts w:ascii="Symbol" w:hAnsi="Symbol"/>
        </w:rPr>
        <w:tab/>
      </w:r>
      <w:r w:rsidRPr="00613492">
        <w:t>% area of IBA1 (immune cells)</w:t>
      </w:r>
    </w:p>
    <w:p w14:paraId="11FD9C15" w14:textId="77777777" w:rsidR="007F081B" w:rsidRDefault="007F081B" w:rsidP="007F081B">
      <w:pPr>
        <w:pStyle w:val="NoSpacing"/>
        <w:spacing w:line="240" w:lineRule="auto"/>
        <w:ind w:left="720" w:hanging="360"/>
        <w:rPr>
          <w:lang w:eastAsia="zh-CN"/>
        </w:rPr>
      </w:pPr>
      <w:r>
        <w:rPr>
          <w:rFonts w:ascii="Symbol" w:hAnsi="Symbol"/>
          <w:lang w:eastAsia="zh-CN"/>
        </w:rPr>
        <w:t></w:t>
      </w:r>
      <w:r>
        <w:rPr>
          <w:rFonts w:ascii="Symbol" w:hAnsi="Symbol"/>
          <w:lang w:eastAsia="zh-CN"/>
        </w:rPr>
        <w:tab/>
      </w:r>
      <w:r w:rsidRPr="00613492">
        <w:t>% area of CD45 (macrophages)</w:t>
      </w:r>
    </w:p>
    <w:p w14:paraId="14E536F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81B"/>
    <w:rsid w:val="002978F5"/>
    <w:rsid w:val="003852CF"/>
    <w:rsid w:val="004E780C"/>
    <w:rsid w:val="005E19F0"/>
    <w:rsid w:val="007F081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90D2F"/>
  <w15:chartTrackingRefBased/>
  <w15:docId w15:val="{C07EED01-3928-4F9B-AACA-F48BAD157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81B"/>
    <w:pPr>
      <w:spacing w:line="259" w:lineRule="auto"/>
    </w:pPr>
    <w:rPr>
      <w:rFonts w:ascii="Times New Roman" w:eastAsia="SimSu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0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08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0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8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8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8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8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8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8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F08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F08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F08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8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8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8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8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8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8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8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8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8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8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8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8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8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8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81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aliases w:val="Body Thesis"/>
    <w:uiPriority w:val="1"/>
    <w:qFormat/>
    <w:rsid w:val="007F081B"/>
    <w:pPr>
      <w:spacing w:after="0" w:line="480" w:lineRule="auto"/>
      <w:jc w:val="both"/>
    </w:pPr>
    <w:rPr>
      <w:rFonts w:ascii="Times New Roman" w:eastAsia="SimSun" w:hAnsi="Times New Roman"/>
      <w:kern w:val="0"/>
      <w:szCs w:val="22"/>
      <w14:ligatures w14:val="none"/>
    </w:rPr>
  </w:style>
  <w:style w:type="table" w:styleId="GridTable6Colorful">
    <w:name w:val="Grid Table 6 Colorful"/>
    <w:basedOn w:val="TableNormal"/>
    <w:uiPriority w:val="51"/>
    <w:rsid w:val="007F081B"/>
    <w:pPr>
      <w:spacing w:after="0" w:line="240" w:lineRule="auto"/>
    </w:pPr>
    <w:rPr>
      <w:rFonts w:eastAsia="SimSun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2025-06-23T12:48:00Z</dcterms:created>
  <dcterms:modified xsi:type="dcterms:W3CDTF">2025-06-23T12:48:00Z</dcterms:modified>
</cp:coreProperties>
</file>