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0420E" w14:textId="77777777" w:rsidR="008C13A9" w:rsidRPr="00BA1D59" w:rsidRDefault="008C13A9" w:rsidP="008C13A9">
      <w:pPr>
        <w:pStyle w:val="NoSpacing"/>
        <w:spacing w:before="240" w:after="120"/>
        <w:rPr>
          <w:rFonts w:ascii="Times New Roman" w:hAnsi="Times New Roman" w:cs="Times New Roman"/>
          <w:sz w:val="20"/>
          <w:szCs w:val="20"/>
          <w:lang w:val="en-US"/>
        </w:rPr>
      </w:pPr>
      <w:r w:rsidRPr="00BA1D59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1 </w:t>
      </w:r>
      <w:r w:rsidRPr="00BA1D59">
        <w:rPr>
          <w:rFonts w:ascii="Times New Roman" w:hAnsi="Times New Roman" w:cs="Times New Roman"/>
          <w:bCs/>
          <w:sz w:val="20"/>
          <w:szCs w:val="20"/>
          <w:lang w:val="en-US"/>
        </w:rPr>
        <w:t>Cross-sectional patient</w:t>
      </w:r>
      <w:r w:rsidRPr="00BA1D59">
        <w:rPr>
          <w:rFonts w:ascii="Times New Roman" w:hAnsi="Times New Roman" w:cs="Times New Roman"/>
          <w:sz w:val="20"/>
          <w:szCs w:val="20"/>
          <w:lang w:val="en-US"/>
        </w:rPr>
        <w:t xml:space="preserve"> characteristics between low and high PEEP groups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1606"/>
        <w:gridCol w:w="1966"/>
        <w:gridCol w:w="85"/>
        <w:gridCol w:w="1881"/>
        <w:gridCol w:w="42"/>
        <w:gridCol w:w="1924"/>
        <w:gridCol w:w="1522"/>
      </w:tblGrid>
      <w:tr w:rsidR="008C13A9" w:rsidRPr="00BA1D59" w14:paraId="751B0F35" w14:textId="77777777" w:rsidTr="00B276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single" w:sz="4" w:space="0" w:color="7F7F7F" w:themeColor="text1" w:themeTint="80"/>
            </w:tcBorders>
          </w:tcPr>
          <w:p w14:paraId="6012EFC5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65" w:type="pct"/>
            <w:gridSpan w:val="2"/>
            <w:tcBorders>
              <w:top w:val="single" w:sz="4" w:space="0" w:color="7F7F7F" w:themeColor="text1" w:themeTint="80"/>
            </w:tcBorders>
          </w:tcPr>
          <w:p w14:paraId="51854CDB" w14:textId="77777777" w:rsidR="008C13A9" w:rsidRPr="00BA1D59" w:rsidRDefault="008C13A9" w:rsidP="00B276C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PEEP ≤ 10</w:t>
            </w:r>
            <w:r w:rsidRPr="00BA1D59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 cmH</w:t>
            </w:r>
            <w:r w:rsidRPr="00BA1D59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en-US"/>
              </w:rPr>
              <w:t>2</w:t>
            </w:r>
            <w:r w:rsidRPr="00BA1D59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O 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 = 31)</w:t>
            </w:r>
          </w:p>
        </w:tc>
        <w:tc>
          <w:tcPr>
            <w:tcW w:w="1066" w:type="pct"/>
            <w:tcBorders>
              <w:top w:val="single" w:sz="4" w:space="0" w:color="7F7F7F" w:themeColor="text1" w:themeTint="80"/>
            </w:tcBorders>
          </w:tcPr>
          <w:p w14:paraId="01E243CE" w14:textId="77777777" w:rsidR="008C13A9" w:rsidRPr="00BA1D59" w:rsidRDefault="008C13A9" w:rsidP="00B276C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PEEP &gt; 10</w:t>
            </w:r>
            <w:r w:rsidRPr="00BA1D59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 cmH</w:t>
            </w:r>
            <w:r w:rsidRPr="00BA1D59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  <w:lang w:val="en-US"/>
              </w:rPr>
              <w:t>2</w:t>
            </w:r>
            <w:r w:rsidRPr="00BA1D59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O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(n=19)</w:t>
            </w:r>
          </w:p>
        </w:tc>
        <w:tc>
          <w:tcPr>
            <w:tcW w:w="843" w:type="pct"/>
            <w:tcBorders>
              <w:top w:val="single" w:sz="4" w:space="0" w:color="7F7F7F" w:themeColor="text1" w:themeTint="80"/>
            </w:tcBorders>
          </w:tcPr>
          <w:p w14:paraId="604FEBEF" w14:textId="77777777" w:rsidR="008C13A9" w:rsidRPr="00BA1D59" w:rsidRDefault="008C13A9" w:rsidP="00B276C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p-value</w:t>
            </w:r>
          </w:p>
        </w:tc>
      </w:tr>
      <w:tr w:rsidR="008C13A9" w:rsidRPr="00BA1D59" w14:paraId="41C6ACF3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bottom w:val="nil"/>
            </w:tcBorders>
          </w:tcPr>
          <w:p w14:paraId="2A235DDD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1065" w:type="pct"/>
            <w:gridSpan w:val="2"/>
            <w:tcBorders>
              <w:bottom w:val="nil"/>
            </w:tcBorders>
          </w:tcPr>
          <w:p w14:paraId="29D4B9A2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 (57–74)</w:t>
            </w:r>
          </w:p>
        </w:tc>
        <w:tc>
          <w:tcPr>
            <w:tcW w:w="1066" w:type="pct"/>
            <w:tcBorders>
              <w:bottom w:val="nil"/>
            </w:tcBorders>
          </w:tcPr>
          <w:p w14:paraId="60E2473A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 (54–73)</w:t>
            </w:r>
          </w:p>
        </w:tc>
        <w:tc>
          <w:tcPr>
            <w:tcW w:w="843" w:type="pct"/>
            <w:tcBorders>
              <w:bottom w:val="nil"/>
            </w:tcBorders>
          </w:tcPr>
          <w:p w14:paraId="63D371EE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0.667</w:t>
            </w:r>
          </w:p>
        </w:tc>
      </w:tr>
      <w:tr w:rsidR="008C13A9" w:rsidRPr="00BA1D59" w14:paraId="1C31296C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7DE5B8EB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 sex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70F41CFC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(32.3)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6008D513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(15.8)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4DE31889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0.320</w:t>
            </w:r>
          </w:p>
        </w:tc>
      </w:tr>
      <w:tr w:rsidR="008C13A9" w:rsidRPr="00BA1D59" w14:paraId="35F05FB0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250ECC0F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BMI (kg/m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43B71B4A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28.7 (25.2–30.9)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629EB66E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29.9 (26.5–32.9)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7DC97DE9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0.342</w:t>
            </w:r>
          </w:p>
        </w:tc>
      </w:tr>
      <w:tr w:rsidR="008C13A9" w:rsidRPr="00BA1D59" w14:paraId="16ABF35C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6193A925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Prone position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78CCD1D8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(19.4)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649B50C4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(21.1)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35764E70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1.000</w:t>
            </w:r>
          </w:p>
        </w:tc>
      </w:tr>
      <w:tr w:rsidR="008C13A9" w:rsidRPr="00BA1D59" w14:paraId="5449054F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5DA3CDA3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SOFA score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7014CF69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(4–9)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6965F03E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(4–10)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06BE7988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0.433</w:t>
            </w:r>
          </w:p>
        </w:tc>
      </w:tr>
      <w:tr w:rsidR="008C13A9" w:rsidRPr="00BA1D59" w14:paraId="617D01E2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105D9CAA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APACHE4 score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724FEDFC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 (49–95)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7F69E0A4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 (46–74)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1BDBFCC6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0.180</w:t>
            </w:r>
          </w:p>
        </w:tc>
      </w:tr>
      <w:tr w:rsidR="008C13A9" w:rsidRPr="00BA1D59" w14:paraId="1B68AC38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13BE1FA9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Heart failure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7FD140BA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(19.4)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19AD1177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(5.3)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1F83B94E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0.229</w:t>
            </w:r>
          </w:p>
        </w:tc>
      </w:tr>
      <w:tr w:rsidR="008C13A9" w:rsidRPr="00BA1D59" w14:paraId="7A3FDE55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19A3B3BE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Diabetes mellitus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383339DE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(25.8)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203FDC2E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(15.8)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4CEEA514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0.498</w:t>
            </w:r>
          </w:p>
        </w:tc>
      </w:tr>
      <w:tr w:rsidR="008C13A9" w:rsidRPr="00BA1D59" w14:paraId="6650DEA1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7F415C8F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ICU days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0988D98E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(11–24)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620EDCF3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(11–24)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6F3F313D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0.810</w:t>
            </w:r>
          </w:p>
        </w:tc>
      </w:tr>
      <w:tr w:rsidR="008C13A9" w:rsidRPr="00BA1D59" w14:paraId="048534DD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4779AEDD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Survived ICU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22362F1A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(64.5)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13B9B19E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(57.9)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55DFC494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0.766</w:t>
            </w:r>
          </w:p>
        </w:tc>
      </w:tr>
      <w:tr w:rsidR="008C13A9" w:rsidRPr="00BA1D59" w14:paraId="4EE631A9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0549C6A0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COVID-19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7A558E69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(45.2)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3F454B61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(47.4)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60699E2E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1.000</w:t>
            </w:r>
          </w:p>
        </w:tc>
      </w:tr>
      <w:tr w:rsidR="008C13A9" w:rsidRPr="00BA1D59" w14:paraId="0E01142C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700C1043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IL-6 inhibitor use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19D8BB73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(9.7)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2A9BEDD7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(5.3)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3B001A63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1.000</w:t>
            </w:r>
          </w:p>
        </w:tc>
      </w:tr>
      <w:tr w:rsidR="008C13A9" w:rsidRPr="00BA1D59" w14:paraId="788C0EBE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5A6F850B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CRP (mg/L)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034FE585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186 (74–293)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2B24CFB9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174 (104–308)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3E41ACB9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0.682</w:t>
            </w:r>
          </w:p>
        </w:tc>
      </w:tr>
      <w:tr w:rsidR="008C13A9" w:rsidRPr="00BA1D59" w14:paraId="7D3A47E4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301E918D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CKD-EPI eGFR category: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1FC291E3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066365C5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2E43E1CD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0.519</w:t>
            </w:r>
          </w:p>
        </w:tc>
      </w:tr>
      <w:tr w:rsidR="008C13A9" w:rsidRPr="00BA1D59" w14:paraId="5AB69288" w14:textId="77777777" w:rsidTr="00B276C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890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top w:val="nil"/>
              <w:bottom w:val="nil"/>
            </w:tcBorders>
          </w:tcPr>
          <w:p w14:paraId="3FE4EE8A" w14:textId="77777777" w:rsidR="008C13A9" w:rsidRPr="002C0241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≥90 mL/min</w:t>
            </w:r>
          </w:p>
        </w:tc>
        <w:tc>
          <w:tcPr>
            <w:tcW w:w="1089" w:type="pct"/>
            <w:gridSpan w:val="2"/>
            <w:tcBorders>
              <w:top w:val="nil"/>
              <w:bottom w:val="nil"/>
            </w:tcBorders>
          </w:tcPr>
          <w:p w14:paraId="4C9FEF96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(41.9)</w:t>
            </w:r>
          </w:p>
        </w:tc>
        <w:tc>
          <w:tcPr>
            <w:tcW w:w="1089" w:type="pct"/>
            <w:gridSpan w:val="2"/>
            <w:tcBorders>
              <w:top w:val="nil"/>
              <w:bottom w:val="nil"/>
            </w:tcBorders>
          </w:tcPr>
          <w:p w14:paraId="2EB723F6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(36.8)</w:t>
            </w:r>
          </w:p>
        </w:tc>
        <w:tc>
          <w:tcPr>
            <w:tcW w:w="843" w:type="pct"/>
            <w:vMerge w:val="restart"/>
            <w:tcBorders>
              <w:top w:val="nil"/>
              <w:bottom w:val="nil"/>
            </w:tcBorders>
          </w:tcPr>
          <w:p w14:paraId="42EB5F5F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C13A9" w:rsidRPr="00BA1D59" w14:paraId="49D83CD7" w14:textId="77777777" w:rsidTr="00B276CA">
        <w:trPr>
          <w:gridBefore w:val="1"/>
          <w:wBefore w:w="890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top w:val="nil"/>
              <w:bottom w:val="nil"/>
            </w:tcBorders>
          </w:tcPr>
          <w:p w14:paraId="29204F23" w14:textId="77777777" w:rsidR="008C13A9" w:rsidRPr="002C0241" w:rsidRDefault="008C13A9" w:rsidP="00B276CA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60–89 mL/min</w:t>
            </w:r>
          </w:p>
        </w:tc>
        <w:tc>
          <w:tcPr>
            <w:tcW w:w="1089" w:type="pct"/>
            <w:gridSpan w:val="2"/>
            <w:tcBorders>
              <w:top w:val="nil"/>
              <w:bottom w:val="nil"/>
            </w:tcBorders>
          </w:tcPr>
          <w:p w14:paraId="5788C27D" w14:textId="77777777" w:rsidR="008C13A9" w:rsidRPr="002C0241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(19.4)</w:t>
            </w:r>
          </w:p>
        </w:tc>
        <w:tc>
          <w:tcPr>
            <w:tcW w:w="1089" w:type="pct"/>
            <w:gridSpan w:val="2"/>
            <w:tcBorders>
              <w:top w:val="nil"/>
              <w:bottom w:val="nil"/>
            </w:tcBorders>
          </w:tcPr>
          <w:p w14:paraId="349A07E8" w14:textId="77777777" w:rsidR="008C13A9" w:rsidRPr="002C0241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(36.8)</w:t>
            </w:r>
          </w:p>
        </w:tc>
        <w:tc>
          <w:tcPr>
            <w:tcW w:w="843" w:type="pct"/>
            <w:vMerge/>
            <w:tcBorders>
              <w:top w:val="nil"/>
              <w:bottom w:val="nil"/>
            </w:tcBorders>
          </w:tcPr>
          <w:p w14:paraId="142E2899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C13A9" w:rsidRPr="00BA1D59" w14:paraId="5947FB31" w14:textId="77777777" w:rsidTr="00B276C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890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top w:val="nil"/>
              <w:bottom w:val="nil"/>
            </w:tcBorders>
          </w:tcPr>
          <w:p w14:paraId="07A2D3FC" w14:textId="77777777" w:rsidR="008C13A9" w:rsidRPr="002C0241" w:rsidRDefault="008C13A9" w:rsidP="00B276CA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30–59 mL/min</w:t>
            </w:r>
          </w:p>
        </w:tc>
        <w:tc>
          <w:tcPr>
            <w:tcW w:w="1089" w:type="pct"/>
            <w:gridSpan w:val="2"/>
            <w:tcBorders>
              <w:top w:val="nil"/>
              <w:bottom w:val="nil"/>
            </w:tcBorders>
          </w:tcPr>
          <w:p w14:paraId="0CAB0FCA" w14:textId="77777777" w:rsidR="008C13A9" w:rsidRPr="002C0241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(16.1)</w:t>
            </w:r>
          </w:p>
        </w:tc>
        <w:tc>
          <w:tcPr>
            <w:tcW w:w="1089" w:type="pct"/>
            <w:gridSpan w:val="2"/>
            <w:tcBorders>
              <w:top w:val="nil"/>
              <w:bottom w:val="nil"/>
            </w:tcBorders>
          </w:tcPr>
          <w:p w14:paraId="1989766D" w14:textId="77777777" w:rsidR="008C13A9" w:rsidRPr="002C0241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(10.5)</w:t>
            </w:r>
          </w:p>
        </w:tc>
        <w:tc>
          <w:tcPr>
            <w:tcW w:w="843" w:type="pct"/>
            <w:vMerge/>
            <w:tcBorders>
              <w:top w:val="nil"/>
              <w:bottom w:val="nil"/>
            </w:tcBorders>
          </w:tcPr>
          <w:p w14:paraId="4990F65C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C13A9" w:rsidRPr="00BA1D59" w14:paraId="5C24088E" w14:textId="77777777" w:rsidTr="00B276CA">
        <w:trPr>
          <w:gridBefore w:val="1"/>
          <w:wBefore w:w="890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top w:val="nil"/>
              <w:bottom w:val="nil"/>
            </w:tcBorders>
          </w:tcPr>
          <w:p w14:paraId="397C637D" w14:textId="77777777" w:rsidR="008C13A9" w:rsidRPr="002C0241" w:rsidRDefault="008C13A9" w:rsidP="00B276CA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15–29 mL/min</w:t>
            </w:r>
          </w:p>
        </w:tc>
        <w:tc>
          <w:tcPr>
            <w:tcW w:w="1089" w:type="pct"/>
            <w:gridSpan w:val="2"/>
            <w:tcBorders>
              <w:top w:val="nil"/>
              <w:bottom w:val="nil"/>
            </w:tcBorders>
          </w:tcPr>
          <w:p w14:paraId="74018055" w14:textId="77777777" w:rsidR="008C13A9" w:rsidRPr="002C0241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(16.1)</w:t>
            </w:r>
          </w:p>
        </w:tc>
        <w:tc>
          <w:tcPr>
            <w:tcW w:w="1089" w:type="pct"/>
            <w:gridSpan w:val="2"/>
            <w:tcBorders>
              <w:top w:val="nil"/>
              <w:bottom w:val="nil"/>
            </w:tcBorders>
          </w:tcPr>
          <w:p w14:paraId="78A5397B" w14:textId="77777777" w:rsidR="008C13A9" w:rsidRPr="002C0241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(5.3)</w:t>
            </w:r>
          </w:p>
        </w:tc>
        <w:tc>
          <w:tcPr>
            <w:tcW w:w="843" w:type="pct"/>
            <w:vMerge/>
            <w:tcBorders>
              <w:top w:val="nil"/>
              <w:bottom w:val="nil"/>
            </w:tcBorders>
          </w:tcPr>
          <w:p w14:paraId="759B2695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C13A9" w:rsidRPr="00BA1D59" w14:paraId="3892CCE7" w14:textId="77777777" w:rsidTr="00B276C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890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top w:val="nil"/>
              <w:bottom w:val="nil"/>
            </w:tcBorders>
          </w:tcPr>
          <w:p w14:paraId="6D69151C" w14:textId="77777777" w:rsidR="008C13A9" w:rsidRPr="002C0241" w:rsidRDefault="008C13A9" w:rsidP="00B276CA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&lt;15 mL/min</w:t>
            </w:r>
          </w:p>
        </w:tc>
        <w:tc>
          <w:tcPr>
            <w:tcW w:w="1089" w:type="pct"/>
            <w:gridSpan w:val="2"/>
            <w:tcBorders>
              <w:top w:val="nil"/>
              <w:bottom w:val="nil"/>
            </w:tcBorders>
          </w:tcPr>
          <w:p w14:paraId="735BD818" w14:textId="77777777" w:rsidR="008C13A9" w:rsidRPr="002C0241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089" w:type="pct"/>
            <w:gridSpan w:val="2"/>
            <w:tcBorders>
              <w:top w:val="nil"/>
              <w:bottom w:val="nil"/>
            </w:tcBorders>
          </w:tcPr>
          <w:p w14:paraId="257DF38D" w14:textId="77777777" w:rsidR="008C13A9" w:rsidRPr="002C0241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843" w:type="pct"/>
            <w:vMerge/>
            <w:tcBorders>
              <w:top w:val="nil"/>
              <w:bottom w:val="nil"/>
            </w:tcBorders>
          </w:tcPr>
          <w:p w14:paraId="6BF5322D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C13A9" w:rsidRPr="00BA1D59" w14:paraId="0B62DD96" w14:textId="77777777" w:rsidTr="00B276CA">
        <w:trPr>
          <w:gridBefore w:val="1"/>
          <w:wBefore w:w="890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top w:val="nil"/>
              <w:bottom w:val="nil"/>
            </w:tcBorders>
          </w:tcPr>
          <w:p w14:paraId="72CB8AC3" w14:textId="77777777" w:rsidR="008C13A9" w:rsidRPr="002C0241" w:rsidRDefault="008C13A9" w:rsidP="00B276CA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CVVH</w:t>
            </w:r>
          </w:p>
        </w:tc>
        <w:tc>
          <w:tcPr>
            <w:tcW w:w="1089" w:type="pct"/>
            <w:gridSpan w:val="2"/>
            <w:tcBorders>
              <w:top w:val="nil"/>
              <w:bottom w:val="nil"/>
            </w:tcBorders>
          </w:tcPr>
          <w:p w14:paraId="05975AAC" w14:textId="77777777" w:rsidR="008C13A9" w:rsidRPr="002C0241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(6.5)</w:t>
            </w:r>
          </w:p>
        </w:tc>
        <w:tc>
          <w:tcPr>
            <w:tcW w:w="1089" w:type="pct"/>
            <w:gridSpan w:val="2"/>
            <w:tcBorders>
              <w:top w:val="nil"/>
              <w:bottom w:val="nil"/>
            </w:tcBorders>
          </w:tcPr>
          <w:p w14:paraId="1A7E2778" w14:textId="77777777" w:rsidR="008C13A9" w:rsidRPr="002C0241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(10.5)</w:t>
            </w:r>
          </w:p>
        </w:tc>
        <w:tc>
          <w:tcPr>
            <w:tcW w:w="843" w:type="pct"/>
            <w:vMerge/>
            <w:tcBorders>
              <w:top w:val="nil"/>
              <w:bottom w:val="nil"/>
            </w:tcBorders>
          </w:tcPr>
          <w:p w14:paraId="74BCD5CC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C13A9" w:rsidRPr="00BA1D59" w14:paraId="45CF0E08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6ADB7B50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PEEP score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01169245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(8–10)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59F60B40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(12–13)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4F1A7A34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8C13A9" w:rsidRPr="00BA1D59" w14:paraId="1D7CFC08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335A2D63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Strong CYP3A4-inhibitor use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258BF8B2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(16.1)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05D09451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(26.3)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2DD69E20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0.474</w:t>
            </w:r>
          </w:p>
        </w:tc>
      </w:tr>
      <w:tr w:rsidR="008C13A9" w:rsidRPr="00BA1D59" w14:paraId="3E28DF43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5EDD808B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Strong CYP3A4-inducer use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729932D4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7A3FE327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7FFA3DFC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8C13A9" w:rsidRPr="00BA1D59" w14:paraId="4055EEF7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4109EAC7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Midazolam infusion rate (mg/h)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34809B2D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(7–12)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44CDE0BE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(8–15)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2933B93C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0.102</w:t>
            </w:r>
          </w:p>
        </w:tc>
      </w:tr>
      <w:tr w:rsidR="008C13A9" w:rsidRPr="00BA1D59" w14:paraId="19E7DCF6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3BBD4E1A" w14:textId="77777777" w:rsidR="008C13A9" w:rsidRPr="000B554E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B554E">
              <w:rPr>
                <w:rFonts w:ascii="Times New Roman" w:hAnsi="Times New Roman" w:cs="Times New Roman"/>
                <w:sz w:val="20"/>
                <w:szCs w:val="20"/>
              </w:rPr>
              <w:t>Midazolam dose (mg/kg/h)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686A0326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 (0.08–0.16)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4607C27D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 (0.09–0.16)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32BD0EA7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0.331</w:t>
            </w:r>
          </w:p>
        </w:tc>
      </w:tr>
      <w:tr w:rsidR="008C13A9" w:rsidRPr="00BA1D59" w14:paraId="504A6434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nil"/>
            </w:tcBorders>
          </w:tcPr>
          <w:p w14:paraId="6F1476FF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Midazolam (mg/L)</w:t>
            </w:r>
          </w:p>
        </w:tc>
        <w:tc>
          <w:tcPr>
            <w:tcW w:w="1065" w:type="pct"/>
            <w:gridSpan w:val="2"/>
            <w:tcBorders>
              <w:top w:val="nil"/>
              <w:bottom w:val="nil"/>
            </w:tcBorders>
          </w:tcPr>
          <w:p w14:paraId="7F260639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0.66 (0.48–0.97)</w:t>
            </w:r>
          </w:p>
        </w:tc>
        <w:tc>
          <w:tcPr>
            <w:tcW w:w="1066" w:type="pct"/>
            <w:tcBorders>
              <w:top w:val="nil"/>
              <w:bottom w:val="nil"/>
            </w:tcBorders>
          </w:tcPr>
          <w:p w14:paraId="70C9C6FE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 (0.37–1.62)</w:t>
            </w: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07E3FC15" w14:textId="77777777" w:rsidR="008C13A9" w:rsidRPr="00BA1D59" w:rsidRDefault="008C13A9" w:rsidP="00B276C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0.289</w:t>
            </w:r>
          </w:p>
        </w:tc>
      </w:tr>
      <w:tr w:rsidR="008C13A9" w:rsidRPr="00BA1D59" w14:paraId="030A4034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6" w:type="pct"/>
            <w:gridSpan w:val="3"/>
            <w:tcBorders>
              <w:top w:val="nil"/>
              <w:bottom w:val="single" w:sz="4" w:space="0" w:color="auto"/>
            </w:tcBorders>
          </w:tcPr>
          <w:p w14:paraId="50F31008" w14:textId="77777777" w:rsidR="008C13A9" w:rsidRPr="00BA1D59" w:rsidRDefault="008C13A9" w:rsidP="00B276CA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1OH-midazolam (mg/L)</w:t>
            </w:r>
          </w:p>
        </w:tc>
        <w:tc>
          <w:tcPr>
            <w:tcW w:w="1065" w:type="pct"/>
            <w:gridSpan w:val="2"/>
            <w:tcBorders>
              <w:top w:val="nil"/>
              <w:bottom w:val="single" w:sz="4" w:space="0" w:color="auto"/>
            </w:tcBorders>
          </w:tcPr>
          <w:p w14:paraId="17BAE763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0.042 (0.024–0.074)</w:t>
            </w:r>
          </w:p>
        </w:tc>
        <w:tc>
          <w:tcPr>
            <w:tcW w:w="1066" w:type="pct"/>
            <w:tcBorders>
              <w:top w:val="nil"/>
              <w:bottom w:val="single" w:sz="4" w:space="0" w:color="auto"/>
            </w:tcBorders>
          </w:tcPr>
          <w:p w14:paraId="784B8AB1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0.047 (0.031–0.095)</w:t>
            </w: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05149E51" w14:textId="77777777" w:rsidR="008C13A9" w:rsidRPr="00BA1D59" w:rsidRDefault="008C13A9" w:rsidP="00B276C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0.430</w:t>
            </w:r>
          </w:p>
        </w:tc>
      </w:tr>
    </w:tbl>
    <w:p w14:paraId="3B4DB5E6" w14:textId="77777777" w:rsidR="008C13A9" w:rsidRPr="00BA1D59" w:rsidRDefault="008C13A9" w:rsidP="008C13A9">
      <w:pPr>
        <w:pStyle w:val="NoSpacing"/>
        <w:spacing w:before="240" w:after="120"/>
        <w:rPr>
          <w:rFonts w:ascii="Times New Roman" w:hAnsi="Times New Roman" w:cs="Times New Roman"/>
          <w:sz w:val="20"/>
          <w:szCs w:val="20"/>
          <w:lang w:val="en-US"/>
        </w:rPr>
      </w:pPr>
      <w:r w:rsidRPr="00BA1D59">
        <w:rPr>
          <w:rFonts w:ascii="Times New Roman" w:hAnsi="Times New Roman" w:cs="Times New Roman"/>
          <w:sz w:val="20"/>
          <w:szCs w:val="20"/>
          <w:lang w:val="en-US"/>
        </w:rPr>
        <w:t xml:space="preserve">Data are presented as </w:t>
      </w:r>
      <w:r w:rsidRPr="00BA1D59">
        <w:rPr>
          <w:rFonts w:ascii="Times New Roman" w:eastAsia="Calibri" w:hAnsi="Times New Roman" w:cs="Times New Roman"/>
          <w:sz w:val="20"/>
          <w:szCs w:val="20"/>
          <w:lang w:val="en-US"/>
        </w:rPr>
        <w:t>the median (interquartile range) or n (%).</w:t>
      </w:r>
      <w:r w:rsidRPr="00BA1D59">
        <w:rPr>
          <w:rFonts w:ascii="Times New Roman" w:hAnsi="Times New Roman" w:cs="Times New Roman"/>
          <w:sz w:val="20"/>
          <w:szCs w:val="20"/>
          <w:lang w:val="en-US"/>
        </w:rPr>
        <w:t xml:space="preserve"> PEEP, positive end-expiratory pressure; BMI, body mass index; SOFA, Sequential Organ Failure Assessment; APACHE4, Acute Physiology and Chronic Health Evaluation IV; ICU, intensive care unit; COVID-19, coronavirus disease 2019; IL, interleukin; CRP, C-reactive protein; CKD-EPI, Chronic Kidney Disease Epidemiology Collaboration estimated glomerular filtration rate; CVVH, continue veno-venous hemofiltration; CYP3A4, cytochrome P450 (CYP)3A4.</w:t>
      </w:r>
    </w:p>
    <w:p w14:paraId="2F481C70" w14:textId="77777777" w:rsidR="008C13A9" w:rsidRPr="002C0241" w:rsidRDefault="008C13A9" w:rsidP="008C13A9">
      <w:pPr>
        <w:spacing w:before="240" w:after="12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2C0241"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14:paraId="7C77C408" w14:textId="77777777" w:rsidR="008C13A9" w:rsidRPr="00BA1D59" w:rsidRDefault="008C13A9" w:rsidP="008C13A9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A1D5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2 </w:t>
      </w:r>
      <w:r w:rsidRPr="00BA1D59">
        <w:rPr>
          <w:rFonts w:ascii="Times New Roman" w:hAnsi="Times New Roman" w:cs="Times New Roman"/>
          <w:sz w:val="20"/>
          <w:szCs w:val="20"/>
          <w:lang w:val="en-US"/>
        </w:rPr>
        <w:t>Linear regression analysis of the 1OH-midazolam/midazolam metabolic ratio</w:t>
      </w:r>
    </w:p>
    <w:tbl>
      <w:tblPr>
        <w:tblStyle w:val="Onopgemaaktetabel21"/>
        <w:tblW w:w="5000" w:type="pct"/>
        <w:tblBorders>
          <w:bottom w:val="sing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550"/>
        <w:gridCol w:w="1984"/>
        <w:gridCol w:w="850"/>
        <w:gridCol w:w="1152"/>
        <w:gridCol w:w="975"/>
        <w:gridCol w:w="1515"/>
      </w:tblGrid>
      <w:tr w:rsidR="008C13A9" w:rsidRPr="00BA1D59" w14:paraId="6B33482F" w14:textId="77777777" w:rsidTr="00B276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</w:tcPr>
          <w:p w14:paraId="19A874D3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variable</w:t>
            </w:r>
          </w:p>
        </w:tc>
        <w:tc>
          <w:tcPr>
            <w:tcW w:w="2208" w:type="pct"/>
            <w:gridSpan w:val="3"/>
          </w:tcPr>
          <w:p w14:paraId="6E967753" w14:textId="77777777" w:rsidR="008C13A9" w:rsidRPr="00BA1D59" w:rsidRDefault="008C13A9" w:rsidP="00B276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Univariable</w:t>
            </w:r>
          </w:p>
        </w:tc>
        <w:tc>
          <w:tcPr>
            <w:tcW w:w="1379" w:type="pct"/>
            <w:gridSpan w:val="2"/>
          </w:tcPr>
          <w:p w14:paraId="1D6C9F98" w14:textId="77777777" w:rsidR="008C13A9" w:rsidRPr="00BA1D59" w:rsidRDefault="008C13A9" w:rsidP="00B276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</w:t>
            </w:r>
          </w:p>
        </w:tc>
      </w:tr>
      <w:tr w:rsidR="008C13A9" w:rsidRPr="00BA1D59" w14:paraId="080C52F1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bottom w:val="nil"/>
            </w:tcBorders>
          </w:tcPr>
          <w:p w14:paraId="2965153B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pct"/>
            <w:tcBorders>
              <w:bottom w:val="nil"/>
            </w:tcBorders>
          </w:tcPr>
          <w:p w14:paraId="25EC507A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Beta (95% CI)</w:t>
            </w:r>
          </w:p>
        </w:tc>
        <w:tc>
          <w:tcPr>
            <w:tcW w:w="471" w:type="pct"/>
            <w:tcBorders>
              <w:bottom w:val="nil"/>
            </w:tcBorders>
          </w:tcPr>
          <w:p w14:paraId="75D81C34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p˗value</w:t>
            </w:r>
          </w:p>
        </w:tc>
        <w:tc>
          <w:tcPr>
            <w:tcW w:w="1178" w:type="pct"/>
            <w:gridSpan w:val="2"/>
            <w:tcBorders>
              <w:bottom w:val="nil"/>
            </w:tcBorders>
          </w:tcPr>
          <w:p w14:paraId="7EBEE675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Beta (95% CI)</w:t>
            </w:r>
          </w:p>
        </w:tc>
        <w:tc>
          <w:tcPr>
            <w:tcW w:w="839" w:type="pct"/>
            <w:tcBorders>
              <w:bottom w:val="nil"/>
            </w:tcBorders>
          </w:tcPr>
          <w:p w14:paraId="7C9C022C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p˗value</w:t>
            </w:r>
          </w:p>
        </w:tc>
      </w:tr>
      <w:tr w:rsidR="008C13A9" w:rsidRPr="00BA1D59" w14:paraId="01F3D363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</w:tcPr>
          <w:p w14:paraId="5BD68BE4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PEEP category</w:t>
            </w:r>
          </w:p>
        </w:tc>
        <w:tc>
          <w:tcPr>
            <w:tcW w:w="0" w:type="pct"/>
            <w:tcBorders>
              <w:top w:val="nil"/>
              <w:bottom w:val="nil"/>
            </w:tcBorders>
          </w:tcPr>
          <w:p w14:paraId="50C18757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˗0.04 (˗0.56 to 0.48)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2B71E275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0.879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4B0971C7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 (˗0.34 to 0.58)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445EBFE0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0.594</w:t>
            </w:r>
          </w:p>
        </w:tc>
      </w:tr>
      <w:tr w:rsidR="008C13A9" w:rsidRPr="00BA1D59" w14:paraId="23A7CD92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</w:tcPr>
          <w:p w14:paraId="02013CBC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COVID˗19</w:t>
            </w:r>
          </w:p>
        </w:tc>
        <w:tc>
          <w:tcPr>
            <w:tcW w:w="0" w:type="pct"/>
            <w:tcBorders>
              <w:top w:val="nil"/>
              <w:bottom w:val="nil"/>
            </w:tcBorders>
          </w:tcPr>
          <w:p w14:paraId="04839B85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˗0.10 (˗0.60 to 0.40)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47F1EFAA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0.686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2784215E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 (˗0.27 to 0.77)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1300E041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0.335</w:t>
            </w:r>
          </w:p>
        </w:tc>
      </w:tr>
      <w:tr w:rsidR="008C13A9" w:rsidRPr="00BA1D59" w14:paraId="521EC666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</w:tcPr>
          <w:p w14:paraId="7786171A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CYP3A4 inhibitor use</w:t>
            </w:r>
          </w:p>
        </w:tc>
        <w:tc>
          <w:tcPr>
            <w:tcW w:w="0" w:type="pct"/>
            <w:tcBorders>
              <w:top w:val="nil"/>
              <w:bottom w:val="nil"/>
            </w:tcBorders>
          </w:tcPr>
          <w:p w14:paraId="6E314212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˗0.33 (˗0.95 to 0.29)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72C08FAB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0.285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605478F2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˗0.24 (˗0.82 to 0.35)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23B0D66D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0.413</w:t>
            </w:r>
          </w:p>
        </w:tc>
      </w:tr>
      <w:tr w:rsidR="008C13A9" w:rsidRPr="00BA1D59" w14:paraId="2E292425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</w:tcPr>
          <w:p w14:paraId="01AE16BE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Heart failure</w:t>
            </w:r>
          </w:p>
        </w:tc>
        <w:tc>
          <w:tcPr>
            <w:tcW w:w="0" w:type="pct"/>
            <w:tcBorders>
              <w:top w:val="nil"/>
              <w:bottom w:val="nil"/>
            </w:tcBorders>
          </w:tcPr>
          <w:p w14:paraId="0EAB28C7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˗0.48 (˗1.19 to 0.23)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57482526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0.176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05C5FEE5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˗0.23 (˗0.93 to 0.47)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17D053BC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0.502</w:t>
            </w:r>
          </w:p>
        </w:tc>
      </w:tr>
      <w:tr w:rsidR="008C13A9" w:rsidRPr="00BA1D59" w14:paraId="4B461E55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</w:tcPr>
          <w:p w14:paraId="7B5C78E7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CRP*</w:t>
            </w:r>
          </w:p>
        </w:tc>
        <w:tc>
          <w:tcPr>
            <w:tcW w:w="0" w:type="pct"/>
            <w:tcBorders>
              <w:top w:val="nil"/>
              <w:bottom w:val="nil"/>
            </w:tcBorders>
          </w:tcPr>
          <w:p w14:paraId="2597317A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˗0.03 (˗0.04 to ˗0.01)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3451DD07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439928DD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˗0.03 (˗0.05 to ˗0.01)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65C17F86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</w:tr>
      <w:tr w:rsidR="008C13A9" w:rsidRPr="00BA1D59" w14:paraId="2F257269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</w:tcPr>
          <w:p w14:paraId="5C0676DF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APACHE4 score*</w:t>
            </w:r>
          </w:p>
        </w:tc>
        <w:tc>
          <w:tcPr>
            <w:tcW w:w="0" w:type="pct"/>
            <w:tcBorders>
              <w:top w:val="nil"/>
              <w:bottom w:val="nil"/>
            </w:tcBorders>
          </w:tcPr>
          <w:p w14:paraId="7F0B3A99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 (˗0.03 to 0.17)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6CD40DDE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0.164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1E24FB75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 (0.01 to 0.25)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0BCF6A16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0.040</w:t>
            </w:r>
          </w:p>
        </w:tc>
      </w:tr>
      <w:tr w:rsidR="008C13A9" w:rsidRPr="00BA1D59" w14:paraId="7FBB4DEA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</w:tcPr>
          <w:p w14:paraId="4AA2E442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0" w:type="pct"/>
            <w:tcBorders>
              <w:top w:val="nil"/>
              <w:bottom w:val="nil"/>
            </w:tcBorders>
          </w:tcPr>
          <w:p w14:paraId="661BA811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˗0.02 (˗0.03 to 0.00)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4E0B8A30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2BC13080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˗0.02 (˗0.04 to ˗0.00)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2D6E68E8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0.015</w:t>
            </w:r>
          </w:p>
        </w:tc>
      </w:tr>
      <w:tr w:rsidR="008C13A9" w:rsidRPr="00BA1D59" w14:paraId="65A696C0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</w:tcPr>
          <w:p w14:paraId="4FA90EB5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BMI (kg/m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pct"/>
            <w:tcBorders>
              <w:top w:val="nil"/>
              <w:bottom w:val="nil"/>
            </w:tcBorders>
          </w:tcPr>
          <w:p w14:paraId="23A6039B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˗0.01 (˗0.07 to 0.05)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32E52095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0.782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1B1FD4B7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 (˗0.05 to 0.06)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2F302921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0.777</w:t>
            </w:r>
          </w:p>
        </w:tc>
      </w:tr>
      <w:tr w:rsidR="008C13A9" w:rsidRPr="00BA1D59" w14:paraId="06B55734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il"/>
            </w:tcBorders>
          </w:tcPr>
          <w:p w14:paraId="42F233B1" w14:textId="77777777" w:rsidR="008C13A9" w:rsidRPr="00BA1D59" w:rsidRDefault="008C13A9" w:rsidP="00B276CA">
            <w:pPr>
              <w:pStyle w:val="ListParagraph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Renal clearance</w:t>
            </w:r>
          </w:p>
        </w:tc>
        <w:tc>
          <w:tcPr>
            <w:tcW w:w="1099" w:type="pct"/>
            <w:tcBorders>
              <w:top w:val="nil"/>
              <w:bottom w:val="nil"/>
            </w:tcBorders>
          </w:tcPr>
          <w:p w14:paraId="60B5F560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3F93492E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106B335E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7B9E65D3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C13A9" w:rsidRPr="00BA1D59" w14:paraId="0B8896AE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nil"/>
            </w:tcBorders>
          </w:tcPr>
          <w:p w14:paraId="75DF09A1" w14:textId="77777777" w:rsidR="008C13A9" w:rsidRPr="00BA1D59" w:rsidRDefault="008C13A9" w:rsidP="00B276CA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  <w:r w:rsidRPr="00BA1D59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–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 m</w:t>
            </w:r>
            <w:r w:rsidRPr="00BA1D59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L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/min</w:t>
            </w:r>
          </w:p>
        </w:tc>
        <w:tc>
          <w:tcPr>
            <w:tcW w:w="0" w:type="pct"/>
            <w:tcBorders>
              <w:top w:val="nil"/>
              <w:bottom w:val="nil"/>
            </w:tcBorders>
          </w:tcPr>
          <w:p w14:paraId="088157FB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˗0.55 (˗1.09 to 0.00)</w:t>
            </w:r>
          </w:p>
        </w:tc>
        <w:tc>
          <w:tcPr>
            <w:tcW w:w="0" w:type="pct"/>
            <w:tcBorders>
              <w:top w:val="nil"/>
              <w:bottom w:val="nil"/>
            </w:tcBorders>
          </w:tcPr>
          <w:p w14:paraId="651900A3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0.049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0B3A5FDC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˗0.31 (˗0.80 to 0.19)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597C2AF3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0.224</w:t>
            </w:r>
          </w:p>
        </w:tc>
      </w:tr>
      <w:tr w:rsidR="008C13A9" w:rsidRPr="00BA1D59" w14:paraId="0FA06350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tcBorders>
              <w:top w:val="nil"/>
              <w:bottom w:val="single" w:sz="4" w:space="0" w:color="auto"/>
            </w:tcBorders>
          </w:tcPr>
          <w:p w14:paraId="120941FE" w14:textId="77777777" w:rsidR="008C13A9" w:rsidRPr="00BA1D59" w:rsidRDefault="008C13A9" w:rsidP="00B276CA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Pr="00BA1D59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–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m</w:t>
            </w:r>
            <w:r w:rsidRPr="00BA1D59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L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/min or CVVH</w:t>
            </w:r>
          </w:p>
        </w:tc>
        <w:tc>
          <w:tcPr>
            <w:tcW w:w="0" w:type="pct"/>
            <w:tcBorders>
              <w:top w:val="nil"/>
              <w:bottom w:val="single" w:sz="4" w:space="0" w:color="auto"/>
            </w:tcBorders>
          </w:tcPr>
          <w:p w14:paraId="08356A45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˗0.19 (˗0.85 to 0.48)</w:t>
            </w:r>
          </w:p>
        </w:tc>
        <w:tc>
          <w:tcPr>
            <w:tcW w:w="0" w:type="pct"/>
            <w:tcBorders>
              <w:top w:val="nil"/>
              <w:bottom w:val="single" w:sz="4" w:space="0" w:color="auto"/>
            </w:tcBorders>
          </w:tcPr>
          <w:p w14:paraId="043A8700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0.917</w:t>
            </w:r>
          </w:p>
        </w:tc>
        <w:tc>
          <w:tcPr>
            <w:tcW w:w="1178" w:type="pct"/>
            <w:gridSpan w:val="2"/>
            <w:tcBorders>
              <w:top w:val="nil"/>
              <w:bottom w:val="single" w:sz="4" w:space="0" w:color="auto"/>
            </w:tcBorders>
          </w:tcPr>
          <w:p w14:paraId="5459CBBD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 (˗0.40 to 1.13)</w:t>
            </w:r>
          </w:p>
        </w:tc>
        <w:tc>
          <w:tcPr>
            <w:tcW w:w="839" w:type="pct"/>
            <w:tcBorders>
              <w:top w:val="nil"/>
              <w:bottom w:val="single" w:sz="4" w:space="0" w:color="auto"/>
            </w:tcBorders>
          </w:tcPr>
          <w:p w14:paraId="13E9E91B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0.339</w:t>
            </w:r>
          </w:p>
        </w:tc>
      </w:tr>
    </w:tbl>
    <w:p w14:paraId="170EB7E0" w14:textId="77777777" w:rsidR="008C13A9" w:rsidRDefault="008C13A9" w:rsidP="008C13A9">
      <w:pPr>
        <w:spacing w:before="240" w:after="12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A1D59">
        <w:rPr>
          <w:rFonts w:ascii="Times New Roman" w:hAnsi="Times New Roman" w:cs="Times New Roman"/>
          <w:sz w:val="20"/>
          <w:szCs w:val="20"/>
          <w:lang w:val="en-US"/>
        </w:rPr>
        <w:t>The molecular weight-adjusted 1OH-midazolam/midazolam metabolic ratio was log transformed. A one-unit change in the model variable (∆X = 1) represents a (e</w:t>
      </w:r>
      <w:r w:rsidRPr="00BA1D5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β </w:t>
      </w:r>
      <w:r w:rsidRPr="00BA1D59">
        <w:rPr>
          <w:rFonts w:ascii="Times New Roman" w:hAnsi="Times New Roman" w:cs="Times New Roman"/>
          <w:sz w:val="20"/>
          <w:szCs w:val="20"/>
          <w:lang w:val="en-US"/>
        </w:rPr>
        <w:t>˗ 1) × 100% change. *CRP and APACHE4 score are included as variables in the analysis per 10 units; therefore, ∆X = 10. The PEEP-category is represented as high PEEP (&gt; 10 cmH</w:t>
      </w:r>
      <w:r w:rsidRPr="00BA1D5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BA1D59">
        <w:rPr>
          <w:rFonts w:ascii="Times New Roman" w:hAnsi="Times New Roman" w:cs="Times New Roman"/>
          <w:sz w:val="20"/>
          <w:szCs w:val="20"/>
          <w:lang w:val="en-US"/>
        </w:rPr>
        <w:t>O) compared to low PEEP (≤ 10 cmH</w:t>
      </w:r>
      <w:r w:rsidRPr="00BA1D5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BA1D59">
        <w:rPr>
          <w:rFonts w:ascii="Times New Roman" w:hAnsi="Times New Roman" w:cs="Times New Roman"/>
          <w:sz w:val="20"/>
          <w:szCs w:val="20"/>
          <w:lang w:val="en-US"/>
        </w:rPr>
        <w:t>O). COVID-19, CYP3A4 inhibitors, and heart failure were expressed as present compared to not present. Renal clearance was expressed relative to good clearance (&gt;90 mL/min). CI, confidence interval; PEEP, positive end-expiratory pressure; COVID-19, coronavirus disease 2019; CYP3A4, cytochrome P450 (CYP)3A4; CRP, C-reactive protein; APACHE4, Acute Physiology and Chronic Health Evaluation IV; BMI, body mass index; CVVH, continuous veno-venous hemofiltration</w:t>
      </w:r>
    </w:p>
    <w:p w14:paraId="2AB0CE9D" w14:textId="77777777" w:rsidR="008C13A9" w:rsidRDefault="008C13A9" w:rsidP="008C13A9">
      <w:pPr>
        <w:spacing w:before="240" w:after="12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BF32663" w14:textId="77777777" w:rsidR="008C13A9" w:rsidRPr="002C0241" w:rsidRDefault="008C13A9" w:rsidP="008C13A9">
      <w:pPr>
        <w:spacing w:before="240" w:after="12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A1D59">
        <w:rPr>
          <w:rFonts w:ascii="Times New Roman" w:hAnsi="Times New Roman" w:cs="Times New Roman"/>
          <w:b/>
          <w:sz w:val="20"/>
          <w:szCs w:val="20"/>
          <w:lang w:val="en-US"/>
        </w:rPr>
        <w:t>Table 3</w:t>
      </w:r>
      <w:r w:rsidRPr="002C024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BA1D59">
        <w:rPr>
          <w:rFonts w:ascii="Times New Roman" w:hAnsi="Times New Roman" w:cs="Times New Roman"/>
          <w:sz w:val="20"/>
          <w:szCs w:val="20"/>
          <w:lang w:val="en-US"/>
        </w:rPr>
        <w:t>Generalized estimating equation analysis of the 1OH-midazolam/midazolam metabolic ratio</w:t>
      </w:r>
    </w:p>
    <w:tbl>
      <w:tblPr>
        <w:tblStyle w:val="Onopgemaaktetabel21"/>
        <w:tblW w:w="5000" w:type="pct"/>
        <w:tblBorders>
          <w:bottom w:val="sing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550"/>
        <w:gridCol w:w="1984"/>
        <w:gridCol w:w="850"/>
        <w:gridCol w:w="1152"/>
        <w:gridCol w:w="975"/>
        <w:gridCol w:w="1515"/>
      </w:tblGrid>
      <w:tr w:rsidR="008C13A9" w:rsidRPr="00BA1D59" w14:paraId="26BF2665" w14:textId="77777777" w:rsidTr="00B276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</w:tcPr>
          <w:p w14:paraId="1A149D80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Model variable</w:t>
            </w:r>
          </w:p>
        </w:tc>
        <w:tc>
          <w:tcPr>
            <w:tcW w:w="2208" w:type="pct"/>
            <w:gridSpan w:val="3"/>
          </w:tcPr>
          <w:p w14:paraId="23EB02CE" w14:textId="77777777" w:rsidR="008C13A9" w:rsidRPr="00BA1D59" w:rsidRDefault="008C13A9" w:rsidP="00B276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Univariable</w:t>
            </w:r>
          </w:p>
        </w:tc>
        <w:tc>
          <w:tcPr>
            <w:tcW w:w="1379" w:type="pct"/>
            <w:gridSpan w:val="2"/>
          </w:tcPr>
          <w:p w14:paraId="09D7615F" w14:textId="77777777" w:rsidR="008C13A9" w:rsidRPr="00BA1D59" w:rsidRDefault="008C13A9" w:rsidP="00B276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Multivariable</w:t>
            </w:r>
          </w:p>
        </w:tc>
      </w:tr>
      <w:tr w:rsidR="008C13A9" w:rsidRPr="00BA1D59" w14:paraId="755AEF5C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bottom w:val="nil"/>
            </w:tcBorders>
          </w:tcPr>
          <w:p w14:paraId="0E30C2F7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99" w:type="pct"/>
            <w:tcBorders>
              <w:bottom w:val="nil"/>
            </w:tcBorders>
          </w:tcPr>
          <w:p w14:paraId="7FB44223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Beta (95% CI)</w:t>
            </w:r>
          </w:p>
        </w:tc>
        <w:tc>
          <w:tcPr>
            <w:tcW w:w="471" w:type="pct"/>
            <w:tcBorders>
              <w:bottom w:val="nil"/>
            </w:tcBorders>
          </w:tcPr>
          <w:p w14:paraId="415A32B3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p˗value</w:t>
            </w:r>
          </w:p>
        </w:tc>
        <w:tc>
          <w:tcPr>
            <w:tcW w:w="1178" w:type="pct"/>
            <w:gridSpan w:val="2"/>
            <w:tcBorders>
              <w:bottom w:val="nil"/>
            </w:tcBorders>
          </w:tcPr>
          <w:p w14:paraId="3C57CBC7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Beta (95% CI)</w:t>
            </w:r>
          </w:p>
        </w:tc>
        <w:tc>
          <w:tcPr>
            <w:tcW w:w="839" w:type="pct"/>
            <w:tcBorders>
              <w:bottom w:val="nil"/>
            </w:tcBorders>
          </w:tcPr>
          <w:p w14:paraId="0F316777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p˗value</w:t>
            </w:r>
          </w:p>
        </w:tc>
      </w:tr>
      <w:tr w:rsidR="008C13A9" w:rsidRPr="00BA1D59" w14:paraId="7FC5282C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il"/>
            </w:tcBorders>
          </w:tcPr>
          <w:p w14:paraId="3C9D7FED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PEEP category</w:t>
            </w:r>
          </w:p>
        </w:tc>
        <w:tc>
          <w:tcPr>
            <w:tcW w:w="1099" w:type="pct"/>
            <w:tcBorders>
              <w:top w:val="nil"/>
              <w:bottom w:val="nil"/>
            </w:tcBorders>
          </w:tcPr>
          <w:p w14:paraId="01418955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 (˗0.16 to 0.32)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4A3E3A60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0.514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50524D11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 (˗0.16 to 0.26)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00636277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0.615</w:t>
            </w:r>
          </w:p>
        </w:tc>
      </w:tr>
      <w:tr w:rsidR="008C13A9" w:rsidRPr="00BA1D59" w14:paraId="2E7CA56A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il"/>
            </w:tcBorders>
          </w:tcPr>
          <w:p w14:paraId="49A321FC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Time midazolam initiation (days)</w:t>
            </w:r>
          </w:p>
        </w:tc>
        <w:tc>
          <w:tcPr>
            <w:tcW w:w="1099" w:type="pct"/>
            <w:tcBorders>
              <w:top w:val="nil"/>
              <w:bottom w:val="nil"/>
            </w:tcBorders>
          </w:tcPr>
          <w:p w14:paraId="125BAE78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 (0.05 to 0.11)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6240F6FA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714FB64D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 (0.03 to 0.09)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1A118DE1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</w:tr>
      <w:tr w:rsidR="008C13A9" w:rsidRPr="00BA1D59" w14:paraId="5497145D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il"/>
            </w:tcBorders>
          </w:tcPr>
          <w:p w14:paraId="7EE2A194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COVID˗19</w:t>
            </w:r>
          </w:p>
        </w:tc>
        <w:tc>
          <w:tcPr>
            <w:tcW w:w="1099" w:type="pct"/>
            <w:tcBorders>
              <w:top w:val="nil"/>
              <w:bottom w:val="nil"/>
            </w:tcBorders>
          </w:tcPr>
          <w:p w14:paraId="575DB54F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 (˗0.19 to 0.55)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41016BFE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0.329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6E98D65F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0.35 (0.01 to 0.70)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7864F850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0.046</w:t>
            </w:r>
          </w:p>
        </w:tc>
      </w:tr>
      <w:tr w:rsidR="008C13A9" w:rsidRPr="00BA1D59" w14:paraId="6F9C9CF0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il"/>
            </w:tcBorders>
          </w:tcPr>
          <w:p w14:paraId="42F52500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CYP3A4 inhibitor use</w:t>
            </w:r>
          </w:p>
        </w:tc>
        <w:tc>
          <w:tcPr>
            <w:tcW w:w="1099" w:type="pct"/>
            <w:tcBorders>
              <w:top w:val="nil"/>
              <w:bottom w:val="nil"/>
            </w:tcBorders>
          </w:tcPr>
          <w:p w14:paraId="51995C72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˗0.09 (˗0.32 to 0.15)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037C6D64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0.478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577D3EFD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˗0.21 (˗0.43 to 0.00)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7AE64972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0.048</w:t>
            </w:r>
          </w:p>
        </w:tc>
      </w:tr>
      <w:tr w:rsidR="008C13A9" w:rsidRPr="00BA1D59" w14:paraId="0AC80398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il"/>
            </w:tcBorders>
          </w:tcPr>
          <w:p w14:paraId="663D8D36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Heart failure</w:t>
            </w:r>
          </w:p>
        </w:tc>
        <w:tc>
          <w:tcPr>
            <w:tcW w:w="1099" w:type="pct"/>
            <w:tcBorders>
              <w:top w:val="nil"/>
              <w:bottom w:val="nil"/>
            </w:tcBorders>
          </w:tcPr>
          <w:p w14:paraId="625F2B5B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˗0.65 (˗1.19 to ˗0.12)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780F1A9F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0.016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767D3A6C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˗0.16 (˗0.63 to 0.30)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3D373A65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0.490</w:t>
            </w:r>
          </w:p>
        </w:tc>
      </w:tr>
      <w:tr w:rsidR="008C13A9" w:rsidRPr="00BA1D59" w14:paraId="7FFD5CF9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il"/>
            </w:tcBorders>
          </w:tcPr>
          <w:p w14:paraId="363E9BF6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CRP*</w:t>
            </w:r>
          </w:p>
        </w:tc>
        <w:tc>
          <w:tcPr>
            <w:tcW w:w="1099" w:type="pct"/>
            <w:tcBorders>
              <w:top w:val="nil"/>
              <w:bottom w:val="nil"/>
            </w:tcBorders>
          </w:tcPr>
          <w:p w14:paraId="1AF1F99F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˗0.02 (˗0.03 to ˗0.02)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500206A7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78C60FDA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˗0.02 (˗0.03 to ˗0.01)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615B2092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</w:tr>
      <w:tr w:rsidR="008C13A9" w:rsidRPr="00BA1D59" w14:paraId="0BD36B49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il"/>
            </w:tcBorders>
          </w:tcPr>
          <w:p w14:paraId="35E4B7CA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APACHE4 score*</w:t>
            </w:r>
          </w:p>
        </w:tc>
        <w:tc>
          <w:tcPr>
            <w:tcW w:w="1099" w:type="pct"/>
            <w:tcBorders>
              <w:top w:val="nil"/>
              <w:bottom w:val="nil"/>
            </w:tcBorders>
          </w:tcPr>
          <w:p w14:paraId="226B99A0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 (˗0.04 to 0.11)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14F14F6B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0.340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08806982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 (0.07 to 0.22)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415C4517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</w:tr>
      <w:tr w:rsidR="008C13A9" w:rsidRPr="00BA1D59" w14:paraId="3566DF2B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il"/>
            </w:tcBorders>
          </w:tcPr>
          <w:p w14:paraId="48C78086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1099" w:type="pct"/>
            <w:tcBorders>
              <w:top w:val="nil"/>
              <w:bottom w:val="nil"/>
            </w:tcBorders>
          </w:tcPr>
          <w:p w14:paraId="289A6694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˗0.02 (˗0.03 to 0.00)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465E03B2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0.017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1FC0ABE4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˗0.02 (˗0.03 to ˗0.01)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3D8F16B4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</w:tr>
      <w:tr w:rsidR="008C13A9" w:rsidRPr="00BA1D59" w14:paraId="119803BD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il"/>
            </w:tcBorders>
          </w:tcPr>
          <w:p w14:paraId="468C3E0D" w14:textId="77777777" w:rsidR="008C13A9" w:rsidRPr="00BA1D59" w:rsidRDefault="008C13A9" w:rsidP="00B276CA">
            <w:pPr>
              <w:pStyle w:val="ListParagraph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BMI (kg/m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99" w:type="pct"/>
            <w:tcBorders>
              <w:top w:val="nil"/>
              <w:bottom w:val="nil"/>
            </w:tcBorders>
          </w:tcPr>
          <w:p w14:paraId="0D3552DD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 (˗0.05 to 0.05)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51B8AF77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0.979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35305780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 (˗0.03 to 0.04)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1A99993A" w14:textId="77777777" w:rsidR="008C13A9" w:rsidRPr="002C0241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0.883</w:t>
            </w:r>
          </w:p>
        </w:tc>
      </w:tr>
      <w:tr w:rsidR="008C13A9" w:rsidRPr="00BA1D59" w14:paraId="772E3BEC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il"/>
            </w:tcBorders>
          </w:tcPr>
          <w:p w14:paraId="0FD42FF2" w14:textId="77777777" w:rsidR="008C13A9" w:rsidRPr="00BA1D59" w:rsidRDefault="008C13A9" w:rsidP="00B276CA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Renal clearance</w:t>
            </w:r>
          </w:p>
        </w:tc>
        <w:tc>
          <w:tcPr>
            <w:tcW w:w="1099" w:type="pct"/>
            <w:tcBorders>
              <w:top w:val="nil"/>
              <w:bottom w:val="nil"/>
            </w:tcBorders>
          </w:tcPr>
          <w:p w14:paraId="5A4018ED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680916E9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3FC0C82E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61CC56E3" w14:textId="77777777" w:rsidR="008C13A9" w:rsidRPr="00BA1D59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C13A9" w:rsidRPr="00BA1D59" w14:paraId="070DED0C" w14:textId="77777777" w:rsidTr="00B276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il"/>
            </w:tcBorders>
          </w:tcPr>
          <w:p w14:paraId="43BDB76F" w14:textId="77777777" w:rsidR="008C13A9" w:rsidRPr="00BA1D59" w:rsidRDefault="008C13A9" w:rsidP="00B276CA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  <w:r w:rsidRPr="00BA1D59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–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 m</w:t>
            </w:r>
            <w:r w:rsidRPr="00BA1D59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L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/min</w:t>
            </w:r>
          </w:p>
        </w:tc>
        <w:tc>
          <w:tcPr>
            <w:tcW w:w="1099" w:type="pct"/>
            <w:tcBorders>
              <w:top w:val="nil"/>
              <w:bottom w:val="nil"/>
            </w:tcBorders>
          </w:tcPr>
          <w:p w14:paraId="6032E9F9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˗0.02 (˗0.36 to 0.32)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14:paraId="1C46EEB2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0.926</w:t>
            </w:r>
          </w:p>
        </w:tc>
        <w:tc>
          <w:tcPr>
            <w:tcW w:w="1178" w:type="pct"/>
            <w:gridSpan w:val="2"/>
            <w:tcBorders>
              <w:top w:val="nil"/>
              <w:bottom w:val="nil"/>
            </w:tcBorders>
          </w:tcPr>
          <w:p w14:paraId="683FD217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˗0.02 (˗0.29 to 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0.26)</w:t>
            </w:r>
          </w:p>
        </w:tc>
        <w:tc>
          <w:tcPr>
            <w:tcW w:w="839" w:type="pct"/>
            <w:tcBorders>
              <w:top w:val="nil"/>
              <w:bottom w:val="nil"/>
            </w:tcBorders>
          </w:tcPr>
          <w:p w14:paraId="736BBBBB" w14:textId="77777777" w:rsidR="008C13A9" w:rsidRPr="00BA1D59" w:rsidRDefault="008C13A9" w:rsidP="00B276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0.899</w:t>
            </w:r>
          </w:p>
        </w:tc>
      </w:tr>
      <w:tr w:rsidR="008C13A9" w:rsidRPr="00BA1D59" w14:paraId="4E309AE3" w14:textId="77777777" w:rsidTr="00B276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pct"/>
            <w:tcBorders>
              <w:top w:val="nil"/>
              <w:bottom w:val="none" w:sz="0" w:space="0" w:color="auto"/>
            </w:tcBorders>
          </w:tcPr>
          <w:p w14:paraId="3C4B9F6E" w14:textId="77777777" w:rsidR="008C13A9" w:rsidRPr="00BA1D59" w:rsidRDefault="008C13A9" w:rsidP="00B276C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Pr="00BA1D59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–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m</w:t>
            </w:r>
            <w:r w:rsidRPr="00BA1D59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L</w:t>
            </w:r>
            <w:r w:rsidRPr="00BA1D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/min or CVVH</w:t>
            </w:r>
          </w:p>
        </w:tc>
        <w:tc>
          <w:tcPr>
            <w:tcW w:w="1099" w:type="pct"/>
            <w:tcBorders>
              <w:top w:val="nil"/>
              <w:bottom w:val="none" w:sz="0" w:space="0" w:color="auto"/>
            </w:tcBorders>
          </w:tcPr>
          <w:p w14:paraId="3C301009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 (˗0.40 to 0.44)</w:t>
            </w:r>
          </w:p>
        </w:tc>
        <w:tc>
          <w:tcPr>
            <w:tcW w:w="471" w:type="pct"/>
            <w:tcBorders>
              <w:top w:val="nil"/>
              <w:bottom w:val="none" w:sz="0" w:space="0" w:color="auto"/>
            </w:tcBorders>
          </w:tcPr>
          <w:p w14:paraId="1AE3F147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0.917</w:t>
            </w:r>
          </w:p>
        </w:tc>
        <w:tc>
          <w:tcPr>
            <w:tcW w:w="1178" w:type="pct"/>
            <w:gridSpan w:val="2"/>
            <w:tcBorders>
              <w:top w:val="nil"/>
              <w:bottom w:val="none" w:sz="0" w:space="0" w:color="auto"/>
            </w:tcBorders>
          </w:tcPr>
          <w:p w14:paraId="35ABF9A0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 (˗0.36 to 0.45)</w:t>
            </w:r>
          </w:p>
        </w:tc>
        <w:tc>
          <w:tcPr>
            <w:tcW w:w="839" w:type="pct"/>
            <w:tcBorders>
              <w:top w:val="nil"/>
              <w:bottom w:val="none" w:sz="0" w:space="0" w:color="auto"/>
            </w:tcBorders>
          </w:tcPr>
          <w:p w14:paraId="219437E2" w14:textId="77777777" w:rsidR="008C13A9" w:rsidRPr="002C0241" w:rsidRDefault="008C13A9" w:rsidP="00B276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02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0.838</w:t>
            </w:r>
          </w:p>
        </w:tc>
      </w:tr>
    </w:tbl>
    <w:p w14:paraId="39B2E2BD" w14:textId="77777777" w:rsidR="008C13A9" w:rsidRPr="00BA1D59" w:rsidRDefault="008C13A9" w:rsidP="008C13A9">
      <w:pPr>
        <w:spacing w:before="240" w:after="12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F36B2">
        <w:rPr>
          <w:rFonts w:ascii="Times New Roman" w:hAnsi="Times New Roman" w:cs="Times New Roman"/>
          <w:sz w:val="20"/>
          <w:szCs w:val="20"/>
          <w:lang w:val="en-US"/>
        </w:rPr>
        <w:t xml:space="preserve">The molecular weight-adjusted 1OH-midazolam/midazolam metabolic ratio was log transformed. A one-unit change in the model variable (∆X = 1) represents a (eβ ˗ 1) × 100% change. *CRP and APACHE4 score are included as variables in the analysis per 10 units; therefore, ∆X = 10. The PEEP-category is represented as high PEEP (&gt; 10 cmH2O) compared to low PEEP (≤ 10 cmH2O). COVID-19, CYP3A4 inhibitors, and heart failure were expressed as present compared to not present. Renal clearance was expressed relative to good clearance (&gt;90 mL/min). CI, confidence interval; PEEP, positive end-expiratory pressure; COVID-19, coronavirus disease 2019; CYP3A4, cytochrome P450 (CYP)3A4; CRP, C-reactive protein; APACHE4, Acute Physiology and Chronic Health Evaluation IV; BMI, body mass index; CVVH, continuous veno-venous hemofiltration. </w:t>
      </w:r>
    </w:p>
    <w:p w14:paraId="1EB13232" w14:textId="77777777" w:rsidR="008C13A9" w:rsidRPr="002C0241" w:rsidRDefault="008C13A9" w:rsidP="008C13A9">
      <w:pPr>
        <w:spacing w:before="240" w:after="12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4951B39" w14:textId="77777777" w:rsidR="00755780" w:rsidRDefault="00755780"/>
    <w:sectPr w:rsidR="00755780" w:rsidSect="008C13A9">
      <w:footerReference w:type="default" r:id="rId4"/>
      <w:pgSz w:w="11906" w:h="16838" w:code="9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lang w:val="en-US"/>
      </w:rPr>
      <w:id w:val="132702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0EDF7139" w14:textId="77777777" w:rsidR="00000000" w:rsidRPr="0046029F" w:rsidRDefault="00000000" w:rsidP="002C0241">
        <w:pPr>
          <w:pStyle w:val="Footer"/>
          <w:jc w:val="right"/>
          <w:rPr>
            <w:lang w:val="en-US"/>
          </w:rPr>
        </w:pPr>
        <w:r w:rsidRPr="00174D56">
          <w:rPr>
            <w:rFonts w:ascii="Times New Roman" w:hAnsi="Times New Roman" w:cs="Times New Roman"/>
            <w:sz w:val="20"/>
            <w:szCs w:val="20"/>
            <w:lang w:val="en-US"/>
          </w:rPr>
          <w:fldChar w:fldCharType="begin"/>
        </w:r>
        <w:r w:rsidRPr="00174D56">
          <w:rPr>
            <w:rFonts w:ascii="Times New Roman" w:hAnsi="Times New Roman" w:cs="Times New Roman"/>
            <w:sz w:val="20"/>
            <w:szCs w:val="20"/>
            <w:lang w:val="en-US"/>
          </w:rPr>
          <w:instrText>PAGE   \* MERGEFORMAT</w:instrText>
        </w:r>
        <w:r w:rsidRPr="00174D56">
          <w:rPr>
            <w:rFonts w:ascii="Times New Roman" w:hAnsi="Times New Roman" w:cs="Times New Roman"/>
            <w:sz w:val="20"/>
            <w:szCs w:val="20"/>
            <w:lang w:val="en-US"/>
          </w:rPr>
          <w:fldChar w:fldCharType="separate"/>
        </w:r>
        <w:r>
          <w:rPr>
            <w:rFonts w:ascii="Times New Roman" w:hAnsi="Times New Roman" w:cs="Times New Roman"/>
            <w:noProof/>
            <w:sz w:val="20"/>
            <w:szCs w:val="20"/>
            <w:lang w:val="en-US"/>
          </w:rPr>
          <w:t>1</w:t>
        </w:r>
        <w:r w:rsidRPr="00174D56">
          <w:rPr>
            <w:rFonts w:ascii="Times New Roman" w:hAnsi="Times New Roman" w:cs="Times New Roman"/>
            <w:sz w:val="20"/>
            <w:szCs w:val="20"/>
            <w:lang w:val="en-US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3A9"/>
    <w:rsid w:val="00011C58"/>
    <w:rsid w:val="0006021D"/>
    <w:rsid w:val="00331A6B"/>
    <w:rsid w:val="00755780"/>
    <w:rsid w:val="00821659"/>
    <w:rsid w:val="00857596"/>
    <w:rsid w:val="008C13A9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0A088"/>
  <w15:chartTrackingRefBased/>
  <w15:docId w15:val="{5E460BA8-551C-4BD5-BAB7-D64B2AA85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3A9"/>
    <w:pPr>
      <w:spacing w:line="259" w:lineRule="auto"/>
    </w:pPr>
    <w:rPr>
      <w:kern w:val="0"/>
      <w:sz w:val="22"/>
      <w:szCs w:val="22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13A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13A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13A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13A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13A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13A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13A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13A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13A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13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13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13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13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13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13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13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13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13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13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C13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13A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C13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13A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C13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13A9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C13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13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13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13A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C13A9"/>
    <w:pPr>
      <w:spacing w:after="0" w:line="240" w:lineRule="auto"/>
    </w:pPr>
    <w:rPr>
      <w:kern w:val="0"/>
      <w:sz w:val="22"/>
      <w:szCs w:val="22"/>
      <w:lang w:val="nl-NL"/>
      <w14:ligatures w14:val="none"/>
    </w:rPr>
  </w:style>
  <w:style w:type="table" w:customStyle="1" w:styleId="Onopgemaaktetabel21">
    <w:name w:val="Onopgemaakte tabel 21"/>
    <w:basedOn w:val="TableNormal"/>
    <w:uiPriority w:val="42"/>
    <w:rsid w:val="008C13A9"/>
    <w:pPr>
      <w:spacing w:after="0" w:line="240" w:lineRule="auto"/>
    </w:pPr>
    <w:rPr>
      <w:kern w:val="0"/>
      <w:sz w:val="22"/>
      <w:szCs w:val="22"/>
      <w:lang w:val="nl-NL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8C13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13A9"/>
    <w:rPr>
      <w:kern w:val="0"/>
      <w:sz w:val="22"/>
      <w:szCs w:val="22"/>
      <w:lang w:val="nl-NL"/>
      <w14:ligatures w14:val="none"/>
    </w:rPr>
  </w:style>
  <w:style w:type="table" w:customStyle="1" w:styleId="PlainTable21">
    <w:name w:val="Plain Table 21"/>
    <w:basedOn w:val="TableNormal"/>
    <w:uiPriority w:val="42"/>
    <w:rsid w:val="008C13A9"/>
    <w:pPr>
      <w:spacing w:after="0" w:line="240" w:lineRule="auto"/>
    </w:pPr>
    <w:rPr>
      <w:kern w:val="0"/>
      <w:sz w:val="22"/>
      <w:szCs w:val="22"/>
      <w:lang w:val="nl-NL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794</Words>
  <Characters>4526</Characters>
  <Application>Microsoft Office Word</Application>
  <DocSecurity>0</DocSecurity>
  <Lines>37</Lines>
  <Paragraphs>10</Paragraphs>
  <ScaleCrop>false</ScaleCrop>
  <Company>Springer Nature</Company>
  <LinksUpToDate>false</LinksUpToDate>
  <CharactersWithSpaces>5310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2025-06-09T05:16:00Z</dcterms:created>
  <dcterms:modified xsi:type="dcterms:W3CDTF">2025-06-09T05:16:00Z</dcterms:modified>
</cp:coreProperties>
</file>