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2"/>
        <w:rPr>
          <w:b w:val="0"/>
        </w:rPr>
      </w:pPr>
      <w:r>
        <w:t>Supplementary Material</w:t>
      </w:r>
    </w:p>
    <w:p w14:paraId="5E584EE8">
      <w:pPr>
        <w:pStyle w:val="2"/>
      </w:pPr>
      <w:r>
        <w:t>Supplementary  Tables</w:t>
      </w:r>
    </w:p>
    <w:p w14:paraId="44FFA272">
      <w:pPr>
        <w:adjustRightInd/>
        <w:snapToGrid/>
        <w:spacing w:line="220" w:lineRule="atLeas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Calculation of ROR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.</w:t>
      </w:r>
    </w:p>
    <w:tbl>
      <w:tblPr>
        <w:tblStyle w:val="21"/>
        <w:tblW w:w="9104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63"/>
        <w:gridCol w:w="2822"/>
      </w:tblGrid>
      <w:tr w14:paraId="194F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FBE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F8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target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AE</w:t>
            </w:r>
          </w:p>
        </w:tc>
        <w:tc>
          <w:tcPr>
            <w:tcW w:w="2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0F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without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target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AE</w:t>
            </w:r>
          </w:p>
        </w:tc>
      </w:tr>
      <w:tr w14:paraId="7E62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 w14:paraId="7E16CD71"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ticagrelor</w:t>
            </w:r>
          </w:p>
        </w:tc>
        <w:tc>
          <w:tcPr>
            <w:tcW w:w="3163" w:type="dxa"/>
            <w:tcBorders>
              <w:top w:val="single" w:color="auto" w:sz="4" w:space="0"/>
            </w:tcBorders>
            <w:vAlign w:val="center"/>
          </w:tcPr>
          <w:p w14:paraId="3740278A"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822" w:type="dxa"/>
            <w:tcBorders>
              <w:top w:val="single" w:color="auto" w:sz="4" w:space="0"/>
            </w:tcBorders>
            <w:vAlign w:val="center"/>
          </w:tcPr>
          <w:p w14:paraId="140EDB38"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</w:tr>
      <w:tr w14:paraId="74EF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 w14:paraId="6CBAAF97"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without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ticagrelor</w:t>
            </w:r>
          </w:p>
        </w:tc>
        <w:tc>
          <w:tcPr>
            <w:tcW w:w="3163" w:type="dxa"/>
            <w:tcBorders>
              <w:bottom w:val="single" w:color="auto" w:sz="4" w:space="0"/>
            </w:tcBorders>
            <w:vAlign w:val="center"/>
          </w:tcPr>
          <w:p w14:paraId="697B81A8"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2822" w:type="dxa"/>
            <w:tcBorders>
              <w:bottom w:val="single" w:color="auto" w:sz="4" w:space="0"/>
            </w:tcBorders>
            <w:vAlign w:val="center"/>
          </w:tcPr>
          <w:p w14:paraId="12690C71"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d</w:t>
            </w:r>
          </w:p>
        </w:tc>
      </w:tr>
    </w:tbl>
    <w:p w14:paraId="01AA128D">
      <w:pPr>
        <w:spacing w:after="0" w:line="360" w:lineRule="auto"/>
        <w:jc w:val="both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6EB379B">
      <w:pPr>
        <w:spacing w:after="0" w:line="480" w:lineRule="auto"/>
        <w:jc w:val="both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a, number of reports containing both the target drug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(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ticagrelor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and </w:t>
      </w:r>
      <w:bookmarkStart w:id="0" w:name="OLE_LINK3"/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target</w:t>
      </w:r>
      <w:bookmarkEnd w:id="0"/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AE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; b, number of reports containing other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AEs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of the target drug; c, number of reports containing the target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AE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of other drugs; d, number of reports containing other drugs and other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AEs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.          </w:t>
      </w:r>
    </w:p>
    <w:p w14:paraId="7C617088">
      <w:pPr>
        <w:spacing w:after="0" w:line="480" w:lineRule="auto"/>
        <w:jc w:val="both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AEs, Adverse Events; ROR, Reporting Odds Ratio; CI, confidence interval.</w:t>
      </w:r>
    </w:p>
    <w:p w14:paraId="6814E5E1">
      <w:pPr>
        <w:spacing w:after="0" w:line="480" w:lineRule="auto"/>
        <w:jc w:val="both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The calculation formulas are shown below:</w:t>
      </w:r>
    </w:p>
    <w:p w14:paraId="32F0537A">
      <w:pPr>
        <w:numPr>
          <w:ilvl w:val="0"/>
          <w:numId w:val="3"/>
        </w:numPr>
        <w:spacing w:line="480" w:lineRule="auto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等线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ROR=ad/b/c</w:t>
      </w:r>
    </w:p>
    <w:p w14:paraId="39CAF941">
      <w:pPr>
        <w:numPr>
          <w:ilvl w:val="0"/>
          <w:numId w:val="3"/>
        </w:numPr>
        <w:spacing w:line="480" w:lineRule="auto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95%CI=e</w:t>
      </w:r>
      <w:r>
        <w:rPr>
          <w:rFonts w:ascii="Times New Roman" w:hAnsi="Times New Roman" w:eastAsia="等线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ln(ROR)±1.96(1/a+1/b+1/c+1/d)^0.5</w:t>
      </w:r>
    </w:p>
    <w:p w14:paraId="367F2553">
      <w:pPr>
        <w:spacing w:line="220" w:lineRule="atLeast"/>
        <w:rPr>
          <w:rFonts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6D451D">
      <w:r>
        <w:br w:type="page"/>
      </w:r>
    </w:p>
    <w:p w14:paraId="613ABF3E">
      <w:pPr>
        <w:spacing w:line="480" w:lineRule="auto"/>
        <w:jc w:val="both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Criteria and relevant scores to prioritize AEs emerged from disproportionality analysis.</w:t>
      </w:r>
    </w:p>
    <w:tbl>
      <w:tblPr>
        <w:tblStyle w:val="2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7"/>
        <w:gridCol w:w="1352"/>
        <w:gridCol w:w="1231"/>
        <w:gridCol w:w="1133"/>
      </w:tblGrid>
      <w:tr w14:paraId="3E64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3240DF">
            <w:pPr>
              <w:adjustRightInd/>
              <w:snapToGrid/>
              <w:spacing w:after="0" w:line="360" w:lineRule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Criteri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um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A1B8E19">
            <w:pPr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 points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A0D4F08">
            <w:pPr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 point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5AE6B8">
            <w:pPr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0 point</w:t>
            </w:r>
          </w:p>
        </w:tc>
      </w:tr>
      <w:tr w14:paraId="5A9D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E59B">
            <w:pPr>
              <w:adjustRightInd/>
              <w:snapToGrid/>
              <w:spacing w:after="0"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Reporting rate (cases/non-cases)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F621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&gt;10%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FBF2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1-10%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25CB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0-1%</w:t>
            </w:r>
          </w:p>
        </w:tc>
      </w:tr>
      <w:tr w14:paraId="50EA8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EA1C">
            <w:pPr>
              <w:adjustRightInd/>
              <w:snapToGrid/>
              <w:spacing w:after="0"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Signal stability (consistency across disproportionality analyses)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6926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 of 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6BD5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of 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EB30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 of 3</w:t>
            </w:r>
          </w:p>
        </w:tc>
      </w:tr>
      <w:tr w14:paraId="32B58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9A82">
            <w:pPr>
              <w:adjustRightInd/>
              <w:snapToGrid/>
              <w:spacing w:after="0"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Reported case fatality rate (proportion of reports with death as outcome)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90E3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4110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25-50%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7103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1" w:name="OLE_LINK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&lt;</w:t>
            </w:r>
            <w:bookmarkEnd w:id="1"/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25%</w:t>
            </w:r>
          </w:p>
        </w:tc>
      </w:tr>
      <w:tr w14:paraId="1693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DAF62">
            <w:pPr>
              <w:adjustRightInd/>
              <w:snapToGrid/>
              <w:spacing w:after="0"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Clinical relevance</w:t>
            </w:r>
          </w:p>
          <w:p w14:paraId="5650BA8D">
            <w:pPr>
              <w:adjustRightInd/>
              <w:snapToGrid/>
              <w:spacing w:after="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(serious likely drug-attributable AEs)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A790609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DME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5BEF98F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IME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A17B6E9">
            <w:pPr>
              <w:adjustRightInd/>
              <w:snapToGrid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None</w:t>
            </w:r>
          </w:p>
        </w:tc>
      </w:tr>
    </w:tbl>
    <w:p w14:paraId="0F0DA8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AEs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adverse events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 xml:space="preserve"> DME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designated medical event</w:t>
      </w:r>
      <w:r>
        <w:rPr>
          <w:rFonts w:hint="eastAsia" w:ascii="Times New Roman" w:hAnsi="Times New Roman" w:cs="Times New Roman"/>
          <w:lang w:val="en-US" w:eastAsia="zh-CN"/>
        </w:rPr>
        <w:t>;I</w:t>
      </w:r>
      <w:r>
        <w:rPr>
          <w:rFonts w:hint="default" w:ascii="Times New Roman" w:hAnsi="Times New Roman" w:cs="Times New Roman"/>
        </w:rPr>
        <w:t>ME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important medical event</w:t>
      </w:r>
    </w:p>
    <w:p w14:paraId="17EC3CD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E7950B7">
      <w:pPr>
        <w:widowControl w:val="0"/>
        <w:adjustRightInd/>
        <w:snapToGrid/>
        <w:spacing w:after="0" w:line="480" w:lineRule="auto"/>
        <w:jc w:val="both"/>
        <w:rPr>
          <w:rFonts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S3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. Signal strength of reports of 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ticagrelor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 at the SOC level in FAERS database.</w:t>
      </w:r>
    </w:p>
    <w:tbl>
      <w:tblPr>
        <w:tblStyle w:val="21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1928"/>
        <w:gridCol w:w="2069"/>
      </w:tblGrid>
      <w:tr w14:paraId="10C4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5452">
            <w:pPr>
              <w:widowControl w:val="0"/>
              <w:adjustRightInd/>
              <w:snapToGrid/>
              <w:spacing w:after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>System Organ Class (SOC)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54EA">
            <w:pPr>
              <w:widowControl w:val="0"/>
              <w:adjustRightInd/>
              <w:snapToGrid/>
              <w:spacing w:after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 w:bidi="ar"/>
              </w:rPr>
              <w:t>ticagrelor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>ases</w:t>
            </w:r>
          </w:p>
          <w:p w14:paraId="4D2B4A1C">
            <w:pPr>
              <w:widowControl w:val="0"/>
              <w:adjustRightInd/>
              <w:snapToGrid/>
              <w:spacing w:after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>eporting SOC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327C">
            <w:pPr>
              <w:widowControl w:val="0"/>
              <w:adjustRightInd/>
              <w:snapToGrid/>
              <w:spacing w:after="0" w:line="288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bidi="ar"/>
              </w:rPr>
              <w:t>ROR(95% CI)</w:t>
            </w:r>
          </w:p>
        </w:tc>
      </w:tr>
      <w:tr w14:paraId="1C85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General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isorders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dministration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onditions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8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8394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F5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 ( 0.92 - 0.97 )</w:t>
            </w:r>
          </w:p>
        </w:tc>
      </w:tr>
      <w:tr w14:paraId="0B23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4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Respiratory,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horacic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ediastinal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BD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5779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E5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 ( 2.52 - 2.66 )</w:t>
            </w:r>
          </w:p>
        </w:tc>
      </w:tr>
      <w:tr w14:paraId="612B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ardiac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EB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5394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7B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4.43 ( 4.31 - 4.56 )</w:t>
            </w:r>
          </w:p>
        </w:tc>
      </w:tr>
      <w:tr w14:paraId="0E70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Gastrointestinal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0FD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4479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D16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 ( 1.01 - 1.08 )</w:t>
            </w:r>
          </w:p>
        </w:tc>
      </w:tr>
      <w:tr w14:paraId="42CB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Nervous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ystem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29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4479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81A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 ( 1.02 - 1.09 )</w:t>
            </w:r>
          </w:p>
        </w:tc>
      </w:tr>
      <w:tr w14:paraId="56F9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Injury,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oisoning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rocedural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omplications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7A3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8E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 ( 0.88 - 0.94 )</w:t>
            </w:r>
          </w:p>
        </w:tc>
      </w:tr>
      <w:tr w14:paraId="0E7B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A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5B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F12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 ( 0.89 - 0.96 )</w:t>
            </w:r>
          </w:p>
        </w:tc>
      </w:tr>
      <w:tr w14:paraId="3B1A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Vascular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23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8BB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 ( 2.15 - 2.34 )</w:t>
            </w:r>
          </w:p>
        </w:tc>
      </w:tr>
      <w:tr w14:paraId="12CE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Psychiatric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50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22D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 ( 0.58 - 0.64 )</w:t>
            </w:r>
          </w:p>
        </w:tc>
      </w:tr>
      <w:tr w14:paraId="555D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Skin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ubcutaneous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issue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A87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B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 ( 0.54 - 0.6 )</w:t>
            </w:r>
          </w:p>
        </w:tc>
      </w:tr>
      <w:tr w14:paraId="799E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Musculoskeletal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onnective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issue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B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6A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 ( 0.53 - 0.59 )</w:t>
            </w:r>
          </w:p>
        </w:tc>
      </w:tr>
      <w:tr w14:paraId="3A72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Blood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ymphatic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ystem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E9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7BD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 ( 1.31 - 1.47 )</w:t>
            </w:r>
          </w:p>
        </w:tc>
      </w:tr>
      <w:tr w14:paraId="4F8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Infections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nfestations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53D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60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 ( 0.38 - 0.42 )</w:t>
            </w:r>
          </w:p>
        </w:tc>
      </w:tr>
      <w:tr w14:paraId="77D4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Renal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rinary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D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C62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 ( 0.87 - 0.99 )</w:t>
            </w:r>
          </w:p>
        </w:tc>
      </w:tr>
      <w:tr w14:paraId="1AFD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Metabolism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utrition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DA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CFB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 ( 0.62 - 0.71 )</w:t>
            </w:r>
          </w:p>
        </w:tc>
      </w:tr>
      <w:tr w14:paraId="68BB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Eye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80F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F8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 ( 0.59 - 0.68 )</w:t>
            </w:r>
          </w:p>
        </w:tc>
      </w:tr>
      <w:tr w14:paraId="5EDF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E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Product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ssues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005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5BC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 ( 0.69 - 0.81 )</w:t>
            </w:r>
          </w:p>
        </w:tc>
      </w:tr>
      <w:tr w14:paraId="121B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Neoplasms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enign,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alignant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nspecified (Incl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ysts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olyps)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96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7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 ( 0.31 - 0.38 )</w:t>
            </w:r>
          </w:p>
        </w:tc>
      </w:tr>
      <w:tr w14:paraId="0D41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1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Hepatobiliary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A2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2BF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 ( 0.62 - 0.77 )</w:t>
            </w:r>
          </w:p>
        </w:tc>
      </w:tr>
      <w:tr w14:paraId="585F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Ear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abyrinth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B8E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98E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 ( 1.28 - 1.6 )</w:t>
            </w:r>
          </w:p>
        </w:tc>
      </w:tr>
      <w:tr w14:paraId="5AC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Immune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ystem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E0F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1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 ( 0.41 - 0.52 )</w:t>
            </w:r>
          </w:p>
        </w:tc>
      </w:tr>
      <w:tr w14:paraId="3E1F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Surgical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edical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rocedures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49A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39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 ( 0.23 - 0.31 )</w:t>
            </w:r>
          </w:p>
        </w:tc>
      </w:tr>
      <w:tr w14:paraId="0DFE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Reproductive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ystem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reast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65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F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 ( 0.32 - 0.43 )</w:t>
            </w:r>
          </w:p>
        </w:tc>
      </w:tr>
      <w:tr w14:paraId="0A6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Social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ircumstances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9C3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F0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 ( 0.45 - 0.65 )</w:t>
            </w:r>
          </w:p>
        </w:tc>
      </w:tr>
      <w:tr w14:paraId="698E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Endocrine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3B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1C1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 ( 0.25 - 0.45 )</w:t>
            </w:r>
          </w:p>
        </w:tc>
      </w:tr>
      <w:tr w14:paraId="514D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Congenital,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amilial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enetic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isorders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B38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96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 ( 0.05 - 0.15 )</w:t>
            </w:r>
          </w:p>
        </w:tc>
      </w:tr>
      <w:tr w14:paraId="627E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Pregnancy,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uerperium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erinatal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onditions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499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D2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 ( 0.01 - 0.06 )</w:t>
            </w:r>
          </w:p>
        </w:tc>
      </w:tr>
    </w:tbl>
    <w:p w14:paraId="3E3BF0F1">
      <w:pPr>
        <w:spacing w:line="360" w:lineRule="auto"/>
        <w:rPr>
          <w:sz w:val="24"/>
          <w:szCs w:val="24"/>
        </w:rPr>
      </w:pPr>
      <w:bookmarkStart w:id="2" w:name="OLE_LINK4"/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*</w:t>
      </w:r>
      <w:bookmarkEnd w:id="2"/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 indicates statistically significant signals in algorithm. ROR, reporting odds ratio; CI, confidence interval.</w:t>
      </w:r>
    </w:p>
    <w:p w14:paraId="545CC88D">
      <w:pPr>
        <w:spacing w:before="240"/>
      </w:pPr>
      <w:bookmarkStart w:id="3" w:name="_GoBack"/>
      <w:bookmarkEnd w:id="3"/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2D094CB2"/>
    <w:multiLevelType w:val="singleLevel"/>
    <w:tmpl w:val="2D094CB2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53F4B47"/>
    <w:rsid w:val="1125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4</Pages>
  <Words>125</Words>
  <Characters>695</Characters>
  <Lines>6</Lines>
  <Paragraphs>1</Paragraphs>
  <TotalTime>0</TotalTime>
  <ScaleCrop>false</ScaleCrop>
  <LinksUpToDate>false</LinksUpToDate>
  <CharactersWithSpaces>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深年</cp:lastModifiedBy>
  <cp:lastPrinted>2013-10-03T12:51:00Z</cp:lastPrinted>
  <dcterms:modified xsi:type="dcterms:W3CDTF">2025-05-28T07:24:35Z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eyJoZGlkIjoiYjk4MGUwNDI4Yjc0ZGYwNjU2N2EyZjc3MzY2MmU2ZWQiLCJ1c2VySWQiOiIxMzI3NTA1NjM1In0=</vt:lpwstr>
  </property>
  <property fmtid="{D5CDD505-2E9C-101B-9397-08002B2CF9AE}" pid="11" name="KSOProductBuildVer">
    <vt:lpwstr>2052-12.1.0.21171</vt:lpwstr>
  </property>
  <property fmtid="{D5CDD505-2E9C-101B-9397-08002B2CF9AE}" pid="12" name="ICV">
    <vt:lpwstr>6ADBD64DE7474F3288463426906A51E2_13</vt:lpwstr>
  </property>
</Properties>
</file>