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71C5DD" w14:textId="77777777" w:rsidR="00E778E4" w:rsidRPr="006A57E3" w:rsidRDefault="00E778E4" w:rsidP="00E778E4">
      <w:pPr>
        <w:pStyle w:val="NormalWeb"/>
        <w:spacing w:line="360" w:lineRule="auto"/>
        <w:jc w:val="both"/>
        <w:rPr>
          <w:b/>
          <w:bCs/>
        </w:rPr>
      </w:pPr>
      <w:r w:rsidRPr="006A57E3">
        <w:rPr>
          <w:b/>
          <w:bCs/>
        </w:rPr>
        <w:t>Supplementary material.</w:t>
      </w:r>
    </w:p>
    <w:p w14:paraId="51C074E5" w14:textId="77777777" w:rsidR="00E778E4" w:rsidRPr="00E022CC" w:rsidRDefault="00E778E4" w:rsidP="00E778E4">
      <w:pPr>
        <w:pStyle w:val="NormalWeb"/>
        <w:spacing w:line="360" w:lineRule="auto"/>
        <w:jc w:val="both"/>
      </w:pPr>
      <w:r>
        <w:rPr>
          <w:noProof/>
        </w:rPr>
        <w:drawing>
          <wp:inline distT="0" distB="0" distL="0" distR="0" wp14:anchorId="199FE92D" wp14:editId="26C12B35">
            <wp:extent cx="5814060" cy="5576945"/>
            <wp:effectExtent l="0" t="0" r="0" b="5080"/>
            <wp:docPr id="2000634536" name="Imagen 2" descr="Patrón de fond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634536" name="Imagen 2" descr="Patrón de fond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342" cy="558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14537" w14:textId="77777777" w:rsidR="00E778E4" w:rsidRPr="0027526F" w:rsidRDefault="00E778E4" w:rsidP="00E778E4">
      <w:pPr>
        <w:pStyle w:val="NormalWeb"/>
        <w:spacing w:line="360" w:lineRule="auto"/>
        <w:jc w:val="both"/>
      </w:pPr>
      <w:r w:rsidRPr="0027526F">
        <w:rPr>
          <w:b/>
          <w:bCs/>
        </w:rPr>
        <w:t xml:space="preserve">Supplementary Figure 1. </w:t>
      </w:r>
      <w:r w:rsidRPr="0027526F">
        <w:t xml:space="preserve">Tiles scan 10X. ID8DVLuc cells identified in ascites by GFP expression. </w:t>
      </w:r>
      <w:r w:rsidRPr="0027526F">
        <w:rPr>
          <w:b/>
          <w:bCs/>
        </w:rPr>
        <w:t>A)</w:t>
      </w:r>
      <w:r w:rsidRPr="0027526F">
        <w:t xml:space="preserve"> Blue, nuclei. </w:t>
      </w:r>
      <w:r w:rsidRPr="0027526F">
        <w:rPr>
          <w:b/>
          <w:bCs/>
        </w:rPr>
        <w:t>B)</w:t>
      </w:r>
      <w:r w:rsidRPr="0027526F">
        <w:t xml:space="preserve"> Red, FUT4-AF647; </w:t>
      </w:r>
      <w:r w:rsidRPr="0027526F">
        <w:rPr>
          <w:b/>
          <w:bCs/>
        </w:rPr>
        <w:t>C)</w:t>
      </w:r>
      <w:r w:rsidRPr="0027526F">
        <w:t xml:space="preserve"> Green, ID8DVLuc-GFP. </w:t>
      </w:r>
      <w:r w:rsidRPr="00CC1167">
        <w:rPr>
          <w:b/>
          <w:bCs/>
        </w:rPr>
        <w:t>D)</w:t>
      </w:r>
      <w:r w:rsidRPr="0027526F">
        <w:t xml:space="preserve"> Merge. All the cells displayed were both GFP- and FUT4-positive.</w:t>
      </w:r>
    </w:p>
    <w:p w14:paraId="4BD92885" w14:textId="77777777" w:rsidR="00E778E4" w:rsidRDefault="00E778E4" w:rsidP="00E778E4">
      <w:pPr>
        <w:pStyle w:val="NormalWeb"/>
        <w:spacing w:line="360" w:lineRule="auto"/>
        <w:jc w:val="both"/>
      </w:pPr>
    </w:p>
    <w:p w14:paraId="64F4527A" w14:textId="77777777" w:rsidR="00E778E4" w:rsidRPr="0027526F" w:rsidRDefault="00E778E4" w:rsidP="00E778E4">
      <w:pPr>
        <w:pStyle w:val="NormalWeb"/>
        <w:spacing w:line="360" w:lineRule="auto"/>
        <w:jc w:val="both"/>
      </w:pPr>
      <w:r>
        <w:rPr>
          <w:b/>
          <w:bCs/>
          <w:noProof/>
          <w14:ligatures w14:val="standardContextual"/>
        </w:rPr>
        <w:lastRenderedPageBreak/>
        <w:drawing>
          <wp:inline distT="0" distB="0" distL="0" distR="0" wp14:anchorId="5BA34B25" wp14:editId="07D2D2AA">
            <wp:extent cx="5256408" cy="7468881"/>
            <wp:effectExtent l="0" t="0" r="0" b="0"/>
            <wp:docPr id="348911996" name="Imagen 1" descr="Vista desde una ventan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911996" name="Imagen 1" descr="Vista desde una ventana&#10;&#10;El contenido generado por IA puede ser incorrecto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751" cy="74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35F1">
        <w:rPr>
          <w:b/>
          <w:bCs/>
        </w:rPr>
        <w:t>Supplementary Figure 2.</w:t>
      </w:r>
      <w:r>
        <w:t xml:space="preserve"> Histological analysis of immunized mice. Representative images of each group are shown at 10X and 40X magnification. The samples were stained with H&amp;E.</w:t>
      </w:r>
    </w:p>
    <w:p w14:paraId="0C0CFC33" w14:textId="77777777" w:rsidR="00E778E4" w:rsidRPr="00DD3DB5" w:rsidRDefault="00E778E4" w:rsidP="00E778E4">
      <w:pPr>
        <w:pStyle w:val="NormalWeb"/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26C5BCE0" wp14:editId="5CAF288A">
            <wp:extent cx="5612130" cy="4130040"/>
            <wp:effectExtent l="0" t="0" r="7620" b="3810"/>
            <wp:docPr id="161008687" name="Imagen 3" descr="Imagen que contiene 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08687" name="Imagen 3" descr="Imagen que contiene Interfaz de usuario gráfic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3DB5">
        <w:rPr>
          <w:b/>
          <w:bCs/>
        </w:rPr>
        <w:t>Supplementary Figure 3. Complete and not edited gel and membranes.</w:t>
      </w:r>
      <w:r>
        <w:t xml:space="preserve"> A) RT‒PCR </w:t>
      </w:r>
      <w:proofErr w:type="spellStart"/>
      <w:r>
        <w:t>fw</w:t>
      </w:r>
      <w:proofErr w:type="spellEnd"/>
      <w:r>
        <w:t xml:space="preserve">: </w:t>
      </w:r>
      <w:r w:rsidRPr="00DD3DB5">
        <w:rPr>
          <w:b/>
          <w:bCs/>
        </w:rPr>
        <w:t>GGATGAACTTCGAATCGCCC</w:t>
      </w:r>
      <w:r>
        <w:t xml:space="preserve">, </w:t>
      </w:r>
      <w:proofErr w:type="spellStart"/>
      <w:r>
        <w:t>rv</w:t>
      </w:r>
      <w:proofErr w:type="spellEnd"/>
      <w:r>
        <w:t xml:space="preserve">: </w:t>
      </w:r>
      <w:r w:rsidRPr="00DD3DB5">
        <w:rPr>
          <w:b/>
          <w:bCs/>
        </w:rPr>
        <w:t>AGCTGGTGGTAGTAACGGAC</w:t>
      </w:r>
      <w:r>
        <w:t xml:space="preserve">. B) Western blot. Anti-FUT4 rabbit </w:t>
      </w:r>
      <w:proofErr w:type="spellStart"/>
      <w:r>
        <w:t>pAb</w:t>
      </w:r>
      <w:proofErr w:type="spellEnd"/>
      <w:r>
        <w:t xml:space="preserve"> (</w:t>
      </w:r>
      <w:proofErr w:type="spellStart"/>
      <w:r>
        <w:t>ABclonal</w:t>
      </w:r>
      <w:proofErr w:type="spellEnd"/>
      <w:r>
        <w:t>. The catalog number was A16320 (dilution: 1:1000), and the Western blot detection reagent used was HRP (1:400).</w:t>
      </w:r>
    </w:p>
    <w:p w14:paraId="6933D6E3" w14:textId="77777777" w:rsidR="00E778E4" w:rsidRPr="00770299" w:rsidRDefault="00E778E4" w:rsidP="00E778E4">
      <w:pPr>
        <w:pStyle w:val="NormalWeb"/>
        <w:spacing w:line="360" w:lineRule="auto"/>
        <w:jc w:val="both"/>
      </w:pPr>
    </w:p>
    <w:p w14:paraId="04C7C2AC" w14:textId="77777777" w:rsidR="00E778E4" w:rsidRPr="005A67CF" w:rsidRDefault="00E778E4" w:rsidP="00E778E4">
      <w:pPr>
        <w:pStyle w:val="NormalWeb"/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0DF220E6" wp14:editId="2B96E0A9">
            <wp:extent cx="5608955" cy="6523355"/>
            <wp:effectExtent l="0" t="0" r="0" b="0"/>
            <wp:docPr id="582857047" name="Imagen 2" descr="Gráfico, Gráfico de rectángulo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857047" name="Imagen 2" descr="Gráfico, Gráfico de rectángulo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652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3EBCA" w14:textId="77777777" w:rsidR="00E778E4" w:rsidRPr="0061550A" w:rsidRDefault="00E778E4" w:rsidP="00E778E4">
      <w:pPr>
        <w:pStyle w:val="NormalWeb"/>
        <w:spacing w:line="360" w:lineRule="auto"/>
        <w:jc w:val="both"/>
      </w:pPr>
      <w:r w:rsidRPr="008116CE">
        <w:rPr>
          <w:b/>
          <w:bCs/>
        </w:rPr>
        <w:t xml:space="preserve">Supplementary Figure 4. Gene ontology analysis of ascitic fluid cells from </w:t>
      </w:r>
      <w:r w:rsidRPr="00715CA1">
        <w:rPr>
          <w:b/>
          <w:bCs/>
          <w:i/>
          <w:iCs/>
        </w:rPr>
        <w:t>f</w:t>
      </w:r>
      <w:r w:rsidRPr="008116CE">
        <w:rPr>
          <w:b/>
          <w:bCs/>
        </w:rPr>
        <w:t>-CNT-immunized mice.</w:t>
      </w:r>
      <w:r>
        <w:t xml:space="preserve"> </w:t>
      </w:r>
      <w:r w:rsidRPr="008116CE">
        <w:rPr>
          <w:b/>
          <w:bCs/>
        </w:rPr>
        <w:t>A)</w:t>
      </w:r>
      <w:r w:rsidRPr="003A743F">
        <w:t xml:space="preserve"> </w:t>
      </w:r>
      <w:proofErr w:type="spellStart"/>
      <w:r w:rsidRPr="003A743F">
        <w:t>Treemap</w:t>
      </w:r>
      <w:proofErr w:type="spellEnd"/>
      <w:r w:rsidRPr="003A743F">
        <w:t xml:space="preserve"> plot. </w:t>
      </w:r>
      <w:proofErr w:type="spellStart"/>
      <w:r w:rsidRPr="003A743F">
        <w:t>Treemaps</w:t>
      </w:r>
      <w:proofErr w:type="spellEnd"/>
      <w:r w:rsidRPr="003A743F">
        <w:t xml:space="preserve"> are space-filling visualizations of hierarchical structures. The terms are grouped (colored) </w:t>
      </w:r>
      <w:r>
        <w:t xml:space="preserve">based on </w:t>
      </w:r>
      <w:r w:rsidRPr="003A743F">
        <w:t xml:space="preserve">their parent, and the space used by the term is proportional to the score. </w:t>
      </w:r>
      <w:r w:rsidRPr="008116CE">
        <w:rPr>
          <w:b/>
          <w:bCs/>
        </w:rPr>
        <w:t>B)</w:t>
      </w:r>
      <w:r>
        <w:t xml:space="preserve"> Top 20 terms from the GO functional analysis of the CC category. </w:t>
      </w:r>
      <w:r w:rsidRPr="008116CE">
        <w:rPr>
          <w:b/>
          <w:bCs/>
        </w:rPr>
        <w:t>C)</w:t>
      </w:r>
      <w:r>
        <w:t xml:space="preserve"> Top 20 terms of GO functional analysis from the molecular function category.</w:t>
      </w:r>
    </w:p>
    <w:p w14:paraId="25F9A423" w14:textId="77777777" w:rsidR="00E778E4" w:rsidRPr="00E022CC" w:rsidRDefault="00E778E4" w:rsidP="00E778E4">
      <w:pPr>
        <w:pStyle w:val="NormalWeb"/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12F9E4CD" wp14:editId="56357AA6">
            <wp:extent cx="5608955" cy="6523355"/>
            <wp:effectExtent l="0" t="0" r="0" b="0"/>
            <wp:docPr id="458863553" name="Imagen 1" descr="Gráfico, Gráfico de rectángulo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863553" name="Imagen 1" descr="Gráfico, Gráfico de rectángulo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652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2F77F" w14:textId="46B32819" w:rsidR="00921580" w:rsidRPr="00E778E4" w:rsidRDefault="00E778E4" w:rsidP="00E778E4">
      <w:pPr>
        <w:pStyle w:val="NormalWeb"/>
        <w:spacing w:line="360" w:lineRule="auto"/>
        <w:jc w:val="both"/>
      </w:pPr>
      <w:r w:rsidRPr="008116CE">
        <w:rPr>
          <w:b/>
          <w:bCs/>
        </w:rPr>
        <w:t>Supplementary Figure 5. Gene ontology analysis of ascitic fluid cells from PEP37-immunized mice.</w:t>
      </w:r>
      <w:r>
        <w:t xml:space="preserve"> </w:t>
      </w:r>
      <w:r w:rsidRPr="008116CE">
        <w:rPr>
          <w:b/>
          <w:bCs/>
        </w:rPr>
        <w:t>A)</w:t>
      </w:r>
      <w:r w:rsidRPr="003A743F">
        <w:t xml:space="preserve"> </w:t>
      </w:r>
      <w:proofErr w:type="spellStart"/>
      <w:r w:rsidRPr="003A743F">
        <w:t>Treemap</w:t>
      </w:r>
      <w:proofErr w:type="spellEnd"/>
      <w:r w:rsidRPr="003A743F">
        <w:t xml:space="preserve"> plot. </w:t>
      </w:r>
      <w:proofErr w:type="spellStart"/>
      <w:r w:rsidRPr="003A743F">
        <w:t>Treemaps</w:t>
      </w:r>
      <w:proofErr w:type="spellEnd"/>
      <w:r w:rsidRPr="003A743F">
        <w:t xml:space="preserve"> are space-filling visualizations of hierarchical structures. The terms are grouped (colored) </w:t>
      </w:r>
      <w:r>
        <w:t xml:space="preserve">based on </w:t>
      </w:r>
      <w:r w:rsidRPr="003A743F">
        <w:t xml:space="preserve">their parent, and the space used by the term is proportional to the score. </w:t>
      </w:r>
      <w:r w:rsidRPr="008116CE">
        <w:rPr>
          <w:b/>
          <w:bCs/>
        </w:rPr>
        <w:t>B)</w:t>
      </w:r>
      <w:r>
        <w:t xml:space="preserve"> Top 20 terms from the GO functional analysis of the CC category. </w:t>
      </w:r>
      <w:r w:rsidRPr="008116CE">
        <w:rPr>
          <w:b/>
          <w:bCs/>
        </w:rPr>
        <w:t>C)</w:t>
      </w:r>
      <w:r>
        <w:t xml:space="preserve"> Top 20 terms of GO functional analysis from the molecular function category.</w:t>
      </w:r>
    </w:p>
    <w:sectPr w:rsidR="00921580" w:rsidRPr="00E778E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78E4"/>
    <w:rsid w:val="003D5B18"/>
    <w:rsid w:val="004462C7"/>
    <w:rsid w:val="00647139"/>
    <w:rsid w:val="00892B28"/>
    <w:rsid w:val="00921580"/>
    <w:rsid w:val="00996D0D"/>
    <w:rsid w:val="00A54CDB"/>
    <w:rsid w:val="00DC49D7"/>
    <w:rsid w:val="00E778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18331D4"/>
  <w15:chartTrackingRefBased/>
  <w15:docId w15:val="{EBEB3E51-7723-49E8-BEF3-725F63872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E778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E778E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E778E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E778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E778E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E778E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E778E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E778E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E778E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E778E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E778E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E778E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E778E4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E778E4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E778E4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E778E4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E778E4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E778E4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E778E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E778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E778E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E778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E778E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E778E4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E778E4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E778E4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E778E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E778E4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E778E4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E778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US" w:eastAsia="es-MX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242</Words>
  <Characters>1368</Characters>
  <Application>Microsoft Office Word</Application>
  <DocSecurity>0</DocSecurity>
  <Lines>27</Lines>
  <Paragraphs>6</Paragraphs>
  <ScaleCrop>false</ScaleCrop>
  <Company/>
  <LinksUpToDate>false</LinksUpToDate>
  <CharactersWithSpaces>1604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José Jesús Guzmán Mendoza</dc:creator>
  <cp:keywords/>
  <dc:description/>
  <cp:lastModifiedBy>José Jesús Guzmán Mendoza</cp:lastModifiedBy>
  <cp:revision>1</cp:revision>
  <dcterms:created xsi:type="dcterms:W3CDTF">2025-04-05T16:40:00Z</dcterms:created>
  <dcterms:modified xsi:type="dcterms:W3CDTF">2025-04-05T16:42:00Z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e7480b2f-ffc5-4e6e-8495-8d928ce35402</vt:lpwstr>
  </property>
</Properties>
</file>