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E36B1" w14:textId="77777777" w:rsidR="00CE11A4" w:rsidRPr="00330C6E" w:rsidRDefault="00CE11A4" w:rsidP="00CE11A4">
      <w:pPr>
        <w:tabs>
          <w:tab w:val="left" w:pos="537"/>
        </w:tabs>
        <w:spacing w:line="360" w:lineRule="auto"/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330C6E">
        <w:rPr>
          <w:rFonts w:ascii="Calibri" w:eastAsiaTheme="minorHAnsi" w:hAnsi="Calibri" w:cs="Calibri"/>
          <w:b/>
          <w:bCs/>
          <w:i/>
          <w:iCs/>
          <w:color w:val="000000"/>
          <w:sz w:val="22"/>
          <w:szCs w:val="22"/>
          <w:lang w:val="en-GB" w:eastAsia="en-US"/>
          <w14:ligatures w14:val="standardContextual"/>
        </w:rPr>
        <w:t xml:space="preserve">Saccharomyces cerevisiae </w:t>
      </w:r>
      <w:r w:rsidRPr="00330C6E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GB" w:eastAsia="en-US"/>
          <w14:ligatures w14:val="standardContextual"/>
        </w:rPr>
        <w:t>reduces vulvovaginal candidiasis severity through modulation of fungal pathogenicity and inflammatory responses</w:t>
      </w:r>
    </w:p>
    <w:p w14:paraId="0284E651" w14:textId="77777777" w:rsidR="00CE11A4" w:rsidRPr="00E71E82" w:rsidRDefault="00CE11A4" w:rsidP="00CE11A4">
      <w:pPr>
        <w:tabs>
          <w:tab w:val="left" w:pos="537"/>
        </w:tabs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F8465E0" w14:textId="77777777" w:rsidR="00CE11A4" w:rsidRPr="0092481F" w:rsidRDefault="00CE11A4" w:rsidP="00CE11A4">
      <w:pPr>
        <w:spacing w:line="360" w:lineRule="auto"/>
        <w:jc w:val="both"/>
        <w:rPr>
          <w:rFonts w:ascii="Calibri" w:hAnsi="Calibri" w:cs="Calibri"/>
          <w:sz w:val="22"/>
          <w:szCs w:val="22"/>
          <w:vertAlign w:val="superscript"/>
        </w:rPr>
      </w:pPr>
      <w:r w:rsidRPr="00A168B4">
        <w:rPr>
          <w:rFonts w:ascii="Calibri" w:hAnsi="Calibri" w:cs="Calibri"/>
          <w:b/>
          <w:bCs/>
          <w:sz w:val="22"/>
          <w:szCs w:val="22"/>
        </w:rPr>
        <w:t>Mart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Sillen</w:t>
      </w:r>
      <w:r w:rsidRPr="00A168B4">
        <w:rPr>
          <w:rFonts w:ascii="Calibri" w:hAnsi="Calibri" w:cs="Calibri"/>
          <w:b/>
          <w:bCs/>
          <w:sz w:val="22"/>
          <w:szCs w:val="22"/>
          <w:vertAlign w:val="superscript"/>
        </w:rPr>
        <w:t>1</w:t>
      </w:r>
      <w:r>
        <w:rPr>
          <w:rFonts w:ascii="Calibri" w:hAnsi="Calibri" w:cs="Calibri"/>
          <w:b/>
          <w:bCs/>
          <w:sz w:val="22"/>
          <w:szCs w:val="22"/>
          <w:vertAlign w:val="superscript"/>
        </w:rPr>
        <w:t>,2</w:t>
      </w:r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Dania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El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Abyad</w:t>
      </w:r>
      <w:r w:rsidRPr="00A168B4">
        <w:rPr>
          <w:rFonts w:ascii="Calibri" w:hAnsi="Calibri" w:cs="Calibri"/>
          <w:sz w:val="22"/>
          <w:szCs w:val="22"/>
          <w:vertAlign w:val="superscript"/>
        </w:rPr>
        <w:t>1</w:t>
      </w:r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Nina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Vreys</w:t>
      </w:r>
      <w:r w:rsidRPr="00A168B4">
        <w:rPr>
          <w:rFonts w:ascii="Calibri" w:hAnsi="Calibri" w:cs="Calibri"/>
          <w:sz w:val="22"/>
          <w:szCs w:val="22"/>
          <w:vertAlign w:val="superscript"/>
        </w:rPr>
        <w:t>1</w:t>
      </w:r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Silke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Baldewijns</w:t>
      </w:r>
      <w:r w:rsidRPr="00A168B4">
        <w:rPr>
          <w:rFonts w:ascii="Calibri" w:hAnsi="Calibri" w:cs="Calibri"/>
          <w:sz w:val="22"/>
          <w:szCs w:val="22"/>
          <w:vertAlign w:val="superscript"/>
        </w:rPr>
        <w:t>1</w:t>
      </w:r>
      <w:r>
        <w:rPr>
          <w:rFonts w:ascii="Calibri" w:hAnsi="Calibri" w:cs="Calibri"/>
          <w:sz w:val="22"/>
          <w:szCs w:val="22"/>
        </w:rPr>
        <w:t xml:space="preserve">, </w:t>
      </w:r>
      <w:r w:rsidRPr="00A168B4">
        <w:rPr>
          <w:rFonts w:ascii="Calibri" w:hAnsi="Calibri" w:cs="Calibri"/>
          <w:sz w:val="22"/>
          <w:szCs w:val="22"/>
        </w:rPr>
        <w:t>Ilse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Palmans</w:t>
      </w:r>
      <w:r w:rsidRPr="00A168B4">
        <w:rPr>
          <w:rFonts w:ascii="Calibri" w:hAnsi="Calibri" w:cs="Calibri"/>
          <w:sz w:val="22"/>
          <w:szCs w:val="22"/>
          <w:vertAlign w:val="superscript"/>
        </w:rPr>
        <w:t>1</w:t>
      </w:r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Odessa Van </w:t>
      </w:r>
      <w:r w:rsidRPr="001965E0">
        <w:rPr>
          <w:rFonts w:ascii="Calibri" w:hAnsi="Calibri" w:cs="Calibri"/>
          <w:sz w:val="22"/>
          <w:szCs w:val="22"/>
        </w:rPr>
        <w:t>Goethem</w:t>
      </w:r>
      <w:r w:rsidRPr="001965E0">
        <w:rPr>
          <w:rFonts w:ascii="Calibri" w:hAnsi="Calibri" w:cs="Calibri"/>
          <w:sz w:val="22"/>
          <w:szCs w:val="22"/>
          <w:vertAlign w:val="superscript"/>
        </w:rPr>
        <w:t>1</w:t>
      </w:r>
      <w:r>
        <w:rPr>
          <w:rFonts w:ascii="Calibri" w:hAnsi="Calibri" w:cs="Calibri"/>
          <w:sz w:val="22"/>
          <w:szCs w:val="22"/>
        </w:rPr>
        <w:t xml:space="preserve">, </w:t>
      </w:r>
      <w:r w:rsidRPr="001965E0">
        <w:rPr>
          <w:rFonts w:ascii="Calibri" w:hAnsi="Calibri" w:cs="Calibri"/>
          <w:sz w:val="22"/>
          <w:szCs w:val="22"/>
        </w:rPr>
        <w:t>Kar</w:t>
      </w:r>
      <w:r>
        <w:rPr>
          <w:rFonts w:ascii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sz w:val="22"/>
          <w:szCs w:val="22"/>
        </w:rPr>
        <w:t>On</w:t>
      </w:r>
      <w:proofErr w:type="gramEnd"/>
      <w:r>
        <w:rPr>
          <w:rFonts w:ascii="Calibri" w:hAnsi="Calibri" w:cs="Calibri"/>
          <w:sz w:val="22"/>
          <w:szCs w:val="22"/>
        </w:rPr>
        <w:t xml:space="preserve"> Cheng</w:t>
      </w:r>
      <w:r>
        <w:rPr>
          <w:rFonts w:ascii="Calibri" w:hAnsi="Calibri" w:cs="Calibri"/>
          <w:sz w:val="22"/>
          <w:szCs w:val="22"/>
          <w:vertAlign w:val="superscript"/>
        </w:rPr>
        <w:t>3</w:t>
      </w:r>
      <w:r>
        <w:rPr>
          <w:rFonts w:ascii="Calibri" w:hAnsi="Calibri" w:cs="Calibri"/>
          <w:sz w:val="22"/>
          <w:szCs w:val="22"/>
        </w:rPr>
        <w:t xml:space="preserve">, Greetje Vande </w:t>
      </w:r>
      <w:r w:rsidRPr="00F713B6">
        <w:rPr>
          <w:rFonts w:ascii="Calibri" w:hAnsi="Calibri" w:cs="Calibri"/>
          <w:sz w:val="22"/>
          <w:szCs w:val="22"/>
        </w:rPr>
        <w:t>Velde</w:t>
      </w:r>
      <w:r w:rsidRPr="00F713B6">
        <w:rPr>
          <w:rFonts w:ascii="Calibri" w:hAnsi="Calibri" w:cs="Calibri"/>
          <w:sz w:val="22"/>
          <w:szCs w:val="22"/>
          <w:vertAlign w:val="superscript"/>
        </w:rPr>
        <w:t>4</w:t>
      </w:r>
      <w:r>
        <w:rPr>
          <w:rFonts w:ascii="Calibri" w:hAnsi="Calibri" w:cs="Calibri"/>
          <w:sz w:val="22"/>
          <w:szCs w:val="22"/>
        </w:rPr>
        <w:t xml:space="preserve">, </w:t>
      </w:r>
      <w:r w:rsidRPr="00F713B6">
        <w:rPr>
          <w:rFonts w:ascii="Calibri" w:hAnsi="Calibri" w:cs="Calibri"/>
          <w:sz w:val="22"/>
          <w:szCs w:val="22"/>
        </w:rPr>
        <w:t>Dolly E Montaño</w:t>
      </w:r>
      <w:r>
        <w:rPr>
          <w:rFonts w:ascii="Calibri" w:hAnsi="Calibri" w:cs="Calibri"/>
          <w:sz w:val="22"/>
          <w:szCs w:val="22"/>
          <w:vertAlign w:val="superscript"/>
        </w:rPr>
        <w:t>3</w:t>
      </w:r>
      <w:r>
        <w:rPr>
          <w:rFonts w:ascii="Calibri" w:hAnsi="Calibri" w:cs="Calibri"/>
          <w:sz w:val="22"/>
          <w:szCs w:val="22"/>
        </w:rPr>
        <w:t>, Mieke Gouwy</w:t>
      </w:r>
      <w:r>
        <w:rPr>
          <w:rFonts w:ascii="Calibri" w:hAnsi="Calibri" w:cs="Calibri"/>
          <w:sz w:val="22"/>
          <w:szCs w:val="22"/>
          <w:vertAlign w:val="superscript"/>
        </w:rPr>
        <w:t>5</w:t>
      </w:r>
      <w:r>
        <w:rPr>
          <w:rFonts w:ascii="Calibri" w:hAnsi="Calibri" w:cs="Calibri"/>
          <w:sz w:val="22"/>
          <w:szCs w:val="22"/>
        </w:rPr>
        <w:t xml:space="preserve">, </w:t>
      </w:r>
      <w:r w:rsidRPr="00F713B6">
        <w:rPr>
          <w:rFonts w:ascii="Calibri" w:hAnsi="Calibri" w:cs="Calibri"/>
          <w:sz w:val="22"/>
          <w:szCs w:val="22"/>
        </w:rPr>
        <w:t>Agustin R. Sharpe</w:t>
      </w:r>
      <w:r w:rsidRPr="00F713B6">
        <w:rPr>
          <w:rFonts w:ascii="Calibri" w:hAnsi="Calibri" w:cs="Calibri"/>
          <w:sz w:val="22"/>
          <w:szCs w:val="22"/>
          <w:vertAlign w:val="superscript"/>
        </w:rPr>
        <w:t>4</w:t>
      </w:r>
      <w:r w:rsidRPr="00F713B6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Axel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Dietschmann</w:t>
      </w:r>
      <w:r>
        <w:rPr>
          <w:rFonts w:ascii="Calibri" w:hAnsi="Calibri" w:cs="Calibri"/>
          <w:sz w:val="22"/>
          <w:szCs w:val="22"/>
          <w:vertAlign w:val="superscript"/>
        </w:rPr>
        <w:t>3</w:t>
      </w:r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Paul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Vandecruys</w:t>
      </w:r>
      <w:r w:rsidRPr="00A168B4">
        <w:rPr>
          <w:rFonts w:ascii="Calibri" w:hAnsi="Calibri" w:cs="Calibri"/>
          <w:sz w:val="22"/>
          <w:szCs w:val="22"/>
          <w:vertAlign w:val="superscript"/>
        </w:rPr>
        <w:t>1</w:t>
      </w:r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Sarah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Lebeer</w:t>
      </w:r>
      <w:r>
        <w:rPr>
          <w:rFonts w:ascii="Calibri" w:hAnsi="Calibri" w:cs="Calibri"/>
          <w:sz w:val="22"/>
          <w:szCs w:val="22"/>
          <w:vertAlign w:val="superscript"/>
        </w:rPr>
        <w:t>2</w:t>
      </w:r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Liesbeth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Demuyser</w:t>
      </w:r>
      <w:r w:rsidRPr="00A168B4">
        <w:rPr>
          <w:rFonts w:ascii="Calibri" w:hAnsi="Calibri" w:cs="Calibri"/>
          <w:sz w:val="22"/>
          <w:szCs w:val="22"/>
          <w:vertAlign w:val="superscript"/>
        </w:rPr>
        <w:t>1</w:t>
      </w:r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Mark</w:t>
      </w:r>
      <w:r>
        <w:rPr>
          <w:rFonts w:ascii="Calibri" w:hAnsi="Calibri" w:cs="Calibri"/>
          <w:sz w:val="22"/>
          <w:szCs w:val="22"/>
        </w:rPr>
        <w:t xml:space="preserve"> </w:t>
      </w:r>
      <w:r w:rsidRPr="0080248F">
        <w:rPr>
          <w:rFonts w:ascii="Calibri" w:hAnsi="Calibri" w:cs="Calibri"/>
          <w:sz w:val="22"/>
          <w:szCs w:val="22"/>
        </w:rPr>
        <w:t>S.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Gresnigt</w:t>
      </w:r>
      <w:proofErr w:type="gramStart"/>
      <w:r>
        <w:rPr>
          <w:rFonts w:ascii="Calibri" w:hAnsi="Calibri" w:cs="Calibri"/>
          <w:sz w:val="22"/>
          <w:szCs w:val="22"/>
          <w:vertAlign w:val="superscript"/>
        </w:rPr>
        <w:t>3,*</w:t>
      </w:r>
      <w:proofErr w:type="gramEnd"/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Patrick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Van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Dijck</w:t>
      </w:r>
      <w:r w:rsidRPr="00A168B4">
        <w:rPr>
          <w:rFonts w:ascii="Calibri" w:hAnsi="Calibri" w:cs="Calibri"/>
          <w:sz w:val="22"/>
          <w:szCs w:val="22"/>
          <w:vertAlign w:val="superscript"/>
        </w:rPr>
        <w:t>1</w:t>
      </w:r>
      <w:r>
        <w:rPr>
          <w:rFonts w:ascii="Calibri" w:hAnsi="Calibri" w:cs="Calibri"/>
          <w:sz w:val="22"/>
          <w:szCs w:val="22"/>
          <w:vertAlign w:val="superscript"/>
        </w:rPr>
        <w:t>,</w:t>
      </w:r>
      <w:proofErr w:type="gramStart"/>
      <w:r>
        <w:rPr>
          <w:rFonts w:ascii="Calibri" w:hAnsi="Calibri" w:cs="Calibri"/>
          <w:sz w:val="22"/>
          <w:szCs w:val="22"/>
          <w:vertAlign w:val="superscript"/>
        </w:rPr>
        <w:t>6</w:t>
      </w:r>
      <w:r w:rsidRPr="00C85724">
        <w:rPr>
          <w:rFonts w:ascii="Calibri" w:hAnsi="Calibri" w:cs="Calibri"/>
          <w:sz w:val="22"/>
          <w:szCs w:val="22"/>
          <w:vertAlign w:val="superscript"/>
        </w:rPr>
        <w:t>,*</w:t>
      </w:r>
      <w:proofErr w:type="gramEnd"/>
    </w:p>
    <w:p w14:paraId="554521E9" w14:textId="77777777" w:rsidR="00CE11A4" w:rsidRDefault="00CE11A4" w:rsidP="00CE11A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832C8D3" w14:textId="77777777" w:rsidR="00CE11A4" w:rsidRDefault="00CE11A4" w:rsidP="00CE11A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F4F370C" w14:textId="77777777" w:rsidR="00CE11A4" w:rsidRDefault="00CE11A4" w:rsidP="00CE11A4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SUPPLEMENTARY MATERIALS</w:t>
      </w:r>
    </w:p>
    <w:p w14:paraId="66F809DC" w14:textId="77777777" w:rsidR="00CE11A4" w:rsidRDefault="00CE11A4" w:rsidP="00B54C26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538B6E2" w14:textId="23D61533" w:rsidR="00B54C26" w:rsidRPr="00A168B4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1662B28A" wp14:editId="67149767">
            <wp:simplePos x="0" y="0"/>
            <wp:positionH relativeFrom="column">
              <wp:posOffset>-609600</wp:posOffset>
            </wp:positionH>
            <wp:positionV relativeFrom="paragraph">
              <wp:posOffset>762000</wp:posOffset>
            </wp:positionV>
            <wp:extent cx="6953885" cy="8089900"/>
            <wp:effectExtent l="0" t="0" r="5715" b="0"/>
            <wp:wrapTopAndBottom/>
            <wp:docPr id="658971577" name="Picture 15" descr="A chart with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71577" name="Picture 15" descr="A chart with different colored lines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6" b="10280"/>
                    <a:stretch/>
                  </pic:blipFill>
                  <pic:spPr bwMode="auto">
                    <a:xfrm>
                      <a:off x="0" y="0"/>
                      <a:ext cx="6953885" cy="808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8B4">
        <w:rPr>
          <w:rFonts w:ascii="Calibri" w:hAnsi="Calibri" w:cs="Calibri"/>
          <w:b/>
          <w:bCs/>
          <w:sz w:val="22"/>
          <w:szCs w:val="22"/>
        </w:rPr>
        <w:t>Supplementary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Table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1.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Overview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of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i/>
          <w:iCs/>
          <w:sz w:val="22"/>
          <w:szCs w:val="22"/>
        </w:rPr>
        <w:t>S.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i/>
          <w:iCs/>
          <w:sz w:val="22"/>
          <w:szCs w:val="22"/>
        </w:rPr>
        <w:t>cerevisiae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isolates.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Detailing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their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background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performance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in</w:t>
      </w:r>
      <w:r>
        <w:rPr>
          <w:rFonts w:ascii="Calibri" w:hAnsi="Calibri" w:cs="Calibri"/>
          <w:sz w:val="22"/>
          <w:szCs w:val="22"/>
        </w:rPr>
        <w:t xml:space="preserve"> inhibiting </w:t>
      </w:r>
      <w:r>
        <w:rPr>
          <w:rFonts w:ascii="Calibri" w:hAnsi="Calibri" w:cs="Calibri"/>
          <w:i/>
          <w:iCs/>
          <w:sz w:val="22"/>
          <w:szCs w:val="22"/>
        </w:rPr>
        <w:t xml:space="preserve">C. albicans </w:t>
      </w:r>
      <w:r w:rsidRPr="00A168B4">
        <w:rPr>
          <w:rFonts w:ascii="Calibri" w:hAnsi="Calibri" w:cs="Calibri"/>
          <w:sz w:val="22"/>
          <w:szCs w:val="22"/>
        </w:rPr>
        <w:t>CA3153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pathogenicity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(Growth,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Adhesion,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Filamentation).</w:t>
      </w:r>
      <w:r>
        <w:rPr>
          <w:rFonts w:ascii="Calibri" w:hAnsi="Calibri" w:cs="Calibri"/>
          <w:sz w:val="22"/>
          <w:szCs w:val="22"/>
        </w:rPr>
        <w:t xml:space="preserve"> The strains</w:t>
      </w:r>
      <w:r w:rsidRPr="005E567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selected for further investigation are highlighted. </w:t>
      </w:r>
    </w:p>
    <w:p w14:paraId="0BCCBE91" w14:textId="77777777" w:rsidR="00B54C26" w:rsidRPr="00306DFE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291C56A6" wp14:editId="3F34E0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342255"/>
            <wp:effectExtent l="0" t="0" r="0" b="4445"/>
            <wp:wrapTopAndBottom/>
            <wp:docPr id="382698873" name="Picture 1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98873" name="Picture 11" descr="A screenshot of a graph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9"/>
                    <a:stretch/>
                  </pic:blipFill>
                  <pic:spPr bwMode="auto">
                    <a:xfrm>
                      <a:off x="0" y="0"/>
                      <a:ext cx="5731510" cy="534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Supplementary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Fig.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1: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Effects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of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i/>
          <w:iCs/>
          <w:noProof/>
          <w:sz w:val="22"/>
          <w:szCs w:val="22"/>
        </w:rPr>
        <w:t>S.</w:t>
      </w:r>
      <w:r>
        <w:rPr>
          <w:rFonts w:ascii="Calibri" w:hAnsi="Calibri" w:cs="Calibri"/>
          <w:b/>
          <w:bCs/>
          <w:i/>
          <w:i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i/>
          <w:iCs/>
          <w:noProof/>
          <w:sz w:val="22"/>
          <w:szCs w:val="22"/>
        </w:rPr>
        <w:t>cerevisiae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on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i/>
          <w:iCs/>
          <w:noProof/>
          <w:sz w:val="22"/>
          <w:szCs w:val="22"/>
        </w:rPr>
        <w:t>C.</w:t>
      </w:r>
      <w:r>
        <w:rPr>
          <w:rFonts w:ascii="Calibri" w:hAnsi="Calibri" w:cs="Calibri"/>
          <w:b/>
          <w:bCs/>
          <w:i/>
          <w:i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i/>
          <w:iCs/>
          <w:noProof/>
          <w:sz w:val="22"/>
          <w:szCs w:val="22"/>
        </w:rPr>
        <w:t>albicans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growth,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adhesion,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and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filamentation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by</w:t>
      </w:r>
      <w:r>
        <w:rPr>
          <w:rFonts w:ascii="Calibri" w:hAnsi="Calibri" w:cs="Calibri"/>
          <w:b/>
          <w:bCs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b/>
          <w:bCs/>
          <w:noProof/>
          <w:sz w:val="22"/>
          <w:szCs w:val="22"/>
        </w:rPr>
        <w:t>origin.</w:t>
      </w:r>
      <w:r>
        <w:rPr>
          <w:rFonts w:ascii="Calibri" w:hAnsi="Calibri" w:cs="Calibri"/>
          <w:noProof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heatmaps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represent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three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conditions: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Growth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on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VSM,</w:t>
      </w:r>
      <w:r>
        <w:rPr>
          <w:rFonts w:ascii="Calibri" w:hAnsi="Calibri" w:cs="Calibri"/>
          <w:sz w:val="22"/>
          <w:szCs w:val="22"/>
        </w:rPr>
        <w:t xml:space="preserve"> g</w:t>
      </w:r>
      <w:r w:rsidRPr="00306DFE">
        <w:rPr>
          <w:rFonts w:ascii="Calibri" w:hAnsi="Calibri" w:cs="Calibri"/>
          <w:sz w:val="22"/>
          <w:szCs w:val="22"/>
        </w:rPr>
        <w:t>rowth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on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RPMI,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a</w:t>
      </w:r>
      <w:r w:rsidRPr="00306DFE">
        <w:rPr>
          <w:rFonts w:ascii="Calibri" w:hAnsi="Calibri" w:cs="Calibri"/>
          <w:sz w:val="22"/>
          <w:szCs w:val="22"/>
        </w:rPr>
        <w:t>dhesion,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with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color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intensities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indicating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Ca:Sc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ratio.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Green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corresponds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low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ratios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(approaching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0),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transitioning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through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white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red,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representing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high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ratios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(up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10).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Adjacent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these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growth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heatmaps,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filamentation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degree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is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depicted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as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categorical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variable,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color-coded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as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follows: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yellow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for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degree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(</w:t>
      </w:r>
      <w:proofErr w:type="spellStart"/>
      <w:r w:rsidRPr="00306DFE">
        <w:rPr>
          <w:rFonts w:ascii="Calibri" w:hAnsi="Calibri" w:cs="Calibri"/>
          <w:sz w:val="22"/>
          <w:szCs w:val="22"/>
        </w:rPr>
        <w:t>pseudohyphae</w:t>
      </w:r>
      <w:proofErr w:type="spellEnd"/>
      <w:r w:rsidRPr="00306DFE">
        <w:rPr>
          <w:rFonts w:ascii="Calibri" w:hAnsi="Calibri" w:cs="Calibri"/>
          <w:sz w:val="22"/>
          <w:szCs w:val="22"/>
        </w:rPr>
        <w:t>),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orange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for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degree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(few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hyphae),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red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for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degree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(abundant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hyphae).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colored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bars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on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left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denote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origin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i/>
          <w:iCs/>
          <w:sz w:val="22"/>
          <w:szCs w:val="22"/>
        </w:rPr>
        <w:t>S.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306DFE">
        <w:rPr>
          <w:rFonts w:ascii="Calibri" w:hAnsi="Calibri" w:cs="Calibri"/>
          <w:i/>
          <w:iCs/>
          <w:sz w:val="22"/>
          <w:szCs w:val="22"/>
        </w:rPr>
        <w:t>cerevisiae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strains,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providing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clear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visual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representation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strain-specific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phenotypic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variability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across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different</w:t>
      </w:r>
      <w:r>
        <w:rPr>
          <w:rFonts w:ascii="Calibri" w:hAnsi="Calibri" w:cs="Calibri"/>
          <w:sz w:val="22"/>
          <w:szCs w:val="22"/>
        </w:rPr>
        <w:t xml:space="preserve"> </w:t>
      </w:r>
      <w:r w:rsidRPr="00306DFE">
        <w:rPr>
          <w:rFonts w:ascii="Calibri" w:hAnsi="Calibri" w:cs="Calibri"/>
          <w:sz w:val="22"/>
          <w:szCs w:val="22"/>
        </w:rPr>
        <w:t>conditions.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48B77892" w14:textId="77777777" w:rsidR="00B54C26" w:rsidRPr="00A168B4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1996636" w14:textId="77777777" w:rsidR="00B54C26" w:rsidRPr="00A168B4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4F2F20C" w14:textId="77777777" w:rsidR="00B54C26" w:rsidRPr="00A168B4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73C7453" w14:textId="77777777" w:rsidR="00B54C26" w:rsidRPr="00A168B4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5477650" w14:textId="77777777" w:rsidR="00B54C26" w:rsidRPr="00100245" w:rsidRDefault="00B54C26" w:rsidP="00B54C26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A168B4">
        <w:rPr>
          <w:rFonts w:ascii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6AA27D55" wp14:editId="100D3E1D">
            <wp:simplePos x="0" y="0"/>
            <wp:positionH relativeFrom="column">
              <wp:posOffset>591704</wp:posOffset>
            </wp:positionH>
            <wp:positionV relativeFrom="paragraph">
              <wp:posOffset>55822</wp:posOffset>
            </wp:positionV>
            <wp:extent cx="4292600" cy="4851400"/>
            <wp:effectExtent l="0" t="0" r="0" b="0"/>
            <wp:wrapTopAndBottom/>
            <wp:docPr id="1998183169" name="Picture 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83169" name="Picture 6" descr="A screenshot of a grap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8B4">
        <w:rPr>
          <w:rFonts w:ascii="Calibri" w:hAnsi="Calibri" w:cs="Calibri"/>
          <w:b/>
          <w:bCs/>
          <w:sz w:val="22"/>
          <w:szCs w:val="22"/>
        </w:rPr>
        <w:t>Fig.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S2: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Evaluation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of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top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candidate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i/>
          <w:iCs/>
          <w:sz w:val="22"/>
          <w:szCs w:val="22"/>
        </w:rPr>
        <w:t>S.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i/>
          <w:iCs/>
          <w:sz w:val="22"/>
          <w:szCs w:val="22"/>
        </w:rPr>
        <w:t>cerevisiae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isolates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for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inhibitory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properties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against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>C. albicans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in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RPMI.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A.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Inhibition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i/>
          <w:iCs/>
          <w:sz w:val="22"/>
          <w:szCs w:val="22"/>
        </w:rPr>
        <w:t>C. albicans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growth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by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i/>
          <w:iCs/>
          <w:sz w:val="22"/>
          <w:szCs w:val="22"/>
        </w:rPr>
        <w:t>S.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A168B4">
        <w:rPr>
          <w:rFonts w:ascii="Calibri" w:hAnsi="Calibri" w:cs="Calibri"/>
          <w:i/>
          <w:iCs/>
          <w:sz w:val="22"/>
          <w:szCs w:val="22"/>
        </w:rPr>
        <w:t>cerevisiae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isolates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(A-I,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LC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=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lab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control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S288</w:t>
      </w:r>
      <w:r>
        <w:rPr>
          <w:rFonts w:ascii="Calibri" w:hAnsi="Calibri" w:cs="Calibri"/>
          <w:sz w:val="22"/>
          <w:szCs w:val="22"/>
        </w:rPr>
        <w:t>C</w:t>
      </w:r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IC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=</w:t>
      </w:r>
      <w:r>
        <w:rPr>
          <w:rFonts w:ascii="Calibri" w:hAnsi="Calibri" w:cs="Calibri"/>
          <w:sz w:val="22"/>
          <w:szCs w:val="22"/>
        </w:rPr>
        <w:t xml:space="preserve"> probiotic standard CNCM </w:t>
      </w:r>
      <w:r w:rsidRPr="00A168B4">
        <w:rPr>
          <w:rFonts w:ascii="Calibri" w:hAnsi="Calibri" w:cs="Calibri"/>
          <w:sz w:val="22"/>
          <w:szCs w:val="22"/>
        </w:rPr>
        <w:t>I-3856)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RPMI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after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6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hours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(upper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panel)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24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hours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(lower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panel).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C.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Inhibition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 w:rsidRPr="004A1AA6">
        <w:rPr>
          <w:rFonts w:ascii="Calibri" w:hAnsi="Calibri" w:cs="Calibri"/>
          <w:i/>
          <w:iCs/>
          <w:sz w:val="22"/>
          <w:szCs w:val="22"/>
        </w:rPr>
        <w:t>C.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4A1AA6">
        <w:rPr>
          <w:rFonts w:ascii="Calibri" w:hAnsi="Calibri" w:cs="Calibri"/>
          <w:i/>
          <w:iCs/>
          <w:sz w:val="22"/>
          <w:szCs w:val="22"/>
        </w:rPr>
        <w:t>albicans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filamentation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by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i/>
          <w:iCs/>
          <w:sz w:val="22"/>
          <w:szCs w:val="22"/>
        </w:rPr>
        <w:t>S.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A168B4">
        <w:rPr>
          <w:rFonts w:ascii="Calibri" w:hAnsi="Calibri" w:cs="Calibri"/>
          <w:i/>
          <w:iCs/>
          <w:sz w:val="22"/>
          <w:szCs w:val="22"/>
        </w:rPr>
        <w:t>cerevisiae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VSM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after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hours.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All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values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are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presented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mean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±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standard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deviation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(</w:t>
      </w:r>
      <w:proofErr w:type="spellStart"/>
      <w:r w:rsidRPr="00A168B4">
        <w:rPr>
          <w:rFonts w:ascii="Calibri" w:hAnsi="Calibri" w:cs="Calibri"/>
          <w:sz w:val="22"/>
          <w:szCs w:val="22"/>
        </w:rPr>
        <w:t>s.d.</w:t>
      </w:r>
      <w:proofErr w:type="spellEnd"/>
      <w:r w:rsidRPr="00A168B4">
        <w:rPr>
          <w:rFonts w:ascii="Calibri" w:hAnsi="Calibri" w:cs="Calibri"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from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n≥2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independent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experiments,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with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dots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representing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mean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technical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replicates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individual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experiments.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Data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were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transformed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using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Box-Cox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transformation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meet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linear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regression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assumptions.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Statistical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significance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was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determined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using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one-sample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t-test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against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theoretical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mean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0%,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representing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i/>
          <w:iCs/>
          <w:sz w:val="22"/>
          <w:szCs w:val="22"/>
        </w:rPr>
        <w:t>C.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100245">
        <w:rPr>
          <w:rFonts w:ascii="Calibri" w:hAnsi="Calibri" w:cs="Calibri"/>
          <w:i/>
          <w:iCs/>
          <w:sz w:val="22"/>
          <w:szCs w:val="22"/>
        </w:rPr>
        <w:t>albicans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alone.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Significant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differences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are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indicated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as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*p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&lt;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0.05,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**p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&lt;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0.01,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***p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&lt;</w:t>
      </w:r>
      <w:r>
        <w:rPr>
          <w:rFonts w:ascii="Calibri" w:hAnsi="Calibri" w:cs="Calibri"/>
          <w:sz w:val="22"/>
          <w:szCs w:val="22"/>
        </w:rPr>
        <w:t xml:space="preserve"> </w:t>
      </w:r>
      <w:r w:rsidRPr="00100245">
        <w:rPr>
          <w:rFonts w:ascii="Calibri" w:hAnsi="Calibri" w:cs="Calibri"/>
          <w:sz w:val="22"/>
          <w:szCs w:val="22"/>
        </w:rPr>
        <w:t>0.001.</w:t>
      </w:r>
    </w:p>
    <w:p w14:paraId="71928C96" w14:textId="77777777" w:rsidR="00B54C26" w:rsidRPr="00A168B4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E28592B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CF19812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B63AF06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A3E53C5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4207732" w14:textId="77777777" w:rsidR="00B54C26" w:rsidRPr="00A168B4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C898FB4" w14:textId="77777777" w:rsidR="00B54C26" w:rsidRPr="008D2AEF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34DC8D43" wp14:editId="0C24243A">
            <wp:simplePos x="0" y="0"/>
            <wp:positionH relativeFrom="column">
              <wp:posOffset>1721037</wp:posOffset>
            </wp:positionH>
            <wp:positionV relativeFrom="paragraph">
              <wp:posOffset>107315</wp:posOffset>
            </wp:positionV>
            <wp:extent cx="2278743" cy="3048000"/>
            <wp:effectExtent l="0" t="0" r="0" b="0"/>
            <wp:wrapTopAndBottom/>
            <wp:docPr id="646191699" name="Picture 6" descr="A chart with numbers and a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91699" name="Picture 6" descr="A chart with numbers and a bar char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74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74A">
        <w:rPr>
          <w:rFonts w:ascii="Calibri" w:hAnsi="Calibri" w:cs="Calibri"/>
          <w:b/>
          <w:bCs/>
          <w:sz w:val="22"/>
          <w:szCs w:val="22"/>
        </w:rPr>
        <w:t>Fig.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2674A">
        <w:rPr>
          <w:rFonts w:ascii="Calibri" w:hAnsi="Calibri" w:cs="Calibri"/>
          <w:b/>
          <w:bCs/>
          <w:sz w:val="22"/>
          <w:szCs w:val="22"/>
        </w:rPr>
        <w:t>S3: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b/>
          <w:bCs/>
          <w:i/>
          <w:iCs/>
          <w:sz w:val="22"/>
          <w:szCs w:val="22"/>
        </w:rPr>
        <w:t>S.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32674A">
        <w:rPr>
          <w:rFonts w:ascii="Calibri" w:hAnsi="Calibri" w:cs="Calibri"/>
          <w:b/>
          <w:bCs/>
          <w:i/>
          <w:iCs/>
          <w:sz w:val="22"/>
          <w:szCs w:val="22"/>
        </w:rPr>
        <w:t>cerevisiae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2674A">
        <w:rPr>
          <w:rFonts w:ascii="Calibri" w:hAnsi="Calibri" w:cs="Calibri"/>
          <w:b/>
          <w:bCs/>
          <w:sz w:val="22"/>
          <w:szCs w:val="22"/>
        </w:rPr>
        <w:t>modulates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F8625D">
        <w:rPr>
          <w:rFonts w:ascii="Calibri" w:hAnsi="Calibri" w:cs="Calibri"/>
          <w:b/>
          <w:bCs/>
          <w:i/>
          <w:iCs/>
          <w:sz w:val="22"/>
          <w:szCs w:val="22"/>
        </w:rPr>
        <w:t>C.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F8625D">
        <w:rPr>
          <w:rFonts w:ascii="Calibri" w:hAnsi="Calibri" w:cs="Calibri"/>
          <w:b/>
          <w:bCs/>
          <w:i/>
          <w:iCs/>
          <w:sz w:val="22"/>
          <w:szCs w:val="22"/>
        </w:rPr>
        <w:t>albicans</w:t>
      </w:r>
      <w:r>
        <w:rPr>
          <w:rFonts w:ascii="Calibri" w:hAnsi="Calibri" w:cs="Calibri"/>
          <w:b/>
          <w:bCs/>
          <w:sz w:val="22"/>
          <w:szCs w:val="22"/>
        </w:rPr>
        <w:t xml:space="preserve">-induced VECs </w:t>
      </w:r>
      <w:r w:rsidRPr="0032674A">
        <w:rPr>
          <w:rFonts w:ascii="Calibri" w:hAnsi="Calibri" w:cs="Calibri"/>
          <w:b/>
          <w:bCs/>
          <w:sz w:val="22"/>
          <w:szCs w:val="22"/>
        </w:rPr>
        <w:t>cytokine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2674A">
        <w:rPr>
          <w:rFonts w:ascii="Calibri" w:hAnsi="Calibri" w:cs="Calibri"/>
          <w:b/>
          <w:bCs/>
          <w:sz w:val="22"/>
          <w:szCs w:val="22"/>
        </w:rPr>
        <w:t>release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2674A">
        <w:rPr>
          <w:rFonts w:ascii="Calibri" w:hAnsi="Calibri" w:cs="Calibri"/>
          <w:b/>
          <w:bCs/>
          <w:sz w:val="22"/>
          <w:szCs w:val="22"/>
        </w:rPr>
        <w:t>and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2674A">
        <w:rPr>
          <w:rFonts w:ascii="Calibri" w:hAnsi="Calibri" w:cs="Calibri"/>
          <w:b/>
          <w:bCs/>
          <w:sz w:val="22"/>
          <w:szCs w:val="22"/>
        </w:rPr>
        <w:t>LDH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2674A">
        <w:rPr>
          <w:rFonts w:ascii="Calibri" w:hAnsi="Calibri" w:cs="Calibri"/>
          <w:b/>
          <w:bCs/>
          <w:sz w:val="22"/>
          <w:szCs w:val="22"/>
        </w:rPr>
        <w:t>levels.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Levels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IL-1α,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IL-1Ra,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IL-8,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GM-CSF,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LDH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measured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across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experimental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groups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(A–I)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controls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(Lab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Control</w:t>
      </w:r>
      <w:r>
        <w:rPr>
          <w:rFonts w:ascii="Calibri" w:hAnsi="Calibri" w:cs="Calibri"/>
          <w:sz w:val="22"/>
          <w:szCs w:val="22"/>
        </w:rPr>
        <w:t xml:space="preserve"> (</w:t>
      </w:r>
      <w:r w:rsidRPr="0032674A">
        <w:rPr>
          <w:rFonts w:ascii="Calibri" w:hAnsi="Calibri" w:cs="Calibri"/>
          <w:sz w:val="22"/>
          <w:szCs w:val="22"/>
        </w:rPr>
        <w:t>LC</w:t>
      </w:r>
      <w:r>
        <w:rPr>
          <w:rFonts w:ascii="Calibri" w:hAnsi="Calibri" w:cs="Calibri"/>
          <w:sz w:val="22"/>
          <w:szCs w:val="22"/>
        </w:rPr>
        <w:t>)</w:t>
      </w:r>
      <w:r w:rsidRPr="0032674A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Industrial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Control</w:t>
      </w:r>
      <w:r>
        <w:rPr>
          <w:rFonts w:ascii="Calibri" w:hAnsi="Calibri" w:cs="Calibri"/>
          <w:sz w:val="22"/>
          <w:szCs w:val="22"/>
        </w:rPr>
        <w:t xml:space="preserve"> (</w:t>
      </w:r>
      <w:r w:rsidRPr="0032674A">
        <w:rPr>
          <w:rFonts w:ascii="Calibri" w:hAnsi="Calibri" w:cs="Calibri"/>
          <w:sz w:val="22"/>
          <w:szCs w:val="22"/>
        </w:rPr>
        <w:t>IC</w:t>
      </w:r>
      <w:r>
        <w:rPr>
          <w:rFonts w:ascii="Calibri" w:hAnsi="Calibri" w:cs="Calibri"/>
          <w:sz w:val="22"/>
          <w:szCs w:val="22"/>
        </w:rPr>
        <w:t>)</w:t>
      </w:r>
      <w:r w:rsidRPr="0032674A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Negative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Control</w:t>
      </w:r>
      <w:r>
        <w:rPr>
          <w:rFonts w:ascii="Calibri" w:hAnsi="Calibri" w:cs="Calibri"/>
          <w:sz w:val="22"/>
          <w:szCs w:val="22"/>
        </w:rPr>
        <w:t xml:space="preserve"> (</w:t>
      </w:r>
      <w:r w:rsidRPr="0032674A">
        <w:rPr>
          <w:rFonts w:ascii="Calibri" w:hAnsi="Calibri" w:cs="Calibri"/>
          <w:sz w:val="22"/>
          <w:szCs w:val="22"/>
        </w:rPr>
        <w:t>NC</w:t>
      </w:r>
      <w:r>
        <w:rPr>
          <w:rFonts w:ascii="Calibri" w:hAnsi="Calibri" w:cs="Calibri"/>
          <w:sz w:val="22"/>
          <w:szCs w:val="22"/>
        </w:rPr>
        <w:t>)</w:t>
      </w:r>
      <w:r w:rsidRPr="0032674A">
        <w:rPr>
          <w:rFonts w:ascii="Calibri" w:hAnsi="Calibri" w:cs="Calibri"/>
          <w:sz w:val="22"/>
          <w:szCs w:val="22"/>
        </w:rPr>
        <w:t>).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Conditions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include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treatments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with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varying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combinations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stimuli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or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controls,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as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indicated.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Data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are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displayed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as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heatmap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with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color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scales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representing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relative</w:t>
      </w:r>
      <w:r>
        <w:rPr>
          <w:rFonts w:ascii="Calibri" w:hAnsi="Calibri" w:cs="Calibri"/>
          <w:sz w:val="22"/>
          <w:szCs w:val="22"/>
        </w:rPr>
        <w:t xml:space="preserve"> </w:t>
      </w:r>
      <w:r w:rsidRPr="0032674A">
        <w:rPr>
          <w:rFonts w:ascii="Calibri" w:hAnsi="Calibri" w:cs="Calibri"/>
          <w:sz w:val="22"/>
          <w:szCs w:val="22"/>
        </w:rPr>
        <w:t>intensities</w:t>
      </w:r>
      <w:r>
        <w:rPr>
          <w:rFonts w:ascii="Calibri" w:hAnsi="Calibri" w:cs="Calibri"/>
          <w:sz w:val="22"/>
          <w:szCs w:val="22"/>
        </w:rPr>
        <w:t xml:space="preserve"> from n </w:t>
      </w:r>
      <w:r>
        <w:rPr>
          <w:rFonts w:ascii="Symbol" w:eastAsia="Symbol" w:hAnsi="Symbol" w:cs="Symbol"/>
          <w:sz w:val="22"/>
          <w:szCs w:val="22"/>
        </w:rPr>
        <w:t>³</w:t>
      </w:r>
      <w:r>
        <w:rPr>
          <w:rFonts w:ascii="Calibri" w:hAnsi="Calibri" w:cs="Calibri"/>
          <w:sz w:val="22"/>
          <w:szCs w:val="22"/>
        </w:rPr>
        <w:t xml:space="preserve"> 2 experiments.</w:t>
      </w:r>
    </w:p>
    <w:p w14:paraId="245AE4BA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618E7339" wp14:editId="30E74DB7">
            <wp:simplePos x="0" y="0"/>
            <wp:positionH relativeFrom="column">
              <wp:posOffset>1725259</wp:posOffset>
            </wp:positionH>
            <wp:positionV relativeFrom="paragraph">
              <wp:posOffset>360974</wp:posOffset>
            </wp:positionV>
            <wp:extent cx="1579687" cy="1564784"/>
            <wp:effectExtent l="0" t="0" r="0" b="0"/>
            <wp:wrapTopAndBottom/>
            <wp:docPr id="473610261" name="Picture 5" descr="A diagram of a number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10261" name="Picture 5" descr="A diagram of a number of numb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87" cy="1564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58278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F360AF">
        <w:rPr>
          <w:rFonts w:ascii="Calibri" w:hAnsi="Calibri" w:cs="Calibri"/>
          <w:b/>
          <w:bCs/>
          <w:sz w:val="22"/>
          <w:szCs w:val="22"/>
        </w:rPr>
        <w:t>Fig. S4</w:t>
      </w:r>
      <w:r w:rsidRPr="00AB4897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03793">
        <w:rPr>
          <w:rFonts w:ascii="Calibri" w:hAnsi="Calibri" w:cs="Calibri"/>
          <w:b/>
          <w:bCs/>
          <w:i/>
          <w:iCs/>
          <w:sz w:val="22"/>
          <w:szCs w:val="22"/>
        </w:rPr>
        <w:t xml:space="preserve">S. cerevisiae </w:t>
      </w:r>
      <w:r w:rsidRPr="00703793">
        <w:rPr>
          <w:rFonts w:ascii="Calibri" w:hAnsi="Calibri" w:cs="Calibri"/>
          <w:b/>
          <w:bCs/>
          <w:sz w:val="22"/>
          <w:szCs w:val="22"/>
        </w:rPr>
        <w:t>induces minimal transcriptional changes in</w:t>
      </w:r>
      <w:r w:rsidRPr="00703793">
        <w:rPr>
          <w:rFonts w:ascii="Calibri" w:hAnsi="Calibri" w:cs="Calibri"/>
          <w:b/>
          <w:bCs/>
          <w:i/>
          <w:iCs/>
          <w:sz w:val="22"/>
          <w:szCs w:val="22"/>
        </w:rPr>
        <w:t xml:space="preserve"> C. albicans </w:t>
      </w:r>
      <w:r w:rsidRPr="00703793">
        <w:rPr>
          <w:rFonts w:ascii="Calibri" w:hAnsi="Calibri" w:cs="Calibri"/>
          <w:b/>
          <w:bCs/>
          <w:sz w:val="22"/>
          <w:szCs w:val="22"/>
        </w:rPr>
        <w:t xml:space="preserve">during epithelial infection </w:t>
      </w:r>
      <w:r>
        <w:rPr>
          <w:rFonts w:ascii="Calibri" w:hAnsi="Calibri" w:cs="Calibri"/>
          <w:b/>
          <w:bCs/>
          <w:sz w:val="22"/>
          <w:szCs w:val="22"/>
        </w:rPr>
        <w:t xml:space="preserve">6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hpi</w:t>
      </w:r>
      <w:proofErr w:type="spellEnd"/>
      <w:r w:rsidRPr="00703793">
        <w:rPr>
          <w:rFonts w:ascii="Calibri" w:hAnsi="Calibri" w:cs="Calibri"/>
          <w:b/>
          <w:bCs/>
          <w:sz w:val="22"/>
          <w:szCs w:val="22"/>
        </w:rPr>
        <w:t>.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Heatmap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of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transcriptional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changes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of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i/>
          <w:iCs/>
          <w:color w:val="000000" w:themeColor="text1"/>
          <w:sz w:val="22"/>
          <w:szCs w:val="22"/>
        </w:rPr>
        <w:t>C.</w:t>
      </w:r>
      <w:r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i/>
          <w:iCs/>
          <w:color w:val="000000" w:themeColor="text1"/>
          <w:sz w:val="22"/>
          <w:szCs w:val="22"/>
        </w:rPr>
        <w:t>albicans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upon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exposure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330C6E">
        <w:rPr>
          <w:rFonts w:ascii="Calibri" w:hAnsi="Calibri" w:cs="Calibri"/>
          <w:sz w:val="22"/>
          <w:szCs w:val="22"/>
        </w:rPr>
        <w:t>Sc3458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.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Gene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expression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is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shown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as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Log2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fold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change,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with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significant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downregulation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indicated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(Log2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&gt;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1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or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&lt;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−1,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p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&lt;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0.05).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D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ata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represent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mean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±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standard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deviation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(</w:t>
      </w:r>
      <w:proofErr w:type="spellStart"/>
      <w:r w:rsidRPr="1B856EB2">
        <w:rPr>
          <w:rFonts w:ascii="Calibri" w:hAnsi="Calibri" w:cs="Calibri"/>
          <w:color w:val="000000" w:themeColor="text1"/>
          <w:sz w:val="22"/>
          <w:szCs w:val="22"/>
        </w:rPr>
        <w:t>s.d.</w:t>
      </w:r>
      <w:proofErr w:type="spellEnd"/>
      <w:r w:rsidRPr="1B856EB2">
        <w:rPr>
          <w:rFonts w:ascii="Calibri" w:hAnsi="Calibri" w:cs="Calibri"/>
          <w:color w:val="000000" w:themeColor="text1"/>
          <w:sz w:val="22"/>
          <w:szCs w:val="22"/>
        </w:rPr>
        <w:t>)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from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≥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3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independent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experiments,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with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dots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representing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the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mean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of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technical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replicates.</w:t>
      </w:r>
    </w:p>
    <w:p w14:paraId="446B19B3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BC5B547" w14:textId="77777777" w:rsidR="00B54C26" w:rsidRPr="00F360AF" w:rsidRDefault="00B54C26" w:rsidP="00B54C26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AC8490C" w14:textId="77777777" w:rsidR="00B54C26" w:rsidRPr="00705BCA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168B4">
        <w:rPr>
          <w:rFonts w:ascii="Calibri" w:hAnsi="Calibri" w:cs="Calibri"/>
          <w:noProof/>
          <w:sz w:val="22"/>
          <w:szCs w:val="22"/>
          <w:lang w:val="nl-NL"/>
        </w:rPr>
        <w:lastRenderedPageBreak/>
        <w:drawing>
          <wp:anchor distT="0" distB="0" distL="114300" distR="114300" simplePos="0" relativeHeight="251660288" behindDoc="0" locked="0" layoutInCell="1" allowOverlap="1" wp14:anchorId="349D308F" wp14:editId="2C3BE001">
            <wp:simplePos x="0" y="0"/>
            <wp:positionH relativeFrom="column">
              <wp:posOffset>312234</wp:posOffset>
            </wp:positionH>
            <wp:positionV relativeFrom="paragraph">
              <wp:posOffset>276</wp:posOffset>
            </wp:positionV>
            <wp:extent cx="4944344" cy="7792813"/>
            <wp:effectExtent l="0" t="0" r="0" b="5080"/>
            <wp:wrapTopAndBottom/>
            <wp:docPr id="573567050" name="Picture 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67050" name="Picture 7" descr="A screenshot of a computer scree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344" cy="7792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Fig.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S</w:t>
      </w:r>
      <w:r>
        <w:rPr>
          <w:rFonts w:ascii="Calibri" w:hAnsi="Calibri" w:cs="Calibri"/>
          <w:b/>
          <w:bCs/>
          <w:sz w:val="22"/>
          <w:szCs w:val="22"/>
        </w:rPr>
        <w:t>5</w:t>
      </w:r>
      <w:r w:rsidRPr="00A168B4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Impact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of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i/>
          <w:iCs/>
          <w:sz w:val="22"/>
          <w:szCs w:val="22"/>
        </w:rPr>
        <w:t>S.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i/>
          <w:iCs/>
          <w:sz w:val="22"/>
          <w:szCs w:val="22"/>
        </w:rPr>
        <w:t>cerevisiae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strain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3458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on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human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transcriptional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reprogramming: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all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down-regulated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GO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term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processes.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Gene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Ontology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(GO)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term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enrichment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analysis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upregulated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genes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VECs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at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24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168B4">
        <w:rPr>
          <w:rFonts w:ascii="Calibri" w:hAnsi="Calibri" w:cs="Calibri"/>
          <w:sz w:val="22"/>
          <w:szCs w:val="22"/>
        </w:rPr>
        <w:t>hpi</w:t>
      </w:r>
      <w:proofErr w:type="spellEnd"/>
      <w:r w:rsidRPr="00A168B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based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on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Log2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fold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change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&gt;1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or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&lt;−1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p-value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&lt;0.</w:t>
      </w:r>
      <w:r w:rsidRPr="0097711F">
        <w:rPr>
          <w:rFonts w:ascii="Calibri" w:hAnsi="Calibri" w:cs="Calibri"/>
          <w:sz w:val="22"/>
          <w:szCs w:val="22"/>
        </w:rPr>
        <w:t>05</w:t>
      </w:r>
      <w:r w:rsidRPr="00A168B4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GO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terms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were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identified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using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168B4">
        <w:rPr>
          <w:rFonts w:ascii="Calibri" w:hAnsi="Calibri" w:cs="Calibri"/>
          <w:sz w:val="22"/>
          <w:szCs w:val="22"/>
        </w:rPr>
        <w:t>ShinyGO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(</w:t>
      </w:r>
      <w:hyperlink r:id="rId13" w:tgtFrame="_new" w:history="1">
        <w:r w:rsidRPr="00A168B4">
          <w:rPr>
            <w:rStyle w:val="Hyperlink"/>
            <w:rFonts w:ascii="Calibri" w:hAnsi="Calibri" w:cs="Calibri"/>
            <w:sz w:val="22"/>
            <w:szCs w:val="22"/>
          </w:rPr>
          <w:t>http://bioinformatics.sdstate.edu/go/</w:t>
        </w:r>
      </w:hyperlink>
      <w:r w:rsidRPr="00A168B4">
        <w:rPr>
          <w:rFonts w:ascii="Calibri" w:hAnsi="Calibri" w:cs="Calibri"/>
          <w:sz w:val="22"/>
          <w:szCs w:val="22"/>
        </w:rPr>
        <w:t>).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Enriched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biological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processes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are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plotted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lastRenderedPageBreak/>
        <w:t>according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–Log10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p-value,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derived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from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Bonferroni-corrected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distribution.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Fold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enrichment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values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are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visualized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using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color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gradient.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Data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presented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are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from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Symbol" w:eastAsia="Symbol" w:hAnsi="Symbol" w:cs="Symbol"/>
          <w:sz w:val="22"/>
          <w:szCs w:val="22"/>
          <w:lang w:val="nl-NL"/>
        </w:rPr>
        <w:t>=</w:t>
      </w:r>
      <w:r>
        <w:rPr>
          <w:rFonts w:ascii="Calibri" w:hAnsi="Calibri" w:cs="Calibri"/>
          <w:sz w:val="22"/>
          <w:szCs w:val="22"/>
        </w:rPr>
        <w:t xml:space="preserve"> 3 </w:t>
      </w:r>
      <w:r w:rsidRPr="00A168B4">
        <w:rPr>
          <w:rFonts w:ascii="Calibri" w:hAnsi="Calibri" w:cs="Calibri"/>
          <w:sz w:val="22"/>
          <w:szCs w:val="22"/>
        </w:rPr>
        <w:t>biological</w:t>
      </w:r>
      <w:r>
        <w:rPr>
          <w:rFonts w:ascii="Calibri" w:hAnsi="Calibri" w:cs="Calibri"/>
          <w:sz w:val="22"/>
          <w:szCs w:val="22"/>
        </w:rPr>
        <w:t xml:space="preserve"> </w:t>
      </w:r>
      <w:r w:rsidRPr="00A168B4">
        <w:rPr>
          <w:rFonts w:ascii="Calibri" w:hAnsi="Calibri" w:cs="Calibri"/>
          <w:sz w:val="22"/>
          <w:szCs w:val="22"/>
        </w:rPr>
        <w:t>replicates.</w:t>
      </w:r>
    </w:p>
    <w:p w14:paraId="00A72C8D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90951CC" wp14:editId="13AEBC30">
            <wp:simplePos x="0" y="0"/>
            <wp:positionH relativeFrom="column">
              <wp:posOffset>1082351</wp:posOffset>
            </wp:positionH>
            <wp:positionV relativeFrom="paragraph">
              <wp:posOffset>218116</wp:posOffset>
            </wp:positionV>
            <wp:extent cx="3213100" cy="4953000"/>
            <wp:effectExtent l="0" t="0" r="0" b="0"/>
            <wp:wrapTopAndBottom/>
            <wp:docPr id="1750203558" name="Picture 2" descr="A chart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03558" name="Picture 2" descr="A chart of different color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4D2E0" w14:textId="77777777" w:rsidR="00B54C26" w:rsidRPr="00AB4897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B4897">
        <w:rPr>
          <w:rFonts w:ascii="Calibri" w:hAnsi="Calibri" w:cs="Calibri"/>
          <w:b/>
          <w:bCs/>
          <w:sz w:val="22"/>
          <w:szCs w:val="22"/>
        </w:rPr>
        <w:t>Fig.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S</w:t>
      </w:r>
      <w:r>
        <w:rPr>
          <w:rFonts w:ascii="Calibri" w:hAnsi="Calibri" w:cs="Calibri"/>
          <w:b/>
          <w:bCs/>
          <w:sz w:val="22"/>
          <w:szCs w:val="22"/>
        </w:rPr>
        <w:t>6</w:t>
      </w:r>
      <w:r w:rsidRPr="00AB4897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i/>
          <w:iCs/>
          <w:sz w:val="22"/>
          <w:szCs w:val="22"/>
        </w:rPr>
        <w:t>S.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i/>
          <w:iCs/>
          <w:sz w:val="22"/>
          <w:szCs w:val="22"/>
        </w:rPr>
        <w:t>cerevisiae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downregulates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immune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and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inflammatory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signaling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pathways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in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VECs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during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VVC.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Heatmap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depicting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transcriptional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changes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in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VECs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at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24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AB4897">
        <w:rPr>
          <w:rFonts w:ascii="Calibri" w:hAnsi="Calibri" w:cs="Calibri"/>
          <w:sz w:val="22"/>
          <w:szCs w:val="22"/>
        </w:rPr>
        <w:t>hpi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following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exposure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z w:val="22"/>
          <w:szCs w:val="22"/>
        </w:rPr>
        <w:t xml:space="preserve"> </w:t>
      </w:r>
      <w:r w:rsidRPr="00330C6E">
        <w:rPr>
          <w:rFonts w:ascii="Calibri" w:hAnsi="Calibri" w:cs="Calibri"/>
          <w:sz w:val="22"/>
          <w:szCs w:val="22"/>
        </w:rPr>
        <w:t>Sc3458</w:t>
      </w:r>
      <w:r w:rsidRPr="00AB4897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Key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pathways,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including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MAPK</w:t>
      </w:r>
      <w:r w:rsidRPr="00AB4897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PI3K/Akt</w:t>
      </w:r>
      <w:r w:rsidRPr="00AB4897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b/>
          <w:bCs/>
          <w:sz w:val="22"/>
          <w:szCs w:val="22"/>
        </w:rPr>
        <w:t>NF-</w:t>
      </w:r>
      <w:proofErr w:type="spellStart"/>
      <w:r w:rsidRPr="00AB4897">
        <w:rPr>
          <w:rFonts w:ascii="Calibri" w:hAnsi="Calibri" w:cs="Calibri"/>
          <w:b/>
          <w:bCs/>
          <w:sz w:val="22"/>
          <w:szCs w:val="22"/>
        </w:rPr>
        <w:t>κB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signaling,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were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predominantly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downregulated.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Color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scale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represents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Log2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fold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change,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with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blue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indicating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downregulation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red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indicating</w:t>
      </w:r>
      <w:r>
        <w:rPr>
          <w:rFonts w:ascii="Calibri" w:hAnsi="Calibri" w:cs="Calibri"/>
          <w:sz w:val="22"/>
          <w:szCs w:val="22"/>
        </w:rPr>
        <w:t xml:space="preserve"> </w:t>
      </w:r>
      <w:r w:rsidRPr="00AB4897">
        <w:rPr>
          <w:rFonts w:ascii="Calibri" w:hAnsi="Calibri" w:cs="Calibri"/>
          <w:sz w:val="22"/>
          <w:szCs w:val="22"/>
        </w:rPr>
        <w:t>upregulation.</w:t>
      </w:r>
    </w:p>
    <w:p w14:paraId="3EFA90F3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D979AC0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C18792A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1ED09B0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D997F14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4ACE973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884A9AF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46E6E4C" w14:textId="77777777" w:rsidR="00B54C26" w:rsidRPr="00705BCA" w:rsidRDefault="00B54C26" w:rsidP="00B54C26">
      <w:pPr>
        <w:spacing w:line="360" w:lineRule="auto"/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000000" w:themeColor="text1"/>
          <w:sz w:val="22"/>
          <w:szCs w:val="22"/>
          <w14:ligatures w14:val="standardContextual"/>
        </w:rPr>
        <w:lastRenderedPageBreak/>
        <w:drawing>
          <wp:anchor distT="0" distB="0" distL="114300" distR="114300" simplePos="0" relativeHeight="251668480" behindDoc="0" locked="0" layoutInCell="1" allowOverlap="1" wp14:anchorId="02A942F4" wp14:editId="327A4F5A">
            <wp:simplePos x="0" y="0"/>
            <wp:positionH relativeFrom="column">
              <wp:posOffset>-195942</wp:posOffset>
            </wp:positionH>
            <wp:positionV relativeFrom="paragraph">
              <wp:posOffset>155122</wp:posOffset>
            </wp:positionV>
            <wp:extent cx="6204857" cy="1445692"/>
            <wp:effectExtent l="0" t="0" r="0" b="2540"/>
            <wp:wrapTopAndBottom/>
            <wp:docPr id="2142446359" name="Picture 3" descr="A graph of a cell de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46359" name="Picture 3" descr="A graph of a cell deat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857" cy="1445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Fig</w:t>
      </w:r>
      <w:r w:rsidRPr="1B856EB2">
        <w:rPr>
          <w:rFonts w:ascii="Calibri" w:hAnsi="Calibri" w:cs="Calibri"/>
          <w:b/>
          <w:bCs/>
          <w:color w:val="000000" w:themeColor="text1"/>
          <w:sz w:val="22"/>
          <w:szCs w:val="22"/>
        </w:rPr>
        <w:t>.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S7</w:t>
      </w:r>
      <w:r w:rsidRPr="1B856EB2">
        <w:rPr>
          <w:rFonts w:ascii="Calibri" w:hAnsi="Calibri" w:cs="Calibri"/>
          <w:b/>
          <w:bCs/>
          <w:color w:val="000000" w:themeColor="text1"/>
          <w:sz w:val="22"/>
          <w:szCs w:val="22"/>
        </w:rPr>
        <w:t>: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The effect of </w:t>
      </w:r>
      <w:r w:rsidRPr="00705BCA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S. cerevisiae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on </w:t>
      </w:r>
      <w:r w:rsidRPr="00705BCA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C. albicans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-mediated neutrophil cell death.</w:t>
      </w:r>
      <w:r>
        <w:rPr>
          <w:rFonts w:ascii="Calibri" w:hAnsi="Calibri" w:cs="Calibri"/>
          <w:sz w:val="22"/>
          <w:szCs w:val="22"/>
        </w:rPr>
        <w:t xml:space="preserve"> </w:t>
      </w:r>
      <w:r w:rsidRPr="00966838">
        <w:rPr>
          <w:rFonts w:ascii="Calibri" w:hAnsi="Calibri" w:cs="Calibri"/>
          <w:sz w:val="22"/>
          <w:szCs w:val="22"/>
        </w:rPr>
        <w:t>Neutrophil cell death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induced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by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i/>
          <w:iCs/>
          <w:sz w:val="22"/>
          <w:szCs w:val="22"/>
        </w:rPr>
        <w:t>C</w:t>
      </w:r>
      <w:r>
        <w:rPr>
          <w:rFonts w:ascii="Calibri" w:hAnsi="Calibri" w:cs="Calibri"/>
          <w:i/>
          <w:iCs/>
          <w:sz w:val="22"/>
          <w:szCs w:val="22"/>
        </w:rPr>
        <w:t xml:space="preserve">. </w:t>
      </w:r>
      <w:r w:rsidRPr="00E00612">
        <w:rPr>
          <w:rFonts w:ascii="Calibri" w:hAnsi="Calibri" w:cs="Calibri"/>
          <w:i/>
          <w:iCs/>
          <w:sz w:val="22"/>
          <w:szCs w:val="22"/>
        </w:rPr>
        <w:t>albicans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strains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SC5314,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CA3153</w:t>
      </w:r>
      <w:r>
        <w:rPr>
          <w:rFonts w:ascii="Calibri" w:hAnsi="Calibri" w:cs="Calibri"/>
          <w:sz w:val="22"/>
          <w:szCs w:val="22"/>
        </w:rPr>
        <w:t xml:space="preserve">, </w:t>
      </w:r>
      <w:r w:rsidRPr="00E00612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I49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in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presence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of</w:t>
      </w:r>
      <w:r>
        <w:rPr>
          <w:rFonts w:ascii="Calibri" w:hAnsi="Calibri" w:cs="Calibri"/>
          <w:sz w:val="22"/>
          <w:szCs w:val="22"/>
        </w:rPr>
        <w:t xml:space="preserve"> </w:t>
      </w:r>
      <w:r w:rsidRPr="00330C6E">
        <w:rPr>
          <w:rFonts w:ascii="Calibri" w:hAnsi="Calibri" w:cs="Calibri"/>
          <w:sz w:val="22"/>
          <w:szCs w:val="22"/>
        </w:rPr>
        <w:t>Sc3458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or with the </w:t>
      </w:r>
      <w:r>
        <w:rPr>
          <w:rFonts w:ascii="Calibri" w:hAnsi="Calibri" w:cs="Calibri"/>
          <w:sz w:val="22"/>
          <w:szCs w:val="22"/>
        </w:rPr>
        <w:t xml:space="preserve">industrial control </w:t>
      </w:r>
      <w:r w:rsidRPr="007D4215">
        <w:rPr>
          <w:rFonts w:ascii="Calibri" w:hAnsi="Calibri" w:cs="Calibri"/>
          <w:sz w:val="22"/>
          <w:szCs w:val="22"/>
        </w:rPr>
        <w:t>(IC,</w:t>
      </w:r>
      <w:r>
        <w:rPr>
          <w:rFonts w:ascii="Calibri" w:hAnsi="Calibri" w:cs="Calibri"/>
          <w:sz w:val="22"/>
          <w:szCs w:val="22"/>
        </w:rPr>
        <w:t xml:space="preserve"> CNCM </w:t>
      </w:r>
      <w:r w:rsidRPr="007D4215">
        <w:rPr>
          <w:rFonts w:ascii="Calibri" w:hAnsi="Calibri" w:cs="Calibri"/>
          <w:sz w:val="22"/>
          <w:szCs w:val="22"/>
        </w:rPr>
        <w:t>I-3856)</w:t>
      </w:r>
      <w:r>
        <w:rPr>
          <w:rFonts w:ascii="Calibri" w:hAnsi="Calibri" w:cs="Calibri"/>
          <w:sz w:val="22"/>
          <w:szCs w:val="22"/>
        </w:rPr>
        <w:t xml:space="preserve">. </w:t>
      </w:r>
      <w:r w:rsidRPr="00E00612">
        <w:rPr>
          <w:rFonts w:ascii="Calibri" w:hAnsi="Calibri" w:cs="Calibri"/>
          <w:sz w:val="22"/>
          <w:szCs w:val="22"/>
        </w:rPr>
        <w:t>Cell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death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was</w:t>
      </w:r>
      <w:r>
        <w:rPr>
          <w:rFonts w:ascii="Calibri" w:hAnsi="Calibri" w:cs="Calibri"/>
          <w:sz w:val="22"/>
          <w:szCs w:val="22"/>
        </w:rPr>
        <w:t xml:space="preserve"> quantified </w:t>
      </w:r>
      <w:r w:rsidRPr="00E00612">
        <w:rPr>
          <w:rFonts w:ascii="Calibri" w:hAnsi="Calibri" w:cs="Calibri"/>
          <w:sz w:val="22"/>
          <w:szCs w:val="22"/>
        </w:rPr>
        <w:t>over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12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hours</w:t>
      </w:r>
      <w:r>
        <w:rPr>
          <w:rFonts w:ascii="Calibri" w:hAnsi="Calibri" w:cs="Calibri"/>
          <w:sz w:val="22"/>
          <w:szCs w:val="22"/>
        </w:rPr>
        <w:t xml:space="preserve"> via </w:t>
      </w:r>
      <w:proofErr w:type="spellStart"/>
      <w:r w:rsidRPr="1B856EB2">
        <w:rPr>
          <w:rFonts w:ascii="Calibri" w:hAnsi="Calibri" w:cs="Calibri"/>
          <w:color w:val="000000" w:themeColor="text1"/>
          <w:sz w:val="22"/>
          <w:szCs w:val="22"/>
        </w:rPr>
        <w:t>Sytox</w:t>
      </w:r>
      <w:proofErr w:type="spellEnd"/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Green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B856EB2">
        <w:rPr>
          <w:rFonts w:ascii="Calibri" w:hAnsi="Calibri" w:cs="Calibri"/>
          <w:color w:val="000000" w:themeColor="text1"/>
          <w:sz w:val="22"/>
          <w:szCs w:val="22"/>
        </w:rPr>
        <w:t>fluorescence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and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normalized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to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the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612">
        <w:rPr>
          <w:rFonts w:ascii="Calibri" w:hAnsi="Calibri" w:cs="Calibri"/>
          <w:sz w:val="22"/>
          <w:szCs w:val="22"/>
        </w:rPr>
        <w:t>total</w:t>
      </w:r>
      <w:r>
        <w:rPr>
          <w:rFonts w:ascii="Calibri" w:hAnsi="Calibri" w:cs="Calibri"/>
          <w:sz w:val="22"/>
          <w:szCs w:val="22"/>
        </w:rPr>
        <w:t xml:space="preserve"> </w:t>
      </w:r>
      <w:r w:rsidRPr="000F4E40">
        <w:rPr>
          <w:rFonts w:ascii="Calibri" w:hAnsi="Calibri" w:cs="Calibri"/>
          <w:sz w:val="22"/>
          <w:szCs w:val="22"/>
        </w:rPr>
        <w:t>neutrophil</w:t>
      </w:r>
      <w:r w:rsidRPr="00E00612">
        <w:rPr>
          <w:rFonts w:ascii="Calibri" w:hAnsi="Calibri" w:cs="Calibri"/>
          <w:sz w:val="22"/>
          <w:szCs w:val="22"/>
        </w:rPr>
        <w:t xml:space="preserve"> count.</w:t>
      </w:r>
    </w:p>
    <w:p w14:paraId="2B8A3DA4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16B82DC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1A1F74">
        <w:rPr>
          <w:rFonts w:ascii="Calibri" w:hAnsi="Calibri" w:cs="Calibri"/>
          <w:b/>
          <w:bCs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1942F8D5" wp14:editId="3950B2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043680"/>
            <wp:effectExtent l="0" t="0" r="0" b="0"/>
            <wp:wrapTopAndBottom/>
            <wp:docPr id="393072740" name="Picture 15" descr="A collage of images of a person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72740" name="Picture 15" descr="A collage of images of a person's body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74">
        <w:rPr>
          <w:rFonts w:ascii="Calibri" w:hAnsi="Calibri" w:cs="Calibri"/>
          <w:b/>
          <w:bCs/>
          <w:sz w:val="22"/>
          <w:szCs w:val="22"/>
        </w:rPr>
        <w:t>Fig. S</w:t>
      </w:r>
      <w:r>
        <w:rPr>
          <w:rFonts w:ascii="Calibri" w:hAnsi="Calibri" w:cs="Calibri"/>
          <w:b/>
          <w:bCs/>
          <w:sz w:val="22"/>
          <w:szCs w:val="22"/>
        </w:rPr>
        <w:t>8</w:t>
      </w:r>
      <w:r>
        <w:rPr>
          <w:rFonts w:ascii="Calibri" w:hAnsi="Calibri" w:cs="Calibri"/>
          <w:sz w:val="22"/>
          <w:szCs w:val="22"/>
        </w:rPr>
        <w:t xml:space="preserve">: </w:t>
      </w:r>
      <w:r w:rsidRPr="00DE3DA1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Longitudinal BLI reveals sustained fungal control by </w:t>
      </w:r>
      <w:r w:rsidRPr="00DE3DA1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S. cerevisiae </w:t>
      </w:r>
      <w:r w:rsidRPr="00DE3DA1">
        <w:rPr>
          <w:rFonts w:ascii="Calibri" w:hAnsi="Calibri" w:cs="Calibri"/>
          <w:b/>
          <w:bCs/>
          <w:color w:val="000000" w:themeColor="text1"/>
          <w:sz w:val="22"/>
          <w:szCs w:val="22"/>
        </w:rPr>
        <w:t>3458 in murine VVC</w:t>
      </w:r>
      <w:r w:rsidRPr="003E7F98">
        <w:rPr>
          <w:rFonts w:ascii="Calibri" w:hAnsi="Calibri" w:cs="Calibri"/>
          <w:b/>
          <w:bCs/>
          <w:color w:val="000000" w:themeColor="text1"/>
          <w:sz w:val="22"/>
          <w:szCs w:val="22"/>
        </w:rPr>
        <w:t>.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3E7F98">
        <w:rPr>
          <w:rFonts w:ascii="Calibri" w:hAnsi="Calibri" w:cs="Calibri"/>
          <w:i/>
          <w:iCs/>
          <w:color w:val="000000" w:themeColor="text1"/>
          <w:sz w:val="22"/>
          <w:szCs w:val="22"/>
        </w:rPr>
        <w:t>In vivo</w:t>
      </w:r>
      <w:r w:rsidRPr="00DC635B">
        <w:rPr>
          <w:rFonts w:ascii="Calibri" w:hAnsi="Calibri" w:cs="Calibri"/>
          <w:color w:val="000000" w:themeColor="text1"/>
          <w:sz w:val="22"/>
          <w:szCs w:val="22"/>
        </w:rPr>
        <w:t xml:space="preserve"> bioluminescence imaging (BLI): </w:t>
      </w:r>
      <w:r>
        <w:rPr>
          <w:rFonts w:ascii="Calibri" w:hAnsi="Calibri" w:cs="Calibri"/>
          <w:color w:val="000000" w:themeColor="text1"/>
          <w:sz w:val="22"/>
          <w:szCs w:val="22"/>
        </w:rPr>
        <w:t>T</w:t>
      </w:r>
      <w:r w:rsidRPr="00DC635B">
        <w:rPr>
          <w:rFonts w:ascii="Calibri" w:hAnsi="Calibri" w:cs="Calibri"/>
          <w:color w:val="000000" w:themeColor="text1"/>
          <w:sz w:val="22"/>
          <w:szCs w:val="22"/>
        </w:rPr>
        <w:t xml:space="preserve">otal photon flux in </w:t>
      </w:r>
      <w:r w:rsidRPr="00DC635B">
        <w:rPr>
          <w:rFonts w:ascii="Calibri" w:hAnsi="Calibri" w:cs="Calibri"/>
          <w:i/>
          <w:iCs/>
          <w:color w:val="000000" w:themeColor="text1"/>
          <w:sz w:val="22"/>
          <w:szCs w:val="22"/>
        </w:rPr>
        <w:t>C. albicans</w:t>
      </w:r>
      <w:r w:rsidRPr="00DC635B">
        <w:rPr>
          <w:rFonts w:ascii="Calibri" w:hAnsi="Calibri" w:cs="Calibri"/>
          <w:color w:val="000000" w:themeColor="text1"/>
          <w:sz w:val="22"/>
          <w:szCs w:val="22"/>
        </w:rPr>
        <w:t xml:space="preserve">-infected mice treated with </w:t>
      </w:r>
      <w:r w:rsidRPr="00330C6E">
        <w:rPr>
          <w:rFonts w:ascii="Calibri" w:hAnsi="Calibri" w:cs="Calibri"/>
          <w:sz w:val="22"/>
          <w:szCs w:val="22"/>
        </w:rPr>
        <w:t>Sc3458</w:t>
      </w:r>
      <w:r w:rsidRPr="00DC635B">
        <w:rPr>
          <w:rFonts w:ascii="Calibri" w:hAnsi="Calibri" w:cs="Calibri"/>
          <w:color w:val="000000" w:themeColor="text1"/>
          <w:sz w:val="22"/>
          <w:szCs w:val="22"/>
        </w:rPr>
        <w:t>, industrial control strain (IC, CNCM I-3856), or PBS, acquired on days 2, 4, 6, 8, and 10 post-infection (n ≥ 7).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3E7F98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C635B">
        <w:rPr>
          <w:rFonts w:ascii="Calibri" w:hAnsi="Calibri" w:cs="Calibri"/>
          <w:color w:val="000000" w:themeColor="text1"/>
          <w:sz w:val="22"/>
          <w:szCs w:val="22"/>
        </w:rPr>
        <w:t>PBS-treated mice serve as uninfected baseline controls.</w:t>
      </w:r>
    </w:p>
    <w:p w14:paraId="44881A4C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465B080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67917">
        <w:rPr>
          <w:rFonts w:ascii="Calibri" w:hAnsi="Calibri" w:cs="Calibri"/>
          <w:b/>
          <w:bCs/>
          <w:noProof/>
          <w:sz w:val="22"/>
          <w:szCs w:val="22"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67D4691E" wp14:editId="5AD192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085965"/>
            <wp:effectExtent l="0" t="0" r="0" b="635"/>
            <wp:wrapTopAndBottom/>
            <wp:docPr id="1769875541" name="Picture 14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75541" name="Picture 14" descr="A screenshot of a graph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DA1">
        <w:rPr>
          <w:rFonts w:ascii="Calibri" w:hAnsi="Calibri" w:cs="Calibri"/>
          <w:b/>
          <w:bCs/>
          <w:sz w:val="22"/>
          <w:szCs w:val="22"/>
        </w:rPr>
        <w:t>Fig. S</w:t>
      </w:r>
      <w:r>
        <w:rPr>
          <w:rFonts w:ascii="Calibri" w:hAnsi="Calibri" w:cs="Calibri"/>
          <w:b/>
          <w:bCs/>
          <w:sz w:val="22"/>
          <w:szCs w:val="22"/>
        </w:rPr>
        <w:t>9</w:t>
      </w:r>
      <w:r w:rsidRPr="00DE3DA1"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DE3DA1">
        <w:rPr>
          <w:rFonts w:ascii="Calibri" w:hAnsi="Calibri" w:cs="Calibri"/>
          <w:b/>
          <w:bCs/>
          <w:i/>
          <w:iCs/>
          <w:sz w:val="22"/>
          <w:szCs w:val="22"/>
        </w:rPr>
        <w:t>S. cerevisiae</w:t>
      </w:r>
      <w:r w:rsidRPr="00DE3DA1">
        <w:rPr>
          <w:rFonts w:ascii="Calibri" w:hAnsi="Calibri" w:cs="Calibri"/>
          <w:b/>
          <w:bCs/>
          <w:sz w:val="22"/>
          <w:szCs w:val="22"/>
        </w:rPr>
        <w:t xml:space="preserve"> 3458 modulates inflammatory mediators in the vaginal niche of VVC mice.</w:t>
      </w:r>
      <w:r w:rsidRPr="00DE3DA1">
        <w:rPr>
          <w:rFonts w:ascii="Calibri" w:hAnsi="Calibri" w:cs="Calibri"/>
          <w:b/>
          <w:bCs/>
          <w:sz w:val="22"/>
          <w:szCs w:val="22"/>
        </w:rPr>
        <w:br/>
      </w:r>
      <w:r w:rsidRPr="00DE3DA1">
        <w:rPr>
          <w:rFonts w:ascii="Calibri" w:hAnsi="Calibri" w:cs="Calibri"/>
          <w:sz w:val="22"/>
          <w:szCs w:val="22"/>
        </w:rPr>
        <w:t xml:space="preserve">Cytokine and chemokine profiles in vaginal lavage fluids collected on day 10 from </w:t>
      </w:r>
      <w:r w:rsidRPr="00DE3DA1">
        <w:rPr>
          <w:rFonts w:ascii="Calibri" w:hAnsi="Calibri" w:cs="Calibri"/>
          <w:i/>
          <w:iCs/>
          <w:sz w:val="22"/>
          <w:szCs w:val="22"/>
        </w:rPr>
        <w:t>C. albicans</w:t>
      </w:r>
      <w:r w:rsidRPr="00DE3DA1">
        <w:rPr>
          <w:rFonts w:ascii="Calibri" w:hAnsi="Calibri" w:cs="Calibri"/>
          <w:sz w:val="22"/>
          <w:szCs w:val="22"/>
        </w:rPr>
        <w:t xml:space="preserve">-infected mice treated with </w:t>
      </w:r>
      <w:r w:rsidRPr="00330C6E">
        <w:rPr>
          <w:rFonts w:ascii="Calibri" w:hAnsi="Calibri" w:cs="Calibri"/>
          <w:sz w:val="22"/>
          <w:szCs w:val="22"/>
        </w:rPr>
        <w:t>Sc3458</w:t>
      </w:r>
      <w:r w:rsidRPr="00DE3DA1">
        <w:rPr>
          <w:rFonts w:ascii="Calibri" w:hAnsi="Calibri" w:cs="Calibri"/>
          <w:sz w:val="22"/>
          <w:szCs w:val="22"/>
        </w:rPr>
        <w:t>, the industrial control strain (IC, CNCM I-3856), or PBS. PBS-treated mice serve as uninfected baseline controls (n ≥ 7).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3C30DEA4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9D9FFA3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B30E3AF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D9B97C1" w14:textId="77777777" w:rsidR="00B54C26" w:rsidRPr="00A168B4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168B4">
        <w:rPr>
          <w:rFonts w:ascii="Calibri" w:hAnsi="Calibri" w:cs="Calibri"/>
          <w:b/>
          <w:bCs/>
          <w:sz w:val="22"/>
          <w:szCs w:val="22"/>
        </w:rPr>
        <w:lastRenderedPageBreak/>
        <w:t>Supplementary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Table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2.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Composition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of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vagina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simulative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A168B4">
        <w:rPr>
          <w:rFonts w:ascii="Calibri" w:hAnsi="Calibri" w:cs="Calibri"/>
          <w:b/>
          <w:bCs/>
          <w:sz w:val="22"/>
          <w:szCs w:val="22"/>
        </w:rPr>
        <w:t>medium.</w:t>
      </w:r>
    </w:p>
    <w:tbl>
      <w:tblPr>
        <w:tblStyle w:val="TableGrid"/>
        <w:tblW w:w="0" w:type="auto"/>
        <w:tblInd w:w="1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9"/>
        <w:gridCol w:w="2080"/>
        <w:gridCol w:w="1989"/>
      </w:tblGrid>
      <w:tr w:rsidR="00B54C26" w:rsidRPr="00A168B4" w14:paraId="72630531" w14:textId="77777777" w:rsidTr="00A767DA">
        <w:trPr>
          <w:trHeight w:val="292"/>
        </w:trPr>
        <w:tc>
          <w:tcPr>
            <w:tcW w:w="2719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75197F3B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b/>
                <w:bCs/>
                <w:color w:val="1F1F1F"/>
                <w:sz w:val="22"/>
                <w:szCs w:val="22"/>
              </w:rPr>
              <w:t>Component</w:t>
            </w:r>
          </w:p>
        </w:tc>
        <w:tc>
          <w:tcPr>
            <w:tcW w:w="208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6E32FC82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b/>
                <w:bCs/>
                <w:color w:val="1F1F1F"/>
                <w:sz w:val="22"/>
                <w:szCs w:val="22"/>
              </w:rPr>
              <w:t>Concentration</w:t>
            </w:r>
          </w:p>
        </w:tc>
        <w:tc>
          <w:tcPr>
            <w:tcW w:w="1989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50DEDA8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b/>
                <w:bCs/>
                <w:color w:val="1F1F1F"/>
                <w:sz w:val="22"/>
                <w:szCs w:val="22"/>
              </w:rPr>
              <w:t>Supplier</w:t>
            </w:r>
          </w:p>
        </w:tc>
      </w:tr>
      <w:tr w:rsidR="00B54C26" w:rsidRPr="00A168B4" w14:paraId="00C88D66" w14:textId="77777777" w:rsidTr="00A767DA">
        <w:trPr>
          <w:trHeight w:val="325"/>
        </w:trPr>
        <w:tc>
          <w:tcPr>
            <w:tcW w:w="2719" w:type="dxa"/>
            <w:tcBorders>
              <w:top w:val="single" w:sz="18" w:space="0" w:color="000000"/>
              <w:bottom w:val="single" w:sz="2" w:space="0" w:color="auto"/>
            </w:tcBorders>
            <w:vAlign w:val="center"/>
          </w:tcPr>
          <w:p w14:paraId="5BCB2DB9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NaCl</w:t>
            </w:r>
          </w:p>
        </w:tc>
        <w:tc>
          <w:tcPr>
            <w:tcW w:w="2080" w:type="dxa"/>
            <w:tcBorders>
              <w:top w:val="single" w:sz="18" w:space="0" w:color="000000"/>
              <w:bottom w:val="single" w:sz="2" w:space="0" w:color="auto"/>
            </w:tcBorders>
            <w:vAlign w:val="center"/>
          </w:tcPr>
          <w:p w14:paraId="1CA5F4E4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3.51</w:t>
            </w:r>
            <w:r>
              <w:rPr>
                <w:rFonts w:ascii="Calibri" w:hAnsi="Calibri" w:cs="Calibri"/>
                <w:color w:val="1F1F1F"/>
                <w:sz w:val="22"/>
                <w:szCs w:val="22"/>
              </w:rPr>
              <w:t xml:space="preserve"> </w:t>
            </w: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g/L</w:t>
            </w:r>
          </w:p>
        </w:tc>
        <w:tc>
          <w:tcPr>
            <w:tcW w:w="1989" w:type="dxa"/>
            <w:tcBorders>
              <w:top w:val="single" w:sz="18" w:space="0" w:color="000000"/>
              <w:bottom w:val="single" w:sz="2" w:space="0" w:color="auto"/>
            </w:tcBorders>
            <w:vAlign w:val="center"/>
          </w:tcPr>
          <w:p w14:paraId="25B08AC6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Sigma-Aldrich</w:t>
            </w:r>
          </w:p>
        </w:tc>
      </w:tr>
      <w:tr w:rsidR="00B54C26" w:rsidRPr="00A168B4" w14:paraId="3756A3D5" w14:textId="77777777" w:rsidTr="00A767DA">
        <w:trPr>
          <w:trHeight w:val="310"/>
        </w:trPr>
        <w:tc>
          <w:tcPr>
            <w:tcW w:w="271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8E52FC3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KOH</w:t>
            </w:r>
          </w:p>
        </w:tc>
        <w:tc>
          <w:tcPr>
            <w:tcW w:w="20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B661E09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1.40</w:t>
            </w:r>
            <w:r>
              <w:rPr>
                <w:rFonts w:ascii="Calibri" w:hAnsi="Calibri" w:cs="Calibri"/>
                <w:color w:val="1F1F1F"/>
                <w:sz w:val="22"/>
                <w:szCs w:val="22"/>
              </w:rPr>
              <w:t xml:space="preserve"> </w:t>
            </w: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g/L</w:t>
            </w:r>
          </w:p>
        </w:tc>
        <w:tc>
          <w:tcPr>
            <w:tcW w:w="19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9B2E94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Sigma-Aldrich</w:t>
            </w:r>
          </w:p>
        </w:tc>
      </w:tr>
      <w:tr w:rsidR="00B54C26" w:rsidRPr="00A168B4" w14:paraId="552D104E" w14:textId="77777777" w:rsidTr="00A767DA">
        <w:trPr>
          <w:trHeight w:val="325"/>
        </w:trPr>
        <w:tc>
          <w:tcPr>
            <w:tcW w:w="271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1D7E179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proofErr w:type="gramStart"/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Ca(</w:t>
            </w:r>
            <w:proofErr w:type="gramEnd"/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OH)2</w:t>
            </w:r>
          </w:p>
        </w:tc>
        <w:tc>
          <w:tcPr>
            <w:tcW w:w="2080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1F19030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0.222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g/L</w:t>
            </w:r>
          </w:p>
        </w:tc>
        <w:tc>
          <w:tcPr>
            <w:tcW w:w="1989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4B3541E0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Sigma-Aldrich</w:t>
            </w:r>
          </w:p>
        </w:tc>
      </w:tr>
      <w:tr w:rsidR="00B54C26" w:rsidRPr="00A168B4" w14:paraId="5EA10073" w14:textId="77777777" w:rsidTr="00A767DA">
        <w:trPr>
          <w:trHeight w:val="310"/>
        </w:trPr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D769B0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Urea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FE4740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0.4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g/L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03292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Sigma-Aldrich</w:t>
            </w:r>
          </w:p>
        </w:tc>
      </w:tr>
      <w:tr w:rsidR="00B54C26" w:rsidRPr="00A168B4" w14:paraId="4CE79962" w14:textId="77777777" w:rsidTr="00A767DA">
        <w:trPr>
          <w:trHeight w:val="325"/>
        </w:trPr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9B2DE4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Bovine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serum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albumin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(5%)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3C762C" w14:textId="77777777" w:rsidR="00B54C26" w:rsidRPr="00A168B4" w:rsidRDefault="00B54C26" w:rsidP="00A767D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40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mL/L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E3081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Sigma-Aldrich</w:t>
            </w:r>
          </w:p>
        </w:tc>
      </w:tr>
      <w:tr w:rsidR="00B54C26" w:rsidRPr="00A168B4" w14:paraId="542B9074" w14:textId="77777777" w:rsidTr="00A767DA">
        <w:trPr>
          <w:trHeight w:val="310"/>
        </w:trPr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F41A3E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Glycogen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(20%)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9FADF8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50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mL/L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1B6B9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Sigma-Aldrich</w:t>
            </w:r>
          </w:p>
        </w:tc>
      </w:tr>
      <w:tr w:rsidR="00B54C26" w:rsidRPr="00A168B4" w14:paraId="706DB7FB" w14:textId="77777777" w:rsidTr="00A767DA">
        <w:trPr>
          <w:trHeight w:val="325"/>
        </w:trPr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1834A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Mucin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(1.33%)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67CDC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18.8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mL/L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0C8A1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Sigma-Aldrich</w:t>
            </w:r>
          </w:p>
        </w:tc>
      </w:tr>
      <w:tr w:rsidR="00B54C26" w:rsidRPr="00A168B4" w14:paraId="447F2CCE" w14:textId="77777777" w:rsidTr="00A767DA">
        <w:trPr>
          <w:trHeight w:val="310"/>
        </w:trPr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7FCD0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Glucose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(40%)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A8F4E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12.5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mL/L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8871B7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Sigma</w:t>
            </w:r>
            <w:r>
              <w:rPr>
                <w:rFonts w:ascii="Calibri" w:hAnsi="Calibri" w:cs="Calibri"/>
                <w:color w:val="1F1F1F"/>
                <w:sz w:val="22"/>
                <w:szCs w:val="22"/>
              </w:rPr>
              <w:t xml:space="preserve"> </w:t>
            </w: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Aldrich</w:t>
            </w:r>
          </w:p>
        </w:tc>
      </w:tr>
      <w:tr w:rsidR="00B54C26" w:rsidRPr="00A168B4" w14:paraId="3B1CE6FB" w14:textId="77777777" w:rsidTr="00A767DA">
        <w:trPr>
          <w:trHeight w:val="296"/>
        </w:trPr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6C4EF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Glycerol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(98%v/v)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DE674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0.13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mL/L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EE3FC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(VWR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Chemicals)</w:t>
            </w:r>
          </w:p>
        </w:tc>
      </w:tr>
      <w:tr w:rsidR="00B54C26" w:rsidRPr="00A168B4" w14:paraId="6B67F6E9" w14:textId="77777777" w:rsidTr="00A767DA">
        <w:trPr>
          <w:trHeight w:val="310"/>
        </w:trPr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5FA02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Lactic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acid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(85%m/v)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4FBDD" w14:textId="77777777" w:rsidR="00B54C26" w:rsidRPr="00A168B4" w:rsidRDefault="00B54C26" w:rsidP="00A767D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2.35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mL/L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F1EA8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Sigma</w:t>
            </w:r>
            <w:r>
              <w:rPr>
                <w:rFonts w:ascii="Calibri" w:hAnsi="Calibri" w:cs="Calibri"/>
                <w:color w:val="1F1F1F"/>
                <w:sz w:val="22"/>
                <w:szCs w:val="22"/>
              </w:rPr>
              <w:t xml:space="preserve"> </w:t>
            </w: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Aldrich</w:t>
            </w:r>
          </w:p>
        </w:tc>
      </w:tr>
      <w:tr w:rsidR="00B54C26" w:rsidRPr="00A168B4" w14:paraId="0C0B2535" w14:textId="77777777" w:rsidTr="00A767DA">
        <w:trPr>
          <w:trHeight w:val="325"/>
        </w:trPr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8275B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Acetic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acid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(100%)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A9850" w14:textId="77777777" w:rsidR="00B54C26" w:rsidRPr="00A168B4" w:rsidRDefault="00B54C26" w:rsidP="00A767D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0.952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mL/L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20F21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1F1F1F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1F1F1F"/>
                <w:sz w:val="22"/>
                <w:szCs w:val="22"/>
              </w:rPr>
              <w:t>Ensure</w:t>
            </w:r>
          </w:p>
        </w:tc>
      </w:tr>
      <w:tr w:rsidR="00B54C26" w:rsidRPr="00A168B4" w14:paraId="456A2D94" w14:textId="77777777" w:rsidTr="00A767DA">
        <w:trPr>
          <w:trHeight w:val="310"/>
        </w:trPr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F08EB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 w:themeColor="text1"/>
                <w:sz w:val="22"/>
                <w:szCs w:val="22"/>
                <w:lang w:val="en-GB"/>
              </w:rPr>
              <w:t>Tween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25EEB8" w14:textId="77777777" w:rsidR="00B54C26" w:rsidRPr="00A168B4" w:rsidRDefault="00B54C26" w:rsidP="00A767D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 w:themeColor="text1"/>
                <w:sz w:val="22"/>
                <w:szCs w:val="22"/>
                <w:lang w:val="en-GB"/>
              </w:rPr>
              <w:t>1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 w:themeColor="text1"/>
                <w:sz w:val="22"/>
                <w:szCs w:val="22"/>
                <w:lang w:val="en-GB"/>
              </w:rPr>
              <w:t>mL/L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43F065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Sigma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A168B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Aldrich</w:t>
            </w:r>
          </w:p>
        </w:tc>
      </w:tr>
      <w:tr w:rsidR="00B54C26" w:rsidRPr="00A168B4" w14:paraId="75B928E4" w14:textId="77777777" w:rsidTr="00A767DA">
        <w:trPr>
          <w:trHeight w:val="310"/>
        </w:trPr>
        <w:tc>
          <w:tcPr>
            <w:tcW w:w="2719" w:type="dxa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15636D45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α-Amylase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(10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Units/mL)</w:t>
            </w:r>
          </w:p>
        </w:tc>
        <w:tc>
          <w:tcPr>
            <w:tcW w:w="2080" w:type="dxa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2263B620" w14:textId="77777777" w:rsidR="00B54C26" w:rsidRPr="00A168B4" w:rsidRDefault="00B54C26" w:rsidP="00A767D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0.2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A168B4"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  <w:t>mL/L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664EBD18" w14:textId="77777777" w:rsidR="00B54C26" w:rsidRPr="00A168B4" w:rsidRDefault="00B54C26" w:rsidP="00A767DA">
            <w:pPr>
              <w:spacing w:line="36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A168B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Sigma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A168B4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Aldrich</w:t>
            </w:r>
          </w:p>
        </w:tc>
      </w:tr>
    </w:tbl>
    <w:p w14:paraId="5B62B79A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52A63B0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63F417C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3C0171F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B4401D0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B0664A6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F501735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E974376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C0405C5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15E32CF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5CFD351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0EA9308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2177FA0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A87D398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7CD7072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F5F936A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0A726B9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7853930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CEF9FD6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75B01">
        <w:rPr>
          <w:rFonts w:ascii="Calibri" w:hAnsi="Calibri" w:cs="Calibri"/>
          <w:b/>
          <w:bCs/>
          <w:sz w:val="22"/>
          <w:szCs w:val="22"/>
        </w:rPr>
        <w:lastRenderedPageBreak/>
        <w:t>Table 3. Antibodies and reagents used for flow cytometric analysis of murine vaginal lavage samples.</w:t>
      </w:r>
      <w:r w:rsidRPr="00675B01">
        <w:rPr>
          <w:rFonts w:ascii="Calibri" w:hAnsi="Calibri" w:cs="Calibri"/>
          <w:sz w:val="22"/>
          <w:szCs w:val="22"/>
        </w:rPr>
        <w:br/>
        <w:t>The table lists target antigens, fluorophores, suppliers, and relevant identifiers for antibodies used to define immune cell subsets, including neutrophils, macrophages, and eosinophils.</w:t>
      </w: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1643"/>
        <w:gridCol w:w="1395"/>
        <w:gridCol w:w="1575"/>
        <w:gridCol w:w="1704"/>
        <w:gridCol w:w="1840"/>
      </w:tblGrid>
      <w:tr w:rsidR="00B54C26" w:rsidRPr="005566B0" w14:paraId="5411B9B0" w14:textId="77777777" w:rsidTr="00A767DA">
        <w:trPr>
          <w:trHeight w:val="320"/>
        </w:trPr>
        <w:tc>
          <w:tcPr>
            <w:tcW w:w="1336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4FD398F7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566B0">
              <w:rPr>
                <w:rFonts w:ascii="Calibri" w:hAnsi="Calibri" w:cs="Calibri"/>
                <w:b/>
                <w:bCs/>
                <w:sz w:val="21"/>
                <w:szCs w:val="21"/>
              </w:rPr>
              <w:t>Antibody</w:t>
            </w:r>
          </w:p>
        </w:tc>
        <w:tc>
          <w:tcPr>
            <w:tcW w:w="1643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03A01127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566B0">
              <w:rPr>
                <w:rFonts w:ascii="Calibri" w:hAnsi="Calibri" w:cs="Calibri"/>
                <w:b/>
                <w:bCs/>
                <w:sz w:val="21"/>
                <w:szCs w:val="21"/>
              </w:rPr>
              <w:t>Target Antigen</w:t>
            </w:r>
          </w:p>
        </w:tc>
        <w:tc>
          <w:tcPr>
            <w:tcW w:w="1395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2EBEBB58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566B0">
              <w:rPr>
                <w:rFonts w:ascii="Calibri" w:hAnsi="Calibri" w:cs="Calibri"/>
                <w:b/>
                <w:bCs/>
                <w:sz w:val="21"/>
                <w:szCs w:val="21"/>
              </w:rPr>
              <w:t>Fluorophore</w:t>
            </w:r>
          </w:p>
        </w:tc>
        <w:tc>
          <w:tcPr>
            <w:tcW w:w="1575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6625DEF5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566B0">
              <w:rPr>
                <w:rFonts w:ascii="Calibri" w:hAnsi="Calibri" w:cs="Calibri"/>
                <w:b/>
                <w:bCs/>
                <w:sz w:val="21"/>
                <w:szCs w:val="21"/>
              </w:rPr>
              <w:t>Supplier</w:t>
            </w:r>
          </w:p>
        </w:tc>
        <w:tc>
          <w:tcPr>
            <w:tcW w:w="1704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55E73B7D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566B0">
              <w:rPr>
                <w:rFonts w:ascii="Calibri" w:hAnsi="Calibri" w:cs="Calibri"/>
                <w:b/>
                <w:bCs/>
                <w:sz w:val="21"/>
                <w:szCs w:val="21"/>
              </w:rPr>
              <w:t>Clone number</w:t>
            </w:r>
          </w:p>
        </w:tc>
        <w:tc>
          <w:tcPr>
            <w:tcW w:w="1840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22E20620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566B0">
              <w:rPr>
                <w:rFonts w:ascii="Calibri" w:hAnsi="Calibri" w:cs="Calibri"/>
                <w:b/>
                <w:bCs/>
                <w:sz w:val="21"/>
                <w:szCs w:val="21"/>
              </w:rPr>
              <w:t>Unique identity</w:t>
            </w:r>
          </w:p>
        </w:tc>
      </w:tr>
      <w:tr w:rsidR="00B54C26" w:rsidRPr="005566B0" w14:paraId="2D17E1B2" w14:textId="77777777" w:rsidTr="00A767DA">
        <w:trPr>
          <w:trHeight w:val="320"/>
        </w:trPr>
        <w:tc>
          <w:tcPr>
            <w:tcW w:w="1336" w:type="dxa"/>
            <w:tcBorders>
              <w:top w:val="single" w:sz="18" w:space="0" w:color="auto"/>
              <w:bottom w:val="single" w:sz="8" w:space="0" w:color="000000"/>
            </w:tcBorders>
            <w:noWrap/>
            <w:vAlign w:val="center"/>
            <w:hideMark/>
          </w:tcPr>
          <w:p w14:paraId="470D7A64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Fc-receptor block</w:t>
            </w:r>
          </w:p>
        </w:tc>
        <w:tc>
          <w:tcPr>
            <w:tcW w:w="1643" w:type="dxa"/>
            <w:tcBorders>
              <w:top w:val="single" w:sz="18" w:space="0" w:color="auto"/>
              <w:bottom w:val="single" w:sz="8" w:space="0" w:color="000000"/>
            </w:tcBorders>
            <w:noWrap/>
            <w:vAlign w:val="center"/>
            <w:hideMark/>
          </w:tcPr>
          <w:p w14:paraId="6B1D25EB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CD16/CD32</w:t>
            </w:r>
          </w:p>
        </w:tc>
        <w:tc>
          <w:tcPr>
            <w:tcW w:w="1395" w:type="dxa"/>
            <w:tcBorders>
              <w:top w:val="single" w:sz="18" w:space="0" w:color="auto"/>
              <w:bottom w:val="single" w:sz="8" w:space="0" w:color="000000"/>
            </w:tcBorders>
            <w:noWrap/>
            <w:vAlign w:val="center"/>
            <w:hideMark/>
          </w:tcPr>
          <w:p w14:paraId="58448F2C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unlabeled block)</w:t>
            </w:r>
          </w:p>
        </w:tc>
        <w:tc>
          <w:tcPr>
            <w:tcW w:w="1575" w:type="dxa"/>
            <w:tcBorders>
              <w:top w:val="single" w:sz="18" w:space="0" w:color="auto"/>
              <w:bottom w:val="single" w:sz="8" w:space="0" w:color="000000"/>
            </w:tcBorders>
            <w:noWrap/>
            <w:vAlign w:val="center"/>
            <w:hideMark/>
          </w:tcPr>
          <w:p w14:paraId="59356CEA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5566B0">
              <w:rPr>
                <w:rFonts w:ascii="Calibri" w:hAnsi="Calibri" w:cs="Calibri"/>
                <w:sz w:val="21"/>
                <w:szCs w:val="21"/>
              </w:rPr>
              <w:t>Miltenyi</w:t>
            </w:r>
            <w:proofErr w:type="spellEnd"/>
            <w:r w:rsidRPr="005566B0">
              <w:rPr>
                <w:rFonts w:ascii="Calibri" w:hAnsi="Calibri" w:cs="Calibri"/>
                <w:sz w:val="21"/>
                <w:szCs w:val="21"/>
              </w:rPr>
              <w:t xml:space="preserve"> Biotec</w:t>
            </w:r>
          </w:p>
        </w:tc>
        <w:tc>
          <w:tcPr>
            <w:tcW w:w="1704" w:type="dxa"/>
            <w:tcBorders>
              <w:top w:val="single" w:sz="18" w:space="0" w:color="auto"/>
              <w:bottom w:val="single" w:sz="8" w:space="0" w:color="000000"/>
            </w:tcBorders>
            <w:noWrap/>
            <w:vAlign w:val="center"/>
            <w:hideMark/>
          </w:tcPr>
          <w:p w14:paraId="71A0365B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18" w:space="0" w:color="auto"/>
              <w:bottom w:val="single" w:sz="8" w:space="0" w:color="000000"/>
            </w:tcBorders>
            <w:noWrap/>
            <w:vAlign w:val="center"/>
            <w:hideMark/>
          </w:tcPr>
          <w:p w14:paraId="2A5229BC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130-092-575</w:t>
            </w:r>
          </w:p>
        </w:tc>
      </w:tr>
      <w:tr w:rsidR="00B54C26" w:rsidRPr="005566B0" w14:paraId="293F27F8" w14:textId="77777777" w:rsidTr="00A767DA">
        <w:trPr>
          <w:trHeight w:val="320"/>
        </w:trPr>
        <w:tc>
          <w:tcPr>
            <w:tcW w:w="1336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083A3FAF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Zombie Aqua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3DA9E422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Viability dye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39A1B1BC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Aqua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0B2C5AC8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5566B0">
              <w:rPr>
                <w:rFonts w:ascii="Calibri" w:hAnsi="Calibri" w:cs="Calibri"/>
                <w:sz w:val="21"/>
                <w:szCs w:val="21"/>
              </w:rPr>
              <w:t>BioLegend</w:t>
            </w:r>
            <w:proofErr w:type="spellEnd"/>
            <w:r w:rsidRPr="005566B0">
              <w:rPr>
                <w:rFonts w:ascii="Calibri" w:hAnsi="Calibri" w:cs="Calibri"/>
                <w:sz w:val="21"/>
                <w:szCs w:val="21"/>
              </w:rPr>
              <w:t>, USA</w:t>
            </w:r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3FA36A32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7B2DDB33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423101</w:t>
            </w:r>
          </w:p>
        </w:tc>
      </w:tr>
      <w:tr w:rsidR="00B54C26" w:rsidRPr="005566B0" w14:paraId="08456406" w14:textId="77777777" w:rsidTr="00A767DA">
        <w:trPr>
          <w:trHeight w:val="320"/>
        </w:trPr>
        <w:tc>
          <w:tcPr>
            <w:tcW w:w="1336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76ED12E8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CD45-FITC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7FFB48DC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CD45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6627266B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FITC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06F9B283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5566B0">
              <w:rPr>
                <w:rFonts w:ascii="Calibri" w:hAnsi="Calibri" w:cs="Calibri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344204B0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30-F11</w:t>
            </w:r>
          </w:p>
        </w:tc>
        <w:tc>
          <w:tcPr>
            <w:tcW w:w="1840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63BA9725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103107</w:t>
            </w:r>
          </w:p>
        </w:tc>
      </w:tr>
      <w:tr w:rsidR="00B54C26" w:rsidRPr="005566B0" w14:paraId="6EA9DFA1" w14:textId="77777777" w:rsidTr="00A767DA">
        <w:trPr>
          <w:trHeight w:val="320"/>
        </w:trPr>
        <w:tc>
          <w:tcPr>
            <w:tcW w:w="1336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691AFE23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Ly6C-APC-Cy7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4B947B40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Ly6C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1A492DBB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APC-Cy7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046C0C7E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BD Biosciences</w:t>
            </w:r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40280209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AL-21</w:t>
            </w:r>
          </w:p>
        </w:tc>
        <w:tc>
          <w:tcPr>
            <w:tcW w:w="1840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59E2D8F4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560596</w:t>
            </w:r>
          </w:p>
        </w:tc>
      </w:tr>
      <w:tr w:rsidR="00B54C26" w:rsidRPr="005566B0" w14:paraId="26F00B7F" w14:textId="77777777" w:rsidTr="00A767DA">
        <w:trPr>
          <w:trHeight w:val="320"/>
        </w:trPr>
        <w:tc>
          <w:tcPr>
            <w:tcW w:w="1336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</w:tcPr>
          <w:p w14:paraId="05F51F46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Ly6G-AF700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</w:tcPr>
          <w:p w14:paraId="27BD769B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Ly6G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</w:tcPr>
          <w:p w14:paraId="2A7BD84D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AF700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</w:tcPr>
          <w:p w14:paraId="6C25BA17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BD Biosciences</w:t>
            </w:r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</w:tcPr>
          <w:p w14:paraId="7E61066D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1A8</w:t>
            </w:r>
          </w:p>
        </w:tc>
        <w:tc>
          <w:tcPr>
            <w:tcW w:w="1840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</w:tcPr>
          <w:p w14:paraId="6B409063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561236</w:t>
            </w:r>
          </w:p>
        </w:tc>
      </w:tr>
      <w:tr w:rsidR="00B54C26" w:rsidRPr="005566B0" w14:paraId="3932DB77" w14:textId="77777777" w:rsidTr="00A767DA">
        <w:trPr>
          <w:trHeight w:val="320"/>
        </w:trPr>
        <w:tc>
          <w:tcPr>
            <w:tcW w:w="1336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61F5BF68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CD11b-eFluor450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2BBCE26F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CD11b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08477426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eFluor450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383F95A5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Invitrogen</w:t>
            </w:r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7A5CAB7C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M1/70</w:t>
            </w:r>
          </w:p>
        </w:tc>
        <w:tc>
          <w:tcPr>
            <w:tcW w:w="1840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502BBE5D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48-0112-82</w:t>
            </w:r>
          </w:p>
        </w:tc>
      </w:tr>
      <w:tr w:rsidR="00B54C26" w:rsidRPr="005566B0" w14:paraId="037B26C1" w14:textId="77777777" w:rsidTr="00A767DA">
        <w:trPr>
          <w:trHeight w:val="320"/>
        </w:trPr>
        <w:tc>
          <w:tcPr>
            <w:tcW w:w="1336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6F1A2A5C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CD11c-PE-Cy7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59D80C39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CD11c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5059C9D6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PE-Cy7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1FA0FC7F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5566B0">
              <w:rPr>
                <w:rFonts w:ascii="Calibri" w:hAnsi="Calibri" w:cs="Calibri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7E03613C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N418</w:t>
            </w:r>
          </w:p>
        </w:tc>
        <w:tc>
          <w:tcPr>
            <w:tcW w:w="1840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62B6377A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117318</w:t>
            </w:r>
          </w:p>
        </w:tc>
      </w:tr>
      <w:tr w:rsidR="00B54C26" w:rsidRPr="005566B0" w14:paraId="4E5FAF00" w14:textId="77777777" w:rsidTr="00A767DA">
        <w:trPr>
          <w:trHeight w:val="320"/>
        </w:trPr>
        <w:tc>
          <w:tcPr>
            <w:tcW w:w="1336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268A6F04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F4/80-APC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27D1A912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F4/80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314FEF5B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APC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629E4B66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5566B0">
              <w:rPr>
                <w:rFonts w:ascii="Calibri" w:hAnsi="Calibri" w:cs="Calibri"/>
                <w:sz w:val="21"/>
                <w:szCs w:val="21"/>
              </w:rPr>
              <w:t>eBioscience</w:t>
            </w:r>
            <w:proofErr w:type="spellEnd"/>
          </w:p>
        </w:tc>
        <w:tc>
          <w:tcPr>
            <w:tcW w:w="1704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6DBF83FC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BM8</w:t>
            </w:r>
          </w:p>
        </w:tc>
        <w:tc>
          <w:tcPr>
            <w:tcW w:w="1840" w:type="dxa"/>
            <w:tcBorders>
              <w:top w:val="single" w:sz="8" w:space="0" w:color="000000"/>
              <w:bottom w:val="single" w:sz="8" w:space="0" w:color="000000"/>
            </w:tcBorders>
            <w:noWrap/>
            <w:vAlign w:val="center"/>
            <w:hideMark/>
          </w:tcPr>
          <w:p w14:paraId="67374505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17-4801-82</w:t>
            </w:r>
          </w:p>
        </w:tc>
      </w:tr>
      <w:tr w:rsidR="00B54C26" w:rsidRPr="005566B0" w14:paraId="0B0032BB" w14:textId="77777777" w:rsidTr="00A767DA">
        <w:trPr>
          <w:trHeight w:val="320"/>
        </w:trPr>
        <w:tc>
          <w:tcPr>
            <w:tcW w:w="1336" w:type="dxa"/>
            <w:tcBorders>
              <w:top w:val="single" w:sz="8" w:space="0" w:color="000000"/>
              <w:bottom w:val="single" w:sz="18" w:space="0" w:color="000000"/>
            </w:tcBorders>
            <w:noWrap/>
            <w:vAlign w:val="center"/>
            <w:hideMark/>
          </w:tcPr>
          <w:p w14:paraId="47C97934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CD64-PE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4" w:space="0" w:color="000000"/>
            </w:tcBorders>
            <w:noWrap/>
            <w:vAlign w:val="center"/>
            <w:hideMark/>
          </w:tcPr>
          <w:p w14:paraId="173B9071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CD64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4" w:space="0" w:color="000000"/>
            </w:tcBorders>
            <w:noWrap/>
            <w:vAlign w:val="center"/>
            <w:hideMark/>
          </w:tcPr>
          <w:p w14:paraId="6320FCA4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PE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4" w:space="0" w:color="000000"/>
            </w:tcBorders>
            <w:noWrap/>
            <w:vAlign w:val="center"/>
            <w:hideMark/>
          </w:tcPr>
          <w:p w14:paraId="03890543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5566B0">
              <w:rPr>
                <w:rFonts w:ascii="Calibri" w:hAnsi="Calibri" w:cs="Calibri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704" w:type="dxa"/>
            <w:tcBorders>
              <w:top w:val="single" w:sz="8" w:space="0" w:color="000000"/>
              <w:bottom w:val="single" w:sz="4" w:space="0" w:color="000000"/>
            </w:tcBorders>
            <w:noWrap/>
            <w:vAlign w:val="center"/>
            <w:hideMark/>
          </w:tcPr>
          <w:p w14:paraId="3A9B7B1C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X54-5/7.1</w:t>
            </w:r>
          </w:p>
        </w:tc>
        <w:tc>
          <w:tcPr>
            <w:tcW w:w="1840" w:type="dxa"/>
            <w:tcBorders>
              <w:top w:val="single" w:sz="8" w:space="0" w:color="000000"/>
              <w:bottom w:val="single" w:sz="4" w:space="0" w:color="000000"/>
            </w:tcBorders>
            <w:noWrap/>
            <w:vAlign w:val="center"/>
            <w:hideMark/>
          </w:tcPr>
          <w:p w14:paraId="79CEBB9B" w14:textId="77777777" w:rsidR="00B54C26" w:rsidRPr="005566B0" w:rsidRDefault="00B54C26" w:rsidP="00A767DA">
            <w:pPr>
              <w:spacing w:line="360" w:lineRule="auto"/>
              <w:rPr>
                <w:rFonts w:ascii="Calibri" w:hAnsi="Calibri" w:cs="Calibri"/>
                <w:sz w:val="21"/>
                <w:szCs w:val="21"/>
              </w:rPr>
            </w:pPr>
            <w:r w:rsidRPr="005566B0">
              <w:rPr>
                <w:rFonts w:ascii="Calibri" w:hAnsi="Calibri" w:cs="Calibri"/>
                <w:sz w:val="21"/>
                <w:szCs w:val="21"/>
              </w:rPr>
              <w:t>139304</w:t>
            </w:r>
          </w:p>
        </w:tc>
      </w:tr>
    </w:tbl>
    <w:p w14:paraId="21A6E85B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34EDC982" wp14:editId="0C8D8534">
            <wp:simplePos x="0" y="0"/>
            <wp:positionH relativeFrom="column">
              <wp:posOffset>0</wp:posOffset>
            </wp:positionH>
            <wp:positionV relativeFrom="paragraph">
              <wp:posOffset>111413</wp:posOffset>
            </wp:positionV>
            <wp:extent cx="5731510" cy="5998845"/>
            <wp:effectExtent l="0" t="0" r="0" b="0"/>
            <wp:wrapTopAndBottom/>
            <wp:docPr id="536746387" name="Picture 4" descr="A diagram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46387" name="Picture 4" descr="A diagram of a cell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CBC49" w14:textId="77777777" w:rsidR="00B54C26" w:rsidRPr="00E13240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13240">
        <w:rPr>
          <w:rFonts w:ascii="Calibri" w:eastAsiaTheme="majorEastAsia" w:hAnsi="Calibri" w:cs="Calibri"/>
          <w:b/>
          <w:bCs/>
          <w:sz w:val="22"/>
          <w:szCs w:val="22"/>
        </w:rPr>
        <w:t>Fig. S10. Gating strategy for immune cell populations in vaginal lavage fluid from a murine VVC model.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E13240">
        <w:rPr>
          <w:rFonts w:ascii="Calibri" w:hAnsi="Calibri" w:cs="Calibri"/>
          <w:sz w:val="22"/>
          <w:szCs w:val="22"/>
        </w:rPr>
        <w:t>Flow cytometry gating strategy for identifying leukocytes (CD45⁺), neutrophils (CD11b⁺ Ly6G⁺ CD64⁻), macrophages (CD11b⁺ F4/80⁺ CD64⁺), and eosinophils (</w:t>
      </w:r>
      <w:proofErr w:type="spellStart"/>
      <w:r w:rsidRPr="00E13240">
        <w:rPr>
          <w:rFonts w:ascii="Calibri" w:hAnsi="Calibri" w:cs="Calibri"/>
          <w:sz w:val="22"/>
          <w:szCs w:val="22"/>
        </w:rPr>
        <w:t>SiglecF</w:t>
      </w:r>
      <w:proofErr w:type="spellEnd"/>
      <w:r w:rsidRPr="00E13240">
        <w:rPr>
          <w:rFonts w:ascii="Calibri" w:hAnsi="Calibri" w:cs="Calibri"/>
          <w:sz w:val="22"/>
          <w:szCs w:val="22"/>
        </w:rPr>
        <w:t xml:space="preserve">⁺ Ly6G⁻) from vaginal lavage samples. Cells were gated based on size (FSC/SSC), single-cell discrimination, and viability (Zombie Dye⁻). Representative plots are shown for naïve and </w:t>
      </w:r>
      <w:r w:rsidRPr="00E13240">
        <w:rPr>
          <w:rFonts w:ascii="Calibri" w:eastAsiaTheme="majorEastAsia" w:hAnsi="Calibri" w:cs="Calibri"/>
          <w:i/>
          <w:iCs/>
          <w:sz w:val="22"/>
          <w:szCs w:val="22"/>
        </w:rPr>
        <w:t>Candida albicans</w:t>
      </w:r>
      <w:r w:rsidRPr="00E13240">
        <w:rPr>
          <w:rFonts w:ascii="Calibri" w:hAnsi="Calibri" w:cs="Calibri"/>
          <w:sz w:val="22"/>
          <w:szCs w:val="22"/>
        </w:rPr>
        <w:t>-infected mice.</w:t>
      </w:r>
    </w:p>
    <w:p w14:paraId="1E3FEC1A" w14:textId="77777777" w:rsidR="00B54C26" w:rsidRDefault="00B54C26" w:rsidP="00B54C2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5516209" w14:textId="77777777" w:rsidR="00A971B5" w:rsidRDefault="00A971B5"/>
    <w:sectPr w:rsidR="00A971B5" w:rsidSect="00B54C26">
      <w:footerReference w:type="even" r:id="rId19"/>
      <w:footerReference w:type="default" r:id="rId20"/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328AD" w14:textId="77777777" w:rsidR="00AD5948" w:rsidRDefault="00AD5948">
      <w:r>
        <w:separator/>
      </w:r>
    </w:p>
  </w:endnote>
  <w:endnote w:type="continuationSeparator" w:id="0">
    <w:p w14:paraId="67B050B7" w14:textId="77777777" w:rsidR="00AD5948" w:rsidRDefault="00AD5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02141230"/>
      <w:docPartObj>
        <w:docPartGallery w:val="Page Numbers (Bottom of Page)"/>
        <w:docPartUnique/>
      </w:docPartObj>
    </w:sdtPr>
    <w:sdtContent>
      <w:p w14:paraId="091C0A37" w14:textId="77777777" w:rsidR="007F443B" w:rsidRDefault="00000000" w:rsidP="0095357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C08E10" w14:textId="77777777" w:rsidR="007F443B" w:rsidRDefault="007F443B" w:rsidP="003B46E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45316590"/>
      <w:docPartObj>
        <w:docPartGallery w:val="Page Numbers (Bottom of Page)"/>
        <w:docPartUnique/>
      </w:docPartObj>
    </w:sdtPr>
    <w:sdtContent>
      <w:p w14:paraId="4E62EC9C" w14:textId="77777777" w:rsidR="007F443B" w:rsidRDefault="00000000" w:rsidP="0095357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1BF649" w14:textId="77777777" w:rsidR="007F443B" w:rsidRDefault="007F443B" w:rsidP="003B46E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52B41" w14:textId="77777777" w:rsidR="00AD5948" w:rsidRDefault="00AD5948">
      <w:r>
        <w:separator/>
      </w:r>
    </w:p>
  </w:footnote>
  <w:footnote w:type="continuationSeparator" w:id="0">
    <w:p w14:paraId="36A6153B" w14:textId="77777777" w:rsidR="00AD5948" w:rsidRDefault="00AD59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5C70"/>
    <w:multiLevelType w:val="multilevel"/>
    <w:tmpl w:val="E1E23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862AA5"/>
    <w:multiLevelType w:val="hybridMultilevel"/>
    <w:tmpl w:val="47EC9D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3E628E"/>
    <w:multiLevelType w:val="hybridMultilevel"/>
    <w:tmpl w:val="2758B48C"/>
    <w:lvl w:ilvl="0" w:tplc="1A2ED424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5D7B80"/>
    <w:multiLevelType w:val="hybridMultilevel"/>
    <w:tmpl w:val="8626D984"/>
    <w:lvl w:ilvl="0" w:tplc="B08C92AE">
      <w:start w:val="1"/>
      <w:numFmt w:val="decimal"/>
      <w:lvlText w:val="%1."/>
      <w:lvlJc w:val="left"/>
      <w:pPr>
        <w:ind w:left="11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840" w:hanging="360"/>
      </w:pPr>
    </w:lvl>
    <w:lvl w:ilvl="2" w:tplc="0809001B" w:tentative="1">
      <w:start w:val="1"/>
      <w:numFmt w:val="lowerRoman"/>
      <w:lvlText w:val="%3."/>
      <w:lvlJc w:val="right"/>
      <w:pPr>
        <w:ind w:left="2560" w:hanging="180"/>
      </w:pPr>
    </w:lvl>
    <w:lvl w:ilvl="3" w:tplc="0809000F" w:tentative="1">
      <w:start w:val="1"/>
      <w:numFmt w:val="decimal"/>
      <w:lvlText w:val="%4."/>
      <w:lvlJc w:val="left"/>
      <w:pPr>
        <w:ind w:left="3280" w:hanging="360"/>
      </w:pPr>
    </w:lvl>
    <w:lvl w:ilvl="4" w:tplc="08090019" w:tentative="1">
      <w:start w:val="1"/>
      <w:numFmt w:val="lowerLetter"/>
      <w:lvlText w:val="%5."/>
      <w:lvlJc w:val="left"/>
      <w:pPr>
        <w:ind w:left="4000" w:hanging="360"/>
      </w:pPr>
    </w:lvl>
    <w:lvl w:ilvl="5" w:tplc="0809001B" w:tentative="1">
      <w:start w:val="1"/>
      <w:numFmt w:val="lowerRoman"/>
      <w:lvlText w:val="%6."/>
      <w:lvlJc w:val="right"/>
      <w:pPr>
        <w:ind w:left="4720" w:hanging="180"/>
      </w:pPr>
    </w:lvl>
    <w:lvl w:ilvl="6" w:tplc="0809000F" w:tentative="1">
      <w:start w:val="1"/>
      <w:numFmt w:val="decimal"/>
      <w:lvlText w:val="%7."/>
      <w:lvlJc w:val="left"/>
      <w:pPr>
        <w:ind w:left="5440" w:hanging="360"/>
      </w:pPr>
    </w:lvl>
    <w:lvl w:ilvl="7" w:tplc="08090019" w:tentative="1">
      <w:start w:val="1"/>
      <w:numFmt w:val="lowerLetter"/>
      <w:lvlText w:val="%8."/>
      <w:lvlJc w:val="left"/>
      <w:pPr>
        <w:ind w:left="6160" w:hanging="360"/>
      </w:pPr>
    </w:lvl>
    <w:lvl w:ilvl="8" w:tplc="0809001B" w:tentative="1">
      <w:start w:val="1"/>
      <w:numFmt w:val="lowerRoman"/>
      <w:lvlText w:val="%9."/>
      <w:lvlJc w:val="right"/>
      <w:pPr>
        <w:ind w:left="6880" w:hanging="180"/>
      </w:pPr>
    </w:lvl>
  </w:abstractNum>
  <w:num w:numId="1" w16cid:durableId="1703163323">
    <w:abstractNumId w:val="2"/>
  </w:num>
  <w:num w:numId="2" w16cid:durableId="482158641">
    <w:abstractNumId w:val="0"/>
  </w:num>
  <w:num w:numId="3" w16cid:durableId="343366300">
    <w:abstractNumId w:val="3"/>
  </w:num>
  <w:num w:numId="4" w16cid:durableId="1296833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26"/>
    <w:rsid w:val="000067DF"/>
    <w:rsid w:val="00015F75"/>
    <w:rsid w:val="00035952"/>
    <w:rsid w:val="000514FE"/>
    <w:rsid w:val="00072794"/>
    <w:rsid w:val="00093E1D"/>
    <w:rsid w:val="000A7592"/>
    <w:rsid w:val="000E4410"/>
    <w:rsid w:val="000F35A6"/>
    <w:rsid w:val="000F5E7B"/>
    <w:rsid w:val="00102925"/>
    <w:rsid w:val="001038A2"/>
    <w:rsid w:val="00121636"/>
    <w:rsid w:val="00151979"/>
    <w:rsid w:val="00190548"/>
    <w:rsid w:val="001A1967"/>
    <w:rsid w:val="001E18D0"/>
    <w:rsid w:val="001E46ED"/>
    <w:rsid w:val="001F05BF"/>
    <w:rsid w:val="00222676"/>
    <w:rsid w:val="002271C6"/>
    <w:rsid w:val="00243879"/>
    <w:rsid w:val="00263AB5"/>
    <w:rsid w:val="00276700"/>
    <w:rsid w:val="00293A6E"/>
    <w:rsid w:val="00297F30"/>
    <w:rsid w:val="002C0589"/>
    <w:rsid w:val="002D64DB"/>
    <w:rsid w:val="003048E9"/>
    <w:rsid w:val="00307CDF"/>
    <w:rsid w:val="003203B2"/>
    <w:rsid w:val="003366A6"/>
    <w:rsid w:val="003455F9"/>
    <w:rsid w:val="00345E51"/>
    <w:rsid w:val="00365516"/>
    <w:rsid w:val="00367DDA"/>
    <w:rsid w:val="003728FC"/>
    <w:rsid w:val="00384CA4"/>
    <w:rsid w:val="00414513"/>
    <w:rsid w:val="00435F4C"/>
    <w:rsid w:val="00436D80"/>
    <w:rsid w:val="004374D2"/>
    <w:rsid w:val="00446E10"/>
    <w:rsid w:val="0046352E"/>
    <w:rsid w:val="004820B0"/>
    <w:rsid w:val="004A06F9"/>
    <w:rsid w:val="004B5549"/>
    <w:rsid w:val="004D55E2"/>
    <w:rsid w:val="004D574C"/>
    <w:rsid w:val="004F7610"/>
    <w:rsid w:val="0050335B"/>
    <w:rsid w:val="0050415F"/>
    <w:rsid w:val="005264AE"/>
    <w:rsid w:val="00552D6C"/>
    <w:rsid w:val="00557EB0"/>
    <w:rsid w:val="00583933"/>
    <w:rsid w:val="00591BCC"/>
    <w:rsid w:val="005A6892"/>
    <w:rsid w:val="005B0BD9"/>
    <w:rsid w:val="005B3F7C"/>
    <w:rsid w:val="00615417"/>
    <w:rsid w:val="0063649D"/>
    <w:rsid w:val="006468F3"/>
    <w:rsid w:val="006A3D25"/>
    <w:rsid w:val="006F590E"/>
    <w:rsid w:val="00707377"/>
    <w:rsid w:val="00763A20"/>
    <w:rsid w:val="007644C0"/>
    <w:rsid w:val="00764B7D"/>
    <w:rsid w:val="00770B2F"/>
    <w:rsid w:val="0078574E"/>
    <w:rsid w:val="00790589"/>
    <w:rsid w:val="007B049D"/>
    <w:rsid w:val="007B67E9"/>
    <w:rsid w:val="007B6A3E"/>
    <w:rsid w:val="007C527F"/>
    <w:rsid w:val="007E5EEC"/>
    <w:rsid w:val="007E7E72"/>
    <w:rsid w:val="007F443B"/>
    <w:rsid w:val="007F549B"/>
    <w:rsid w:val="007F576F"/>
    <w:rsid w:val="007F79A8"/>
    <w:rsid w:val="00806461"/>
    <w:rsid w:val="0081105D"/>
    <w:rsid w:val="00845DCF"/>
    <w:rsid w:val="00876695"/>
    <w:rsid w:val="008A365B"/>
    <w:rsid w:val="008B515C"/>
    <w:rsid w:val="008D1077"/>
    <w:rsid w:val="009130FE"/>
    <w:rsid w:val="0092774C"/>
    <w:rsid w:val="00937874"/>
    <w:rsid w:val="009812C6"/>
    <w:rsid w:val="0099184D"/>
    <w:rsid w:val="009B17BA"/>
    <w:rsid w:val="009D449B"/>
    <w:rsid w:val="009E6C13"/>
    <w:rsid w:val="009F0533"/>
    <w:rsid w:val="00A05E51"/>
    <w:rsid w:val="00A23951"/>
    <w:rsid w:val="00A75518"/>
    <w:rsid w:val="00A75E90"/>
    <w:rsid w:val="00A971B5"/>
    <w:rsid w:val="00AB4DA3"/>
    <w:rsid w:val="00AD5948"/>
    <w:rsid w:val="00AE200E"/>
    <w:rsid w:val="00B0698B"/>
    <w:rsid w:val="00B26CCF"/>
    <w:rsid w:val="00B54C26"/>
    <w:rsid w:val="00B63B2E"/>
    <w:rsid w:val="00B96B5B"/>
    <w:rsid w:val="00BA1F0A"/>
    <w:rsid w:val="00BC035E"/>
    <w:rsid w:val="00BD4530"/>
    <w:rsid w:val="00C13D40"/>
    <w:rsid w:val="00C20A26"/>
    <w:rsid w:val="00C27088"/>
    <w:rsid w:val="00C317B7"/>
    <w:rsid w:val="00C52E6E"/>
    <w:rsid w:val="00C7152F"/>
    <w:rsid w:val="00C8479C"/>
    <w:rsid w:val="00C91C85"/>
    <w:rsid w:val="00C9388D"/>
    <w:rsid w:val="00CB3277"/>
    <w:rsid w:val="00CE11A4"/>
    <w:rsid w:val="00CF0A79"/>
    <w:rsid w:val="00CF1918"/>
    <w:rsid w:val="00CF37C8"/>
    <w:rsid w:val="00D0070A"/>
    <w:rsid w:val="00D31DA3"/>
    <w:rsid w:val="00D335AF"/>
    <w:rsid w:val="00D35855"/>
    <w:rsid w:val="00D4569A"/>
    <w:rsid w:val="00D876D9"/>
    <w:rsid w:val="00DA7953"/>
    <w:rsid w:val="00DE35D7"/>
    <w:rsid w:val="00E07172"/>
    <w:rsid w:val="00E22362"/>
    <w:rsid w:val="00E90CA7"/>
    <w:rsid w:val="00F1395C"/>
    <w:rsid w:val="00F1461F"/>
    <w:rsid w:val="00FA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B1E978F"/>
  <w15:chartTrackingRefBased/>
  <w15:docId w15:val="{A6DAFE85-4ADD-C44D-9838-0EF9680E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C26"/>
    <w:rPr>
      <w:rFonts w:ascii="Times New Roman" w:eastAsia="Times New Roman" w:hAnsi="Times New Roman" w:cs="Times New Roman"/>
      <w:kern w:val="0"/>
      <w:lang w:val="en-US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4C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4C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C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C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C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C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C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C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C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4C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54C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4C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C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C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C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C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C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C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4C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4C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4C2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4C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4C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4C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4C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4C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C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C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4C26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B54C26"/>
  </w:style>
  <w:style w:type="paragraph" w:styleId="NormalWeb">
    <w:name w:val="Normal (Web)"/>
    <w:basedOn w:val="Normal"/>
    <w:uiPriority w:val="99"/>
    <w:unhideWhenUsed/>
    <w:rsid w:val="00B54C26"/>
    <w:pPr>
      <w:spacing w:before="100" w:beforeAutospacing="1" w:after="100" w:afterAutospacing="1"/>
    </w:pPr>
  </w:style>
  <w:style w:type="paragraph" w:customStyle="1" w:styleId="EndNoteBibliographyTitle">
    <w:name w:val="EndNote Bibliography Title"/>
    <w:basedOn w:val="Normal"/>
    <w:link w:val="EndNoteBibliographyTitleChar"/>
    <w:rsid w:val="00B54C26"/>
    <w:pPr>
      <w:jc w:val="center"/>
    </w:pPr>
    <w:rPr>
      <w:rFonts w:ascii="Calibri" w:hAnsi="Calibri" w:cs="Calibri"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54C26"/>
    <w:rPr>
      <w:rFonts w:ascii="Calibri" w:eastAsia="Times New Roman" w:hAnsi="Calibri" w:cs="Calibri"/>
      <w:kern w:val="0"/>
      <w:sz w:val="22"/>
      <w:lang w:val="en-US" w:eastAsia="en-GB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B54C26"/>
    <w:rPr>
      <w:rFonts w:ascii="Calibri" w:hAnsi="Calibri" w:cs="Calibri"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B54C26"/>
    <w:rPr>
      <w:rFonts w:ascii="Calibri" w:eastAsia="Times New Roman" w:hAnsi="Calibri" w:cs="Calibri"/>
      <w:kern w:val="0"/>
      <w:sz w:val="22"/>
      <w:lang w:val="en-US"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54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4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4C26"/>
    <w:rPr>
      <w:rFonts w:ascii="Times New Roman" w:eastAsia="Times New Roman" w:hAnsi="Times New Roman" w:cs="Times New Roman"/>
      <w:kern w:val="0"/>
      <w:sz w:val="20"/>
      <w:szCs w:val="20"/>
      <w:lang w:val="en-US"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C26"/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B54C2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C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4C26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B54C26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4C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C26"/>
    <w:rPr>
      <w:rFonts w:ascii="Times New Roman" w:eastAsia="Times New Roman" w:hAnsi="Times New Roman" w:cs="Times New Roman"/>
      <w:kern w:val="0"/>
      <w:lang w:val="en-US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54C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C26"/>
    <w:rPr>
      <w:rFonts w:ascii="Times New Roman" w:eastAsia="Times New Roman" w:hAnsi="Times New Roman" w:cs="Times New Roman"/>
      <w:kern w:val="0"/>
      <w:lang w:val="en-US" w:eastAsia="en-GB"/>
      <w14:ligatures w14:val="none"/>
    </w:rPr>
  </w:style>
  <w:style w:type="table" w:styleId="TableGrid">
    <w:name w:val="Table Grid"/>
    <w:basedOn w:val="TableNormal"/>
    <w:uiPriority w:val="39"/>
    <w:rsid w:val="00B54C2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C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C26"/>
    <w:rPr>
      <w:rFonts w:ascii="Segoe UI" w:eastAsia="Times New Roman" w:hAnsi="Segoe UI" w:cs="Segoe UI"/>
      <w:kern w:val="0"/>
      <w:sz w:val="18"/>
      <w:szCs w:val="18"/>
      <w:lang w:val="en-US" w:eastAsia="en-GB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54C26"/>
    <w:rPr>
      <w:i/>
      <w:iCs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B54C26"/>
  </w:style>
  <w:style w:type="character" w:styleId="Emphasis">
    <w:name w:val="Emphasis"/>
    <w:basedOn w:val="DefaultParagraphFont"/>
    <w:uiPriority w:val="20"/>
    <w:qFormat/>
    <w:rsid w:val="00B54C26"/>
    <w:rPr>
      <w:i/>
      <w:iCs/>
    </w:rPr>
  </w:style>
  <w:style w:type="paragraph" w:customStyle="1" w:styleId="p1">
    <w:name w:val="p1"/>
    <w:basedOn w:val="Normal"/>
    <w:rsid w:val="00B54C26"/>
    <w:rPr>
      <w:rFonts w:ascii="Helvetica" w:hAnsi="Helvetica"/>
      <w:color w:val="000000"/>
      <w:sz w:val="11"/>
      <w:szCs w:val="11"/>
    </w:rPr>
  </w:style>
  <w:style w:type="character" w:customStyle="1" w:styleId="s1">
    <w:name w:val="s1"/>
    <w:basedOn w:val="DefaultParagraphFont"/>
    <w:rsid w:val="00B54C26"/>
    <w:rPr>
      <w:rFonts w:ascii="Helvetica" w:hAnsi="Helvetica" w:hint="default"/>
      <w:sz w:val="8"/>
      <w:szCs w:val="8"/>
    </w:rPr>
  </w:style>
  <w:style w:type="character" w:customStyle="1" w:styleId="id-label">
    <w:name w:val="id-label"/>
    <w:basedOn w:val="DefaultParagraphFont"/>
    <w:rsid w:val="00B54C26"/>
  </w:style>
  <w:style w:type="character" w:styleId="Strong">
    <w:name w:val="Strong"/>
    <w:basedOn w:val="DefaultParagraphFont"/>
    <w:uiPriority w:val="22"/>
    <w:qFormat/>
    <w:rsid w:val="00B54C26"/>
    <w:rPr>
      <w:b/>
      <w:bCs/>
    </w:rPr>
  </w:style>
  <w:style w:type="character" w:customStyle="1" w:styleId="citation-part">
    <w:name w:val="citation-part"/>
    <w:basedOn w:val="DefaultParagraphFont"/>
    <w:rsid w:val="00B54C26"/>
  </w:style>
  <w:style w:type="character" w:customStyle="1" w:styleId="docsum-pmid">
    <w:name w:val="docsum-pmid"/>
    <w:basedOn w:val="DefaultParagraphFont"/>
    <w:rsid w:val="00B54C26"/>
  </w:style>
  <w:style w:type="character" w:styleId="PageNumber">
    <w:name w:val="page number"/>
    <w:basedOn w:val="DefaultParagraphFont"/>
    <w:uiPriority w:val="99"/>
    <w:semiHidden/>
    <w:unhideWhenUsed/>
    <w:rsid w:val="00B54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ioinformatics.sdstate.edu/go/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1102</Words>
  <Characters>6284</Characters>
  <Application>Microsoft Office Word</Application>
  <DocSecurity>0</DocSecurity>
  <Lines>52</Lines>
  <Paragraphs>14</Paragraphs>
  <ScaleCrop>false</ScaleCrop>
  <Company/>
  <LinksUpToDate>false</LinksUpToDate>
  <CharactersWithSpaces>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 sillen</dc:creator>
  <cp:keywords/>
  <dc:description/>
  <cp:lastModifiedBy>Patrick Van Dijck</cp:lastModifiedBy>
  <cp:revision>2</cp:revision>
  <dcterms:created xsi:type="dcterms:W3CDTF">2025-05-23T15:37:00Z</dcterms:created>
  <dcterms:modified xsi:type="dcterms:W3CDTF">2025-05-23T19:15:00Z</dcterms:modified>
</cp:coreProperties>
</file>