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EEE9D" w14:textId="77777777" w:rsidR="00E27EB8" w:rsidRDefault="00E27EB8" w:rsidP="00E27EB8">
      <w:pPr>
        <w:rPr>
          <w:lang w:val="en-GB"/>
        </w:rPr>
      </w:pPr>
    </w:p>
    <w:p w14:paraId="5604E6D5" w14:textId="77777777" w:rsidR="00E27EB8" w:rsidRDefault="00E27EB8" w:rsidP="00E27EB8">
      <w:pPr>
        <w:pStyle w:val="Figure"/>
      </w:pPr>
      <w:r>
        <w:drawing>
          <wp:inline distT="0" distB="0" distL="0" distR="0" wp14:anchorId="63FABD75" wp14:editId="2543292B">
            <wp:extent cx="3263900" cy="5435096"/>
            <wp:effectExtent l="0" t="0" r="0" b="0"/>
            <wp:docPr id="1665231165" name="Picture 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231165" name="Picture 4" descr="A screenshot of a computer&#10;&#10;Description automatically generated"/>
                    <pic:cNvPicPr/>
                  </pic:nvPicPr>
                  <pic:blipFill rotWithShape="1">
                    <a:blip r:embed="rId4" cstate="print">
                      <a:extLst>
                        <a:ext uri="{28A0092B-C50C-407E-A947-70E740481C1C}">
                          <a14:useLocalDpi xmlns:a14="http://schemas.microsoft.com/office/drawing/2010/main" val="0"/>
                        </a:ext>
                      </a:extLst>
                    </a:blip>
                    <a:srcRect t="3939" r="48423" b="35322"/>
                    <a:stretch/>
                  </pic:blipFill>
                  <pic:spPr bwMode="auto">
                    <a:xfrm>
                      <a:off x="0" y="0"/>
                      <a:ext cx="3271906" cy="5448428"/>
                    </a:xfrm>
                    <a:prstGeom prst="rect">
                      <a:avLst/>
                    </a:prstGeom>
                    <a:ln>
                      <a:noFill/>
                    </a:ln>
                    <a:extLst>
                      <a:ext uri="{53640926-AAD7-44D8-BBD7-CCE9431645EC}">
                        <a14:shadowObscured xmlns:a14="http://schemas.microsoft.com/office/drawing/2010/main"/>
                      </a:ext>
                    </a:extLst>
                  </pic:spPr>
                </pic:pic>
              </a:graphicData>
            </a:graphic>
          </wp:inline>
        </w:drawing>
      </w:r>
    </w:p>
    <w:p w14:paraId="15186581" w14:textId="77777777" w:rsidR="00E27EB8" w:rsidRPr="00132520" w:rsidRDefault="00E27EB8" w:rsidP="00E27EB8">
      <w:pPr>
        <w:pStyle w:val="FigureHeadingLabel"/>
      </w:pPr>
      <w:r>
        <w:t xml:space="preserve">Extended Data </w:t>
      </w:r>
      <w:r>
        <w:fldChar w:fldCharType="begin"/>
      </w:r>
      <w:r>
        <w:instrText xml:space="preserve"> SEQ Supplementary_Figure \* ARABIC </w:instrText>
      </w:r>
      <w:r>
        <w:fldChar w:fldCharType="separate"/>
      </w:r>
      <w:r>
        <w:rPr>
          <w:noProof/>
        </w:rPr>
        <w:t>1</w:t>
      </w:r>
      <w:r>
        <w:fldChar w:fldCharType="end"/>
      </w:r>
      <w:r>
        <w:t>:</w:t>
      </w:r>
      <w:r w:rsidRPr="00FC2A7A">
        <w:t xml:space="preserve"> </w:t>
      </w:r>
      <w:r w:rsidRPr="003D2234">
        <w:rPr>
          <w:b/>
          <w:bCs/>
        </w:rPr>
        <w:t>a</w:t>
      </w:r>
      <w:r>
        <w:rPr>
          <w:b/>
          <w:bCs/>
        </w:rPr>
        <w:t>)</w:t>
      </w:r>
      <w:r>
        <w:t xml:space="preserve"> SDS-PAGE of SF9 cells transfected with recombinant baculovirus containing BALF2. Cells were transfected at ~1.0 x 10</w:t>
      </w:r>
      <w:r>
        <w:rPr>
          <w:vertAlign w:val="superscript"/>
        </w:rPr>
        <w:t>6</w:t>
      </w:r>
      <w:r>
        <w:t xml:space="preserve"> cells/ml at 0 hours, and at indicated timepoints aliquots were removed, lysed, and centrifuged to separate insoluble (Ins) and soluble (Sol) fractions. A band representing BALF2 is indicated by the red arrow 72 hours post-transfection. </w:t>
      </w:r>
      <w:proofErr w:type="gramStart"/>
      <w:r w:rsidRPr="003D2234">
        <w:rPr>
          <w:b/>
          <w:bCs/>
        </w:rPr>
        <w:t>b</w:t>
      </w:r>
      <w:r>
        <w:rPr>
          <w:b/>
          <w:bCs/>
        </w:rPr>
        <w:t>,c</w:t>
      </w:r>
      <w:proofErr w:type="gramEnd"/>
      <w:r>
        <w:rPr>
          <w:b/>
          <w:bCs/>
        </w:rPr>
        <w:t>)</w:t>
      </w:r>
      <w:r>
        <w:t xml:space="preserve"> Chromatogram and corresponding SDS-PAGE of BALF2 purification by C-tag affinity chromatography. BALF2 expression culture was lysed after 72 hours post-transfection, and the soluble fraction passed down a CaptureSelect™ affinity column. The column was washed with 500 mM NaCl before the bound fraction eluted with 2M MgCl</w:t>
      </w:r>
      <w:r>
        <w:rPr>
          <w:vertAlign w:val="subscript"/>
        </w:rPr>
        <w:t>2</w:t>
      </w:r>
      <w:r>
        <w:t xml:space="preserve">. Insoluble (I), soluble (S), unbound flow-through (FT), wash elution (W), elution (E). Marker (M) in both gels </w:t>
      </w:r>
      <w:r w:rsidRPr="003D2234">
        <w:rPr>
          <w:b/>
          <w:bCs/>
        </w:rPr>
        <w:t>a</w:t>
      </w:r>
      <w:r>
        <w:t xml:space="preserve"> and </w:t>
      </w:r>
      <w:r w:rsidRPr="003D2234">
        <w:rPr>
          <w:b/>
          <w:bCs/>
        </w:rPr>
        <w:t>c</w:t>
      </w:r>
      <w:r>
        <w:t xml:space="preserve"> is </w:t>
      </w:r>
      <w:r w:rsidRPr="00F166E8">
        <w:t>Precision Plus Protein Dual Color Standard</w:t>
      </w:r>
      <w:r>
        <w:t xml:space="preserve"> (Bio-Rad), with weights in kDa. A red arrow indicates BALF2 position in gels at ~123 kDa.</w:t>
      </w:r>
    </w:p>
    <w:p w14:paraId="27916151" w14:textId="77777777" w:rsidR="00E27EB8" w:rsidRDefault="00E27EB8" w:rsidP="00E27EB8">
      <w:r w:rsidRPr="4756540A">
        <w:t>ing a BALF2 site-size of 15 nt).</w:t>
      </w:r>
    </w:p>
    <w:p w14:paraId="0F4F1B06" w14:textId="77777777" w:rsidR="00E27EB8" w:rsidRDefault="00E27EB8" w:rsidP="00E27EB8">
      <w:pPr>
        <w:pStyle w:val="Figure"/>
      </w:pPr>
      <w:r>
        <w:lastRenderedPageBreak/>
        <w:drawing>
          <wp:inline distT="0" distB="0" distL="0" distR="0" wp14:anchorId="051703DD" wp14:editId="1392111D">
            <wp:extent cx="4486275" cy="5753509"/>
            <wp:effectExtent l="0" t="0" r="0" b="0"/>
            <wp:docPr id="195205848" name="Picture 5" descr="A close-up of several images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05848" name="Picture 5" descr="A close-up of several images of a cell&#10;&#10;Description automatically generated"/>
                    <pic:cNvPicPr/>
                  </pic:nvPicPr>
                  <pic:blipFill rotWithShape="1">
                    <a:blip r:embed="rId5" cstate="print">
                      <a:extLst>
                        <a:ext uri="{28A0092B-C50C-407E-A947-70E740481C1C}">
                          <a14:useLocalDpi xmlns:a14="http://schemas.microsoft.com/office/drawing/2010/main" val="0"/>
                        </a:ext>
                      </a:extLst>
                    </a:blip>
                    <a:srcRect l="2041" t="2853" r="13738" b="20785"/>
                    <a:stretch/>
                  </pic:blipFill>
                  <pic:spPr bwMode="auto">
                    <a:xfrm>
                      <a:off x="0" y="0"/>
                      <a:ext cx="4540605" cy="5823186"/>
                    </a:xfrm>
                    <a:prstGeom prst="rect">
                      <a:avLst/>
                    </a:prstGeom>
                    <a:ln>
                      <a:noFill/>
                    </a:ln>
                    <a:extLst>
                      <a:ext uri="{53640926-AAD7-44D8-BBD7-CCE9431645EC}">
                        <a14:shadowObscured xmlns:a14="http://schemas.microsoft.com/office/drawing/2010/main"/>
                      </a:ext>
                    </a:extLst>
                  </pic:spPr>
                </pic:pic>
              </a:graphicData>
            </a:graphic>
          </wp:inline>
        </w:drawing>
      </w:r>
    </w:p>
    <w:p w14:paraId="68CC6A4D" w14:textId="77777777" w:rsidR="00E27EB8" w:rsidRPr="00D7060F" w:rsidRDefault="00E27EB8" w:rsidP="00E27EB8">
      <w:pPr>
        <w:pStyle w:val="FigureHeadingLabel"/>
        <w:rPr>
          <w:rFonts w:cs="Times New Roman"/>
        </w:rPr>
      </w:pPr>
      <w:r>
        <w:t>Extended Data</w:t>
      </w:r>
      <w:r w:rsidRPr="00D7060F">
        <w:t xml:space="preserve"> </w:t>
      </w:r>
      <w:r>
        <w:fldChar w:fldCharType="begin"/>
      </w:r>
      <w:r>
        <w:instrText xml:space="preserve"> SEQ Supplementary_Figure \* ARABIC </w:instrText>
      </w:r>
      <w:r>
        <w:fldChar w:fldCharType="separate"/>
      </w:r>
      <w:r>
        <w:rPr>
          <w:noProof/>
        </w:rPr>
        <w:t>2</w:t>
      </w:r>
      <w:r>
        <w:rPr>
          <w:noProof/>
        </w:rPr>
        <w:fldChar w:fldCharType="end"/>
      </w:r>
      <w:r w:rsidRPr="00D7060F">
        <w:t xml:space="preserve">: </w:t>
      </w:r>
      <w:r>
        <w:t xml:space="preserve">Negative-staining electron microscopy of BALF2 oligomeric complexes. </w:t>
      </w:r>
      <w:r w:rsidRPr="003D2234">
        <w:rPr>
          <w:b/>
          <w:bCs/>
        </w:rPr>
        <w:t>a</w:t>
      </w:r>
      <w:r>
        <w:rPr>
          <w:b/>
          <w:bCs/>
        </w:rPr>
        <w:t>)</w:t>
      </w:r>
      <w:r>
        <w:t xml:space="preserve"> BALF2 monomers. Scale bar = 100 nm. </w:t>
      </w:r>
      <w:r w:rsidRPr="003D2234">
        <w:rPr>
          <w:b/>
          <w:bCs/>
        </w:rPr>
        <w:t>b</w:t>
      </w:r>
      <w:r>
        <w:rPr>
          <w:b/>
          <w:bCs/>
        </w:rPr>
        <w:t>)</w:t>
      </w:r>
      <w:r>
        <w:t xml:space="preserve"> Irregular protein-only filaments, formed under reducing conditions. Scale bar = 200 nm. </w:t>
      </w:r>
      <w:r w:rsidRPr="003D2234">
        <w:rPr>
          <w:b/>
          <w:bCs/>
        </w:rPr>
        <w:t>c</w:t>
      </w:r>
      <w:r>
        <w:rPr>
          <w:b/>
          <w:bCs/>
        </w:rPr>
        <w:t>)</w:t>
      </w:r>
      <w:r>
        <w:t xml:space="preserve"> BALF2 regular nucleoprotein filaments, formed on 60-mer oligonucleotide O2. Filaments could be very long and were often ruptured (left); could branch (middle); and could loop back on themselves (right). Scale bar = 200 nm. </w:t>
      </w:r>
      <w:r w:rsidRPr="003D2234">
        <w:rPr>
          <w:b/>
          <w:bCs/>
        </w:rPr>
        <w:t>d</w:t>
      </w:r>
      <w:r>
        <w:rPr>
          <w:b/>
          <w:bCs/>
        </w:rPr>
        <w:t>)</w:t>
      </w:r>
      <w:r>
        <w:t xml:space="preserve"> BALF2 nucleoprotein filament, showing regular turn. Scale bar = 50 nm. </w:t>
      </w:r>
    </w:p>
    <w:p w14:paraId="2BD090F8" w14:textId="77777777" w:rsidR="004E780C" w:rsidRDefault="004E780C"/>
    <w:p w14:paraId="3D9C72BC" w14:textId="77777777" w:rsidR="00E27EB8" w:rsidRDefault="00E27EB8"/>
    <w:p w14:paraId="7C8C6F84" w14:textId="77777777" w:rsidR="00E27EB8" w:rsidRDefault="00E27EB8"/>
    <w:p w14:paraId="1A551C90" w14:textId="77777777" w:rsidR="00E27EB8" w:rsidRDefault="00E27EB8"/>
    <w:p w14:paraId="75CCE55A" w14:textId="77777777" w:rsidR="00E27EB8" w:rsidRDefault="00E27EB8"/>
    <w:p w14:paraId="07786A4C" w14:textId="77777777" w:rsidR="00E27EB8" w:rsidRDefault="00E27EB8" w:rsidP="00E27EB8">
      <w:pPr>
        <w:pStyle w:val="Figure"/>
      </w:pPr>
      <w:r>
        <w:drawing>
          <wp:inline distT="0" distB="0" distL="0" distR="0" wp14:anchorId="5F4CDB12" wp14:editId="7E8D736D">
            <wp:extent cx="4261756" cy="6515100"/>
            <wp:effectExtent l="0" t="0" r="5715" b="0"/>
            <wp:docPr id="1385057431" name="Picture 7"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057431" name="Picture 7" descr="A close-up of a microscope&#10;&#10;Description automatically generated"/>
                    <pic:cNvPicPr/>
                  </pic:nvPicPr>
                  <pic:blipFill rotWithShape="1">
                    <a:blip r:embed="rId6" cstate="print">
                      <a:extLst>
                        <a:ext uri="{28A0092B-C50C-407E-A947-70E740481C1C}">
                          <a14:useLocalDpi xmlns:a14="http://schemas.microsoft.com/office/drawing/2010/main" val="0"/>
                        </a:ext>
                      </a:extLst>
                    </a:blip>
                    <a:srcRect l="1663" t="2350" r="26046" b="19507"/>
                    <a:stretch/>
                  </pic:blipFill>
                  <pic:spPr bwMode="auto">
                    <a:xfrm>
                      <a:off x="0" y="0"/>
                      <a:ext cx="4273135" cy="6532495"/>
                    </a:xfrm>
                    <a:prstGeom prst="rect">
                      <a:avLst/>
                    </a:prstGeom>
                    <a:ln>
                      <a:noFill/>
                    </a:ln>
                    <a:extLst>
                      <a:ext uri="{53640926-AAD7-44D8-BBD7-CCE9431645EC}">
                        <a14:shadowObscured xmlns:a14="http://schemas.microsoft.com/office/drawing/2010/main"/>
                      </a:ext>
                    </a:extLst>
                  </pic:spPr>
                </pic:pic>
              </a:graphicData>
            </a:graphic>
          </wp:inline>
        </w:drawing>
      </w:r>
    </w:p>
    <w:p w14:paraId="238474AD" w14:textId="77777777" w:rsidR="00E27EB8" w:rsidRDefault="00E27EB8" w:rsidP="00E27EB8">
      <w:pPr>
        <w:pStyle w:val="FigureHeadingLabel"/>
      </w:pPr>
    </w:p>
    <w:p w14:paraId="6FAF115A" w14:textId="77777777" w:rsidR="00E27EB8" w:rsidRDefault="00E27EB8" w:rsidP="00E27EB8">
      <w:pPr>
        <w:pStyle w:val="FigureHeadingLabel"/>
      </w:pPr>
    </w:p>
    <w:p w14:paraId="7F774279" w14:textId="77777777" w:rsidR="00E27EB8" w:rsidRDefault="00E27EB8" w:rsidP="00E27EB8">
      <w:pPr>
        <w:rPr>
          <w:lang w:val="en-GB"/>
        </w:rPr>
      </w:pPr>
      <w:r>
        <w:t>Extended Data</w:t>
      </w:r>
      <w:r w:rsidDel="00D300D0">
        <w:t xml:space="preserve"> </w:t>
      </w:r>
      <w:r>
        <w:fldChar w:fldCharType="begin"/>
      </w:r>
      <w:r>
        <w:instrText xml:space="preserve"> SEQ Supplementary_Figure \* ARABIC </w:instrText>
      </w:r>
      <w:r>
        <w:fldChar w:fldCharType="separate"/>
      </w:r>
      <w:r>
        <w:rPr>
          <w:noProof/>
        </w:rPr>
        <w:t>3</w:t>
      </w:r>
      <w:r>
        <w:rPr>
          <w:noProof/>
        </w:rPr>
        <w:fldChar w:fldCharType="end"/>
      </w:r>
      <w:r>
        <w:t xml:space="preserve">: Negative-staining electron microscopy of BALF2 binding to ssDNA. </w:t>
      </w:r>
      <w:r w:rsidRPr="00B74D29">
        <w:rPr>
          <w:b/>
          <w:bCs/>
        </w:rPr>
        <w:t>a</w:t>
      </w:r>
      <w:r>
        <w:rPr>
          <w:b/>
          <w:bCs/>
        </w:rPr>
        <w:t>)</w:t>
      </w:r>
      <w:r>
        <w:t xml:space="preserve"> BALF2 at sub-saturating levels initially binds to M13 DNA in short stretches in a cooperative manner. BALF2 monomers </w:t>
      </w:r>
      <w:r>
        <w:lastRenderedPageBreak/>
        <w:t xml:space="preserve">are visible on the DNA and appear as beads (white arrows). Scale bar = 50 nm. </w:t>
      </w:r>
      <w:r w:rsidRPr="00B74D29">
        <w:rPr>
          <w:b/>
          <w:bCs/>
        </w:rPr>
        <w:t>b</w:t>
      </w:r>
      <w:r>
        <w:rPr>
          <w:b/>
          <w:bCs/>
        </w:rPr>
        <w:t>)</w:t>
      </w:r>
      <w:r>
        <w:t xml:space="preserve"> At saturating concentrations, BALF2 immediately coats M13 DNA in a rapid and highly cooperative manner, holding it in an extended conformation. Scale bar = 200 nm. </w:t>
      </w:r>
      <w:r w:rsidRPr="00B74D29">
        <w:rPr>
          <w:b/>
          <w:bCs/>
        </w:rPr>
        <w:t>c</w:t>
      </w:r>
      <w:r>
        <w:rPr>
          <w:b/>
          <w:bCs/>
        </w:rPr>
        <w:t>)</w:t>
      </w:r>
      <w:r>
        <w:t xml:space="preserve"> BALF2 coats short oligonucleotides similarly and appears as beaded rods (white arrows). Scale bar = 100 nm. </w:t>
      </w:r>
      <w:r>
        <w:rPr>
          <w:lang w:val="en-GB"/>
        </w:rPr>
        <w:t>a much shorter substrate O3 (Extended Data</w:t>
      </w:r>
      <w:r w:rsidDel="00D300D0">
        <w:rPr>
          <w:lang w:val="en-GB"/>
        </w:rPr>
        <w:t xml:space="preserve"> </w:t>
      </w:r>
      <w:r>
        <w:rPr>
          <w:lang w:val="en-GB"/>
        </w:rPr>
        <w:t>3c).</w:t>
      </w:r>
    </w:p>
    <w:p w14:paraId="0C6EFA19" w14:textId="77777777" w:rsidR="00E27EB8" w:rsidRPr="00F70293" w:rsidRDefault="00E27EB8" w:rsidP="00E27EB8">
      <w:pPr>
        <w:pStyle w:val="Figure"/>
      </w:pPr>
      <w:r>
        <w:drawing>
          <wp:inline distT="0" distB="0" distL="0" distR="0" wp14:anchorId="16ED36D2" wp14:editId="7814D380">
            <wp:extent cx="5775960" cy="1628749"/>
            <wp:effectExtent l="0" t="0" r="0" b="0"/>
            <wp:docPr id="872793917" name="Picture 9" descr="A screenshot of a cell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793917" name="Picture 9" descr="A screenshot of a cell phone&#10;&#10;AI-generated content may be incorrect."/>
                    <pic:cNvPicPr/>
                  </pic:nvPicPr>
                  <pic:blipFill rotWithShape="1">
                    <a:blip r:embed="rId7" cstate="print">
                      <a:extLst>
                        <a:ext uri="{28A0092B-C50C-407E-A947-70E740481C1C}">
                          <a14:useLocalDpi xmlns:a14="http://schemas.microsoft.com/office/drawing/2010/main" val="0"/>
                        </a:ext>
                      </a:extLst>
                    </a:blip>
                    <a:srcRect l="5152" t="2264" r="6603" b="80140"/>
                    <a:stretch/>
                  </pic:blipFill>
                  <pic:spPr bwMode="auto">
                    <a:xfrm>
                      <a:off x="0" y="0"/>
                      <a:ext cx="5775960" cy="1628749"/>
                    </a:xfrm>
                    <a:prstGeom prst="rect">
                      <a:avLst/>
                    </a:prstGeom>
                    <a:ln>
                      <a:noFill/>
                    </a:ln>
                    <a:extLst>
                      <a:ext uri="{53640926-AAD7-44D8-BBD7-CCE9431645EC}">
                        <a14:shadowObscured xmlns:a14="http://schemas.microsoft.com/office/drawing/2010/main"/>
                      </a:ext>
                    </a:extLst>
                  </pic:spPr>
                </pic:pic>
              </a:graphicData>
            </a:graphic>
          </wp:inline>
        </w:drawing>
      </w:r>
    </w:p>
    <w:p w14:paraId="187D3880" w14:textId="77777777" w:rsidR="00E27EB8" w:rsidRPr="00F028E7" w:rsidRDefault="00E27EB8" w:rsidP="00E27EB8">
      <w:pPr>
        <w:pStyle w:val="FigureHeadingLabel"/>
      </w:pPr>
      <w:r>
        <w:t xml:space="preserve">Extended Data </w:t>
      </w:r>
      <w:r>
        <w:fldChar w:fldCharType="begin"/>
      </w:r>
      <w:r>
        <w:instrText xml:space="preserve"> SEQ Supplementary_Figure \* ARABIC </w:instrText>
      </w:r>
      <w:r>
        <w:fldChar w:fldCharType="separate"/>
      </w:r>
      <w:r>
        <w:rPr>
          <w:noProof/>
        </w:rPr>
        <w:t>4</w:t>
      </w:r>
      <w:r>
        <w:rPr>
          <w:noProof/>
        </w:rPr>
        <w:fldChar w:fldCharType="end"/>
      </w:r>
      <w:r>
        <w:t>: Time-course assay of BALF2-faciliated annealing of 1 kb thermally denatured dsDNA. At the indicated timepoints, aliquots were analysed by negative-staining electron-microscopy. Initially, BALF2 appears to coat short segments and form a mixture of thick filaments and thin BALF2-coated ssDNA (black arrow). As the incubation continued, the regular filaments increased in stability and length and at points split apart to reveal they were composed of two BALF2 protofilaments. Scale bar = 200 nm.</w:t>
      </w:r>
    </w:p>
    <w:p w14:paraId="41AAD0DA" w14:textId="77777777" w:rsidR="00E27EB8" w:rsidRDefault="00E27EB8" w:rsidP="00E27EB8">
      <w:pPr>
        <w:pStyle w:val="Figure"/>
      </w:pPr>
      <w:r w:rsidRPr="00D2080A">
        <w:lastRenderedPageBreak/>
        <w:drawing>
          <wp:inline distT="0" distB="0" distL="0" distR="0" wp14:anchorId="16B80F4F" wp14:editId="3CAE1CA3">
            <wp:extent cx="5660406" cy="7077075"/>
            <wp:effectExtent l="0" t="0" r="0" b="0"/>
            <wp:docPr id="1592019878" name="Picture 1592019878" descr="A diagram of a dna&#10;&#10;Description automatically generated with medium confidence">
              <a:extLst xmlns:a="http://schemas.openxmlformats.org/drawingml/2006/main">
                <a:ext uri="{FF2B5EF4-FFF2-40B4-BE49-F238E27FC236}">
                  <a16:creationId xmlns:a16="http://schemas.microsoft.com/office/drawing/2014/main" id="{0328BF2F-4D9D-9F6F-9465-9D602585E72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diagram of a dna&#10;&#10;Description automatically generated with medium confidence">
                      <a:extLst>
                        <a:ext uri="{FF2B5EF4-FFF2-40B4-BE49-F238E27FC236}">
                          <a16:creationId xmlns:a16="http://schemas.microsoft.com/office/drawing/2014/main" id="{0328BF2F-4D9D-9F6F-9465-9D602585E72C}"/>
                        </a:ext>
                      </a:extLst>
                    </pic:cNvPr>
                    <pic:cNvPicPr>
                      <a:picLocks noChangeAspect="1"/>
                    </pic:cNvPicPr>
                  </pic:nvPicPr>
                  <pic:blipFill rotWithShape="1">
                    <a:blip r:embed="rId8" cstate="print">
                      <a:extLst>
                        <a:ext uri="{28A0092B-C50C-407E-A947-70E740481C1C}">
                          <a14:useLocalDpi xmlns:a14="http://schemas.microsoft.com/office/drawing/2010/main" val="0"/>
                        </a:ext>
                      </a:extLst>
                    </a:blip>
                    <a:srcRect l="3577"/>
                    <a:stretch/>
                  </pic:blipFill>
                  <pic:spPr>
                    <a:xfrm>
                      <a:off x="0" y="0"/>
                      <a:ext cx="5717270" cy="7148171"/>
                    </a:xfrm>
                    <a:prstGeom prst="rect">
                      <a:avLst/>
                    </a:prstGeom>
                  </pic:spPr>
                </pic:pic>
              </a:graphicData>
            </a:graphic>
          </wp:inline>
        </w:drawing>
      </w:r>
    </w:p>
    <w:p w14:paraId="511B1316" w14:textId="77777777" w:rsidR="00E27EB8" w:rsidRPr="00D2080A" w:rsidRDefault="00E27EB8" w:rsidP="00E27EB8">
      <w:pPr>
        <w:pStyle w:val="FigureHeadingLabel"/>
        <w:rPr>
          <w:lang w:val="en-AU"/>
        </w:rPr>
      </w:pPr>
      <w:bookmarkStart w:id="0" w:name="_Ref194505992"/>
      <w:r>
        <w:t>Extended Data</w:t>
      </w:r>
      <w:r w:rsidDel="00A969E1">
        <w:t xml:space="preserve"> </w:t>
      </w:r>
      <w:r>
        <w:fldChar w:fldCharType="begin"/>
      </w:r>
      <w:r>
        <w:instrText xml:space="preserve"> SEQ Supplementary_Figure \* ARABIC </w:instrText>
      </w:r>
      <w:r>
        <w:fldChar w:fldCharType="separate"/>
      </w:r>
      <w:r>
        <w:rPr>
          <w:noProof/>
        </w:rPr>
        <w:t>5</w:t>
      </w:r>
      <w:r>
        <w:rPr>
          <w:noProof/>
        </w:rPr>
        <w:fldChar w:fldCharType="end"/>
      </w:r>
      <w:bookmarkEnd w:id="0"/>
      <w:r>
        <w:t xml:space="preserve">: Processing workflow of BALF2 cryo-EM Data. </w:t>
      </w:r>
      <w:r w:rsidRPr="00D2080A">
        <w:t xml:space="preserve">In total, 2 datasets were collected and processed to render 4 different maps. The reported resolution by gold-standard FSC cutoff from </w:t>
      </w:r>
      <w:r>
        <w:t>C</w:t>
      </w:r>
      <w:r w:rsidRPr="00D2080A">
        <w:t>ryo</w:t>
      </w:r>
      <w:r>
        <w:t>SPARC v4.0</w:t>
      </w:r>
      <w:r w:rsidRPr="00D2080A">
        <w:t xml:space="preserve"> is included near each map. A traditional single-molecule reconstruction approach was used to generate maps of the asymmetric unit of the filaments, by masking out neighbouring dimers. Both the dimeric and monomeric reconstructions were used to solve the structure of BALF2. The tetrameric map was used to generate a model for use in molecular dynamics simulations and was fed back into the processing pipeline to generate an initial model for helical reconstruction.</w:t>
      </w:r>
      <w:r>
        <w:t xml:space="preserve"> Colours indicate processing pipelines for monomer (purple), dimer (red), tetramer (brown), and filament (cyan).</w:t>
      </w:r>
    </w:p>
    <w:p w14:paraId="3A8F4CAA" w14:textId="77777777" w:rsidR="00E27EB8" w:rsidRPr="001260E7" w:rsidRDefault="00E27EB8" w:rsidP="00E27EB8">
      <w:pPr>
        <w:pStyle w:val="Figure"/>
      </w:pPr>
      <w:r w:rsidRPr="0021118B">
        <w:lastRenderedPageBreak/>
        <w:drawing>
          <wp:inline distT="0" distB="0" distL="0" distR="0" wp14:anchorId="4E2F4E6B" wp14:editId="67F853A7">
            <wp:extent cx="4810125" cy="4028900"/>
            <wp:effectExtent l="0" t="0" r="0" b="0"/>
            <wp:docPr id="1147631448" name="Picture 1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631448" name="Picture 13" descr="A screenshot of a cell phone&#10;&#10;Description automatically generated"/>
                    <pic:cNvPicPr/>
                  </pic:nvPicPr>
                  <pic:blipFill rotWithShape="1">
                    <a:blip r:embed="rId9" cstate="print">
                      <a:extLst>
                        <a:ext uri="{28A0092B-C50C-407E-A947-70E740481C1C}">
                          <a14:useLocalDpi xmlns:a14="http://schemas.microsoft.com/office/drawing/2010/main" val="0"/>
                        </a:ext>
                      </a:extLst>
                    </a:blip>
                    <a:srcRect l="7050" t="3281" r="12995" b="49358"/>
                    <a:stretch/>
                  </pic:blipFill>
                  <pic:spPr bwMode="auto">
                    <a:xfrm>
                      <a:off x="0" y="0"/>
                      <a:ext cx="4828365" cy="4044178"/>
                    </a:xfrm>
                    <a:prstGeom prst="rect">
                      <a:avLst/>
                    </a:prstGeom>
                    <a:ln>
                      <a:noFill/>
                    </a:ln>
                    <a:extLst>
                      <a:ext uri="{53640926-AAD7-44D8-BBD7-CCE9431645EC}">
                        <a14:shadowObscured xmlns:a14="http://schemas.microsoft.com/office/drawing/2010/main"/>
                      </a:ext>
                    </a:extLst>
                  </pic:spPr>
                </pic:pic>
              </a:graphicData>
            </a:graphic>
          </wp:inline>
        </w:drawing>
      </w:r>
    </w:p>
    <w:p w14:paraId="267CE509" w14:textId="77777777" w:rsidR="00E27EB8" w:rsidRDefault="00E27EB8" w:rsidP="00E27EB8">
      <w:pPr>
        <w:keepNext/>
        <w:spacing w:after="0" w:line="240" w:lineRule="auto"/>
        <w:jc w:val="center"/>
      </w:pPr>
    </w:p>
    <w:p w14:paraId="206B447E" w14:textId="77777777" w:rsidR="00E27EB8" w:rsidRDefault="00E27EB8" w:rsidP="00E27EB8">
      <w:pPr>
        <w:pStyle w:val="FigureHeadingLabel"/>
      </w:pPr>
      <w:r>
        <w:t>Extended Data</w:t>
      </w:r>
      <w:r w:rsidDel="00163C65">
        <w:t xml:space="preserve"> </w:t>
      </w:r>
      <w:r>
        <w:t xml:space="preserve">6: </w:t>
      </w:r>
      <w:r w:rsidRPr="00C64556">
        <w:t xml:space="preserve">Fitting of DNA bases and </w:t>
      </w:r>
      <w:r>
        <w:t>u</w:t>
      </w:r>
      <w:r w:rsidRPr="00C64556">
        <w:t xml:space="preserve">racil into </w:t>
      </w:r>
      <w:r>
        <w:t>position 3</w:t>
      </w:r>
      <w:r w:rsidRPr="00C64556">
        <w:t>. Each nucleotide base was individually modelled in using ISOLDE and the existing density as a guide. The purines (</w:t>
      </w:r>
      <w:proofErr w:type="gramStart"/>
      <w:r w:rsidRPr="00C64556">
        <w:rPr>
          <w:b/>
          <w:bCs/>
        </w:rPr>
        <w:t>a</w:t>
      </w:r>
      <w:proofErr w:type="gramEnd"/>
      <w:r w:rsidRPr="00C64556">
        <w:rPr>
          <w:b/>
          <w:bCs/>
        </w:rPr>
        <w:t xml:space="preserve"> </w:t>
      </w:r>
      <w:r>
        <w:t>a</w:t>
      </w:r>
      <w:r w:rsidRPr="00C64556">
        <w:t xml:space="preserve">denosine, </w:t>
      </w:r>
      <w:r w:rsidRPr="00C64556">
        <w:rPr>
          <w:b/>
          <w:bCs/>
        </w:rPr>
        <w:t xml:space="preserve">b </w:t>
      </w:r>
      <w:r w:rsidRPr="00C64556">
        <w:t>cytosine) fit into the site through the promiscuous architecture, namely S849 and the backbone atoms of V726, V727, F728, T729. The pyrimidines (</w:t>
      </w:r>
      <w:r w:rsidRPr="00C64556">
        <w:rPr>
          <w:b/>
          <w:bCs/>
        </w:rPr>
        <w:t xml:space="preserve">c </w:t>
      </w:r>
      <w:r w:rsidRPr="00C64556">
        <w:t xml:space="preserve">guanine, </w:t>
      </w:r>
      <w:r w:rsidRPr="00C64556">
        <w:rPr>
          <w:b/>
          <w:bCs/>
        </w:rPr>
        <w:t xml:space="preserve">d </w:t>
      </w:r>
      <w:r w:rsidRPr="00C64556">
        <w:t xml:space="preserve">thymine, </w:t>
      </w:r>
      <w:r w:rsidRPr="00C64556">
        <w:rPr>
          <w:b/>
          <w:bCs/>
        </w:rPr>
        <w:t>e</w:t>
      </w:r>
      <w:r w:rsidRPr="00C64556">
        <w:t xml:space="preserve"> uracil)</w:t>
      </w:r>
      <w:r w:rsidRPr="00C64556">
        <w:rPr>
          <w:b/>
          <w:bCs/>
        </w:rPr>
        <w:t xml:space="preserve"> </w:t>
      </w:r>
      <w:r w:rsidRPr="00C64556">
        <w:t xml:space="preserve">are additionally bound through a water molecule. </w:t>
      </w:r>
    </w:p>
    <w:p w14:paraId="47DFC5CD" w14:textId="77777777" w:rsidR="00E27EB8" w:rsidRDefault="00E27EB8" w:rsidP="00E27EB8">
      <w:pPr>
        <w:pStyle w:val="FigureHeadingLabel"/>
      </w:pPr>
    </w:p>
    <w:p w14:paraId="41F70E96" w14:textId="77777777" w:rsidR="00E27EB8" w:rsidRPr="00F55464" w:rsidRDefault="00E27EB8" w:rsidP="00E27EB8"/>
    <w:p w14:paraId="3DF76742" w14:textId="77777777" w:rsidR="00E27EB8" w:rsidRDefault="00E27EB8" w:rsidP="00E27EB8">
      <w:pPr>
        <w:pStyle w:val="Figure"/>
      </w:pPr>
      <w:r>
        <w:lastRenderedPageBreak/>
        <w:drawing>
          <wp:inline distT="0" distB="0" distL="0" distR="0" wp14:anchorId="7BBBD517" wp14:editId="1A632111">
            <wp:extent cx="5543550" cy="5973252"/>
            <wp:effectExtent l="0" t="0" r="0" b="8890"/>
            <wp:docPr id="1401917754" name="Picture 2" descr="A table with colorful ribbon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917754" name="Picture 2" descr="A table with colorful ribbons and numbers&#10;&#10;AI-generated content may be incorrect."/>
                    <pic:cNvPicPr/>
                  </pic:nvPicPr>
                  <pic:blipFill rotWithShape="1">
                    <a:blip r:embed="rId10" cstate="print">
                      <a:extLst>
                        <a:ext uri="{28A0092B-C50C-407E-A947-70E740481C1C}">
                          <a14:useLocalDpi xmlns:a14="http://schemas.microsoft.com/office/drawing/2010/main" val="0"/>
                        </a:ext>
                      </a:extLst>
                    </a:blip>
                    <a:srcRect l="847" t="-75" r="939" b="-356"/>
                    <a:stretch/>
                  </pic:blipFill>
                  <pic:spPr bwMode="auto">
                    <a:xfrm>
                      <a:off x="0" y="0"/>
                      <a:ext cx="5575801" cy="6008003"/>
                    </a:xfrm>
                    <a:prstGeom prst="rect">
                      <a:avLst/>
                    </a:prstGeom>
                    <a:ln>
                      <a:noFill/>
                    </a:ln>
                    <a:extLst>
                      <a:ext uri="{53640926-AAD7-44D8-BBD7-CCE9431645EC}">
                        <a14:shadowObscured xmlns:a14="http://schemas.microsoft.com/office/drawing/2010/main"/>
                      </a:ext>
                    </a:extLst>
                  </pic:spPr>
                </pic:pic>
              </a:graphicData>
            </a:graphic>
          </wp:inline>
        </w:drawing>
      </w:r>
    </w:p>
    <w:p w14:paraId="574135DA" w14:textId="77777777" w:rsidR="00E27EB8" w:rsidRDefault="00E27EB8" w:rsidP="00E27EB8">
      <w:pPr>
        <w:pStyle w:val="FigureHeadingLabel"/>
      </w:pPr>
      <w:r>
        <w:t>Extended Data</w:t>
      </w:r>
      <w:r w:rsidDel="008204E5">
        <w:t xml:space="preserve"> </w:t>
      </w:r>
      <w:r>
        <w:t xml:space="preserve">7: </w:t>
      </w:r>
      <w:r>
        <w:rPr>
          <w:b/>
          <w:bCs/>
        </w:rPr>
        <w:t>a)</w:t>
      </w:r>
      <w:r>
        <w:rPr>
          <w:b/>
        </w:rPr>
        <w:t xml:space="preserve"> </w:t>
      </w:r>
      <w:r>
        <w:t xml:space="preserve">Structural homologues of BALF2, as determined by the DALI protein structure comparison server </w:t>
      </w:r>
      <w:r>
        <w:fldChar w:fldCharType="begin"/>
      </w:r>
      <w:r>
        <w:instrText xml:space="preserve"> ADDIN EN.CITE &lt;EndNote&gt;&lt;Cite&gt;&lt;Author&gt;Holm&lt;/Author&gt;&lt;Year&gt;2023&lt;/Year&gt;&lt;RecNum&gt;431&lt;/RecNum&gt;&lt;DisplayText&gt;(Holm et al., 2023)&lt;/DisplayText&gt;&lt;record&gt;&lt;rec-number&gt;431&lt;/rec-number&gt;&lt;foreign-keys&gt;&lt;key app="EN" db-id="dzpwa5d2f029f4ezvtgvwwvmaefd022zsv0v" timestamp="1740557049" guid="bf52028e-f2bd-4d35-85fa-394899d2d9a5"&gt;431&lt;/key&gt;&lt;/foreign-keys&gt;&lt;ref-type name="Journal Article"&gt;17&lt;/ref-type&gt;&lt;contributors&gt;&lt;authors&gt;&lt;author&gt;Holm, Liisa&lt;/author&gt;&lt;author&gt;Laiho, Aleksi&lt;/author&gt;&lt;author&gt;Törönen, Petri&lt;/author&gt;&lt;author&gt;Salgado, Marco&lt;/author&gt;&lt;/authors&gt;&lt;/contributors&gt;&lt;titles&gt;&lt;title&gt;DALI shines a light on remote homologs: One hundred discoveries&lt;/title&gt;&lt;secondary-title&gt;Protein Science&lt;/secondary-title&gt;&lt;/titles&gt;&lt;periodical&gt;&lt;full-title&gt;Protein Science&lt;/full-title&gt;&lt;/periodical&gt;&lt;pages&gt;e4519&lt;/pages&gt;&lt;volume&gt;32&lt;/volume&gt;&lt;number&gt;1&lt;/number&gt;&lt;dates&gt;&lt;year&gt;2023&lt;/year&gt;&lt;/dates&gt;&lt;isbn&gt;0961-8368&lt;/isbn&gt;&lt;urls&gt;&lt;related-urls&gt;&lt;url&gt;https://onlinelibrary.wiley.com/doi/abs/10.1002/pro.4519&lt;/url&gt;&lt;/related-urls&gt;&lt;/urls&gt;&lt;electronic-resource-num&gt;https://doi.org/10.1002/pro.4519&lt;/electronic-resource-num&gt;&lt;/record&gt;&lt;/Cite&gt;&lt;/EndNote&gt;</w:instrText>
      </w:r>
      <w:r>
        <w:fldChar w:fldCharType="separate"/>
      </w:r>
      <w:r>
        <w:rPr>
          <w:noProof/>
        </w:rPr>
        <w:t>(Holm et al., 2023)</w:t>
      </w:r>
      <w:r>
        <w:fldChar w:fldCharType="end"/>
      </w:r>
      <w:r>
        <w:t xml:space="preserve">. Hits were generated using either the BALF2 N-terminal domain (*) or OB-fold (^) as the query structure. RMSD: root mean squared deviation in distance between </w:t>
      </w:r>
      <w:r>
        <w:rPr>
          <w:rFonts w:cs="Times New Roman"/>
        </w:rPr>
        <w:t xml:space="preserve">Cα of query and search result. LALI: number of equivalent residues between query and search result. </w:t>
      </w:r>
      <w:r>
        <w:rPr>
          <w:b/>
          <w:bCs/>
        </w:rPr>
        <w:t>b)</w:t>
      </w:r>
      <w:r>
        <w:t xml:space="preserve"> Overlay of the BALF2 OB-fold with the corresponding region from each relevant hit in the DALI search, showing the high structural likeness. PDB ID and colour key for each structure is provided. </w:t>
      </w:r>
      <w:r>
        <w:rPr>
          <w:b/>
          <w:bCs/>
        </w:rPr>
        <w:t>c)</w:t>
      </w:r>
      <w:r>
        <w:t xml:space="preserve"> Comparison of the conformation of ssDNA (grey) in Enc34 SSB and BALF2, coloured as in </w:t>
      </w:r>
      <w:r>
        <w:rPr>
          <w:b/>
          <w:bCs/>
        </w:rPr>
        <w:t>b</w:t>
      </w:r>
      <w:r>
        <w:t>. Both structures are bound to ssDNA with all bases directed towards the protein, except for 3 bases at approximately the same point which are directed outward.</w:t>
      </w:r>
    </w:p>
    <w:p w14:paraId="20B5CE8D" w14:textId="77777777" w:rsidR="00E27EB8" w:rsidRDefault="00E27EB8" w:rsidP="00E27EB8">
      <w:pPr>
        <w:pStyle w:val="Figure"/>
      </w:pPr>
      <w:r>
        <w:lastRenderedPageBreak/>
        <w:drawing>
          <wp:inline distT="0" distB="0" distL="0" distR="0" wp14:anchorId="1642A0C1" wp14:editId="114EE2E5">
            <wp:extent cx="5116195" cy="4186472"/>
            <wp:effectExtent l="0" t="0" r="8255" b="5080"/>
            <wp:docPr id="518515547" name="Picture 2" descr="A collage of diagrams and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515547" name="Picture 2" descr="A collage of diagrams and graphs&#10;&#10;AI-generated content may be incorrect."/>
                    <pic:cNvPicPr/>
                  </pic:nvPicPr>
                  <pic:blipFill rotWithShape="1">
                    <a:blip r:embed="rId11" cstate="print">
                      <a:extLst>
                        <a:ext uri="{28A0092B-C50C-407E-A947-70E740481C1C}">
                          <a14:useLocalDpi xmlns:a14="http://schemas.microsoft.com/office/drawing/2010/main" val="0"/>
                        </a:ext>
                      </a:extLst>
                    </a:blip>
                    <a:srcRect l="7977" t="3946" r="4609" b="9335"/>
                    <a:stretch/>
                  </pic:blipFill>
                  <pic:spPr bwMode="auto">
                    <a:xfrm>
                      <a:off x="0" y="0"/>
                      <a:ext cx="5131669" cy="4199134"/>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p>
    <w:p w14:paraId="79C1AE24" w14:textId="77777777" w:rsidR="00E27EB8" w:rsidRPr="009A4133" w:rsidRDefault="00E27EB8" w:rsidP="00E27EB8">
      <w:pPr>
        <w:pStyle w:val="FigureHeadingLabel"/>
      </w:pPr>
      <w:r>
        <w:t>Extended Data 8</w:t>
      </w:r>
      <w:r w:rsidRPr="000A145B">
        <w:t>:</w:t>
      </w:r>
      <w:r w:rsidRPr="00E719E3">
        <w:t xml:space="preserve"> </w:t>
      </w:r>
      <w:r w:rsidRPr="00D56D3E">
        <w:t xml:space="preserve">Molecular </w:t>
      </w:r>
      <w:r>
        <w:t>d</w:t>
      </w:r>
      <w:r w:rsidRPr="00D56D3E">
        <w:t xml:space="preserve">ynamics </w:t>
      </w:r>
      <w:r>
        <w:t>s</w:t>
      </w:r>
      <w:r w:rsidRPr="00D56D3E">
        <w:t xml:space="preserve">imulations of BALF2 monomer in absence and presence of a </w:t>
      </w:r>
      <w:r>
        <w:t>Zn</w:t>
      </w:r>
      <w:r w:rsidRPr="00061130">
        <w:rPr>
          <w:vertAlign w:val="superscript"/>
        </w:rPr>
        <w:t>2+</w:t>
      </w:r>
      <w:r w:rsidRPr="00D56D3E">
        <w:t xml:space="preserve"> at the zinc binding site.</w:t>
      </w:r>
      <w:r w:rsidRPr="00E719E3">
        <w:rPr>
          <w:b/>
          <w:bCs/>
        </w:rPr>
        <w:t xml:space="preserve"> </w:t>
      </w:r>
      <w:r>
        <w:rPr>
          <w:b/>
          <w:bCs/>
        </w:rPr>
        <w:t xml:space="preserve">a) </w:t>
      </w:r>
      <w:r w:rsidRPr="00E719E3">
        <w:t xml:space="preserve">The monomer backbone positional root-mean-square deviations (RMSD) from the initial structure along the simulation time and </w:t>
      </w:r>
      <w:r w:rsidRPr="00EA461F">
        <w:rPr>
          <w:b/>
          <w:bCs/>
        </w:rPr>
        <w:t>b</w:t>
      </w:r>
      <w:r>
        <w:rPr>
          <w:b/>
          <w:bCs/>
        </w:rPr>
        <w:t>)</w:t>
      </w:r>
      <w:r>
        <w:t xml:space="preserve"> </w:t>
      </w:r>
      <w:r w:rsidRPr="00E719E3">
        <w:t xml:space="preserve">the Cα atom positional root-mean-square fluctuations (RMSF) in the absence (no_zn) and presence of </w:t>
      </w:r>
      <w:r>
        <w:t>Zn</w:t>
      </w:r>
      <w:r w:rsidRPr="001700C3">
        <w:rPr>
          <w:vertAlign w:val="superscript"/>
        </w:rPr>
        <w:t>2+</w:t>
      </w:r>
      <w:r w:rsidRPr="00E719E3">
        <w:t xml:space="preserve"> bound to C453, C456</w:t>
      </w:r>
      <w:r>
        <w:t>,</w:t>
      </w:r>
      <w:r w:rsidRPr="00E719E3">
        <w:t xml:space="preserve"> and C464 (zn). Increased flexibility </w:t>
      </w:r>
      <w:r>
        <w:t>at</w:t>
      </w:r>
      <w:r w:rsidRPr="00E719E3">
        <w:t xml:space="preserve"> the zinc binding site region </w:t>
      </w:r>
      <w:r>
        <w:t>comprised of residues 440 to 472 (</w:t>
      </w:r>
      <w:r w:rsidRPr="00E719E3">
        <w:t xml:space="preserve">shaded in grey) is observed in absence of </w:t>
      </w:r>
      <w:r>
        <w:t>a Zn</w:t>
      </w:r>
      <w:r w:rsidRPr="00061130">
        <w:rPr>
          <w:vertAlign w:val="superscript"/>
        </w:rPr>
        <w:t>2+</w:t>
      </w:r>
      <w:r w:rsidRPr="00E719E3">
        <w:t xml:space="preserve">. For each system, RMSD and RMSF are averages of </w:t>
      </w:r>
      <w:r>
        <w:t>five</w:t>
      </w:r>
      <w:r w:rsidRPr="00E719E3">
        <w:t xml:space="preserve"> independent simulations. </w:t>
      </w:r>
      <w:r>
        <w:rPr>
          <w:b/>
          <w:bCs/>
        </w:rPr>
        <w:t>c)</w:t>
      </w:r>
      <w:r>
        <w:t xml:space="preserve"> </w:t>
      </w:r>
      <w:r w:rsidRPr="00532675">
        <w:t>The</w:t>
      </w:r>
      <w:r w:rsidRPr="00532675">
        <w:rPr>
          <w:b/>
          <w:bCs/>
        </w:rPr>
        <w:t xml:space="preserve"> </w:t>
      </w:r>
      <w:r>
        <w:t>VolMap</w:t>
      </w:r>
      <w:r>
        <w:rPr>
          <w:b/>
          <w:bCs/>
        </w:rPr>
        <w:t xml:space="preserve"> </w:t>
      </w:r>
      <w:r w:rsidRPr="00532675">
        <w:t>average</w:t>
      </w:r>
      <w:r w:rsidRPr="00532675">
        <w:rPr>
          <w:b/>
          <w:bCs/>
        </w:rPr>
        <w:t xml:space="preserve"> </w:t>
      </w:r>
      <w:r w:rsidRPr="00532675">
        <w:t>water</w:t>
      </w:r>
      <w:r w:rsidRPr="00532675">
        <w:rPr>
          <w:b/>
          <w:bCs/>
        </w:rPr>
        <w:t xml:space="preserve"> </w:t>
      </w:r>
      <w:r w:rsidRPr="00532675">
        <w:t xml:space="preserve">density at the </w:t>
      </w:r>
      <w:r>
        <w:t>zinc</w:t>
      </w:r>
      <w:r w:rsidRPr="00532675">
        <w:rPr>
          <w:vertAlign w:val="superscript"/>
        </w:rPr>
        <w:t xml:space="preserve"> </w:t>
      </w:r>
      <w:r w:rsidRPr="00532675">
        <w:t>binding site showing the Zn</w:t>
      </w:r>
      <w:r w:rsidRPr="00532675">
        <w:rPr>
          <w:vertAlign w:val="superscript"/>
        </w:rPr>
        <w:t xml:space="preserve">2+ </w:t>
      </w:r>
      <w:r w:rsidRPr="00532675">
        <w:t>(</w:t>
      </w:r>
      <w:r>
        <w:t>blue</w:t>
      </w:r>
      <w:r w:rsidRPr="00532675">
        <w:t>) coordinated by the three Cys (C453, C456</w:t>
      </w:r>
      <w:r>
        <w:t>,</w:t>
      </w:r>
      <w:r w:rsidRPr="00532675">
        <w:t xml:space="preserve"> and C464) and two water molecules</w:t>
      </w:r>
      <w:r>
        <w:t xml:space="preserve"> (isovalue= 0.6)</w:t>
      </w:r>
      <w:r w:rsidRPr="00532675">
        <w:t>. The average distance between the Zn</w:t>
      </w:r>
      <w:r w:rsidRPr="00532675">
        <w:rPr>
          <w:vertAlign w:val="superscript"/>
        </w:rPr>
        <w:t>2+</w:t>
      </w:r>
      <w:r w:rsidRPr="00532675">
        <w:t xml:space="preserve"> and the closer water molecule at the binding site from the five independent simulations = 1.9 </w:t>
      </w:r>
      <w:r w:rsidRPr="00532675">
        <w:rPr>
          <w:rFonts w:ascii="Symbol" w:eastAsia="Symbol" w:hAnsi="Symbol" w:cs="Symbol"/>
        </w:rPr>
        <w:t>±</w:t>
      </w:r>
      <w:r w:rsidRPr="00532675">
        <w:t xml:space="preserve"> 0.05 Å. The other water molecule </w:t>
      </w:r>
      <w:r>
        <w:t xml:space="preserve">that interacts with Y443 and T467 </w:t>
      </w:r>
      <w:r w:rsidRPr="00532675">
        <w:t>was exchangeable during the simulations.</w:t>
      </w:r>
      <w:r>
        <w:t xml:space="preserve"> </w:t>
      </w:r>
      <w:r>
        <w:rPr>
          <w:b/>
          <w:bCs/>
        </w:rPr>
        <w:t>d)</w:t>
      </w:r>
      <w:r>
        <w:t xml:space="preserve"> Radial distribution function between the Zn</w:t>
      </w:r>
      <w:r w:rsidRPr="007E1174">
        <w:rPr>
          <w:vertAlign w:val="superscript"/>
        </w:rPr>
        <w:t>2+</w:t>
      </w:r>
      <w:r>
        <w:t xml:space="preserve"> and water molecules.</w:t>
      </w:r>
    </w:p>
    <w:p w14:paraId="4ECA71B3" w14:textId="77777777" w:rsidR="00E27EB8" w:rsidRDefault="00E27EB8" w:rsidP="00E27EB8">
      <w:pPr>
        <w:pStyle w:val="Figure"/>
      </w:pPr>
      <w:r>
        <w:lastRenderedPageBreak/>
        <w:drawing>
          <wp:inline distT="0" distB="0" distL="0" distR="0" wp14:anchorId="7C9C3589" wp14:editId="38899611">
            <wp:extent cx="5701707" cy="4561367"/>
            <wp:effectExtent l="0" t="0" r="0" b="0"/>
            <wp:docPr id="394320406" name="Picture 3"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320406" name="Picture 3" descr="A graph of different colored lines&#10;&#10;Description automatically generated with medium confidence"/>
                    <pic:cNvPicPr/>
                  </pic:nvPicPr>
                  <pic:blipFill rotWithShape="1">
                    <a:blip r:embed="rId12" cstate="print">
                      <a:extLst>
                        <a:ext uri="{28A0092B-C50C-407E-A947-70E740481C1C}">
                          <a14:useLocalDpi xmlns:a14="http://schemas.microsoft.com/office/drawing/2010/main" val="0"/>
                        </a:ext>
                      </a:extLst>
                    </a:blip>
                    <a:srcRect l="4582" t="3704" r="9704" b="13164"/>
                    <a:stretch/>
                  </pic:blipFill>
                  <pic:spPr bwMode="auto">
                    <a:xfrm>
                      <a:off x="0" y="0"/>
                      <a:ext cx="5712737" cy="4570191"/>
                    </a:xfrm>
                    <a:prstGeom prst="rect">
                      <a:avLst/>
                    </a:prstGeom>
                    <a:ln>
                      <a:noFill/>
                    </a:ln>
                    <a:extLst>
                      <a:ext uri="{53640926-AAD7-44D8-BBD7-CCE9431645EC}">
                        <a14:shadowObscured xmlns:a14="http://schemas.microsoft.com/office/drawing/2010/main"/>
                      </a:ext>
                    </a:extLst>
                  </pic:spPr>
                </pic:pic>
              </a:graphicData>
            </a:graphic>
          </wp:inline>
        </w:drawing>
      </w:r>
    </w:p>
    <w:p w14:paraId="4778B3F2" w14:textId="77777777" w:rsidR="00E27EB8" w:rsidRDefault="00E27EB8" w:rsidP="00E27EB8">
      <w:pPr>
        <w:pStyle w:val="FigureHeadingLabel"/>
      </w:pPr>
      <w:r w:rsidRPr="009A4133">
        <w:t>Extended Data 9: Molecular</w:t>
      </w:r>
      <w:r w:rsidRPr="00A35879">
        <w:t xml:space="preserve"> dynamics simulations of BALF2 tetramer.</w:t>
      </w:r>
      <w:r w:rsidRPr="00A35879">
        <w:rPr>
          <w:b/>
          <w:bCs/>
        </w:rPr>
        <w:t xml:space="preserve"> a</w:t>
      </w:r>
      <w:r>
        <w:rPr>
          <w:b/>
          <w:bCs/>
        </w:rPr>
        <w:t>)</w:t>
      </w:r>
      <w:r w:rsidRPr="00A35879">
        <w:rPr>
          <w:b/>
          <w:bCs/>
        </w:rPr>
        <w:t xml:space="preserve"> </w:t>
      </w:r>
      <w:r w:rsidRPr="00A35879">
        <w:t>The tetramer four N-terminal domains (residues 8</w:t>
      </w:r>
      <w:r w:rsidRPr="00AB5036">
        <w:t>–</w:t>
      </w:r>
      <w:r w:rsidRPr="00A35879">
        <w:t xml:space="preserve">983) backbone positional root-mean-square deviations (RMSD) from the initial structure along the simulation time. </w:t>
      </w:r>
      <w:r w:rsidRPr="00A35879">
        <w:rPr>
          <w:b/>
          <w:bCs/>
        </w:rPr>
        <w:t>b</w:t>
      </w:r>
      <w:r>
        <w:rPr>
          <w:b/>
          <w:bCs/>
        </w:rPr>
        <w:t>)</w:t>
      </w:r>
      <w:r w:rsidRPr="00A35879">
        <w:t xml:space="preserve"> A monomer N-terminal domain (residues 8</w:t>
      </w:r>
      <w:r>
        <w:t>–</w:t>
      </w:r>
      <w:r w:rsidRPr="00A35879">
        <w:t xml:space="preserve">983) backbone positional RMSD from the initial structure along the simulation time. </w:t>
      </w:r>
      <w:r w:rsidRPr="00A35879">
        <w:rPr>
          <w:b/>
          <w:bCs/>
        </w:rPr>
        <w:t>c</w:t>
      </w:r>
      <w:r>
        <w:rPr>
          <w:b/>
          <w:bCs/>
        </w:rPr>
        <w:t>)</w:t>
      </w:r>
      <w:r w:rsidRPr="00A35879">
        <w:t xml:space="preserve"> The Cα atom positional root-mean-square fluctuations (RMSF) of a monomer N-terminal domain </w:t>
      </w:r>
      <w:r>
        <w:t>(</w:t>
      </w:r>
      <w:r w:rsidRPr="00A35879">
        <w:t>residues 8</w:t>
      </w:r>
      <w:r>
        <w:t>–</w:t>
      </w:r>
      <w:r w:rsidRPr="00A35879">
        <w:t>983</w:t>
      </w:r>
      <w:r>
        <w:t>)</w:t>
      </w:r>
      <w:r w:rsidRPr="00A35879">
        <w:t xml:space="preserve">. For each system, RMSD and RMSF are averages of five independent simulations. Region comprising </w:t>
      </w:r>
      <w:r w:rsidRPr="00A35879">
        <w:rPr>
          <w:color w:val="000000" w:themeColor="text1"/>
        </w:rPr>
        <w:t>loop 2 (</w:t>
      </w:r>
      <w:r>
        <w:rPr>
          <w:color w:val="000000" w:themeColor="text1"/>
        </w:rPr>
        <w:t xml:space="preserve">residues </w:t>
      </w:r>
      <w:r w:rsidRPr="00A35879">
        <w:rPr>
          <w:color w:val="000000" w:themeColor="text1"/>
        </w:rPr>
        <w:t>950</w:t>
      </w:r>
      <w:r>
        <w:rPr>
          <w:color w:val="000000" w:themeColor="text1"/>
        </w:rPr>
        <w:t>–</w:t>
      </w:r>
      <w:r w:rsidRPr="00A35879">
        <w:rPr>
          <w:color w:val="000000" w:themeColor="text1"/>
        </w:rPr>
        <w:t xml:space="preserve">960) </w:t>
      </w:r>
      <w:r>
        <w:rPr>
          <w:color w:val="000000" w:themeColor="text1"/>
        </w:rPr>
        <w:t>is</w:t>
      </w:r>
      <w:r w:rsidRPr="00A35879">
        <w:rPr>
          <w:color w:val="000000" w:themeColor="text1"/>
        </w:rPr>
        <w:t xml:space="preserve"> shaded in grey.</w:t>
      </w:r>
    </w:p>
    <w:p w14:paraId="58A1204D" w14:textId="77777777" w:rsidR="00E27EB8" w:rsidRDefault="00E27EB8" w:rsidP="00E27EB8">
      <w:pPr>
        <w:pStyle w:val="Figure"/>
      </w:pPr>
      <w:r>
        <w:lastRenderedPageBreak/>
        <w:drawing>
          <wp:inline distT="0" distB="0" distL="0" distR="0" wp14:anchorId="7C189D06" wp14:editId="0D3EAD43">
            <wp:extent cx="2707783" cy="4600575"/>
            <wp:effectExtent l="0" t="0" r="0" b="0"/>
            <wp:docPr id="2116478847" name="Picture 2" descr="A group of blue and red ligh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478847" name="Picture 2" descr="A group of blue and red lights&#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23956" cy="4628053"/>
                    </a:xfrm>
                    <a:prstGeom prst="rect">
                      <a:avLst/>
                    </a:prstGeom>
                  </pic:spPr>
                </pic:pic>
              </a:graphicData>
            </a:graphic>
          </wp:inline>
        </w:drawing>
      </w:r>
    </w:p>
    <w:p w14:paraId="3860FEB8" w14:textId="77777777" w:rsidR="00E27EB8" w:rsidRDefault="00E27EB8" w:rsidP="00E27EB8">
      <w:pPr>
        <w:pStyle w:val="FigureHeadingLabel"/>
      </w:pPr>
      <w:r>
        <w:t xml:space="preserve">Extended Data 10: Individual channels for FRET-based EMSA annealing assay. Cy5 = red; Cy3 = cyan; FRET = blue. </w:t>
      </w:r>
      <w:r w:rsidRPr="00D6358F">
        <w:rPr>
          <w:b/>
          <w:bCs/>
        </w:rPr>
        <w:t>a</w:t>
      </w:r>
      <w:r>
        <w:rPr>
          <w:b/>
          <w:bCs/>
        </w:rPr>
        <w:t>)</w:t>
      </w:r>
      <w:r>
        <w:t xml:space="preserve"> Assay run in the presence of MgCl</w:t>
      </w:r>
      <w:r>
        <w:rPr>
          <w:vertAlign w:val="subscript"/>
        </w:rPr>
        <w:t>2</w:t>
      </w:r>
      <w:r>
        <w:t xml:space="preserve">. </w:t>
      </w:r>
      <w:r w:rsidRPr="00D6358F">
        <w:rPr>
          <w:b/>
          <w:bCs/>
        </w:rPr>
        <w:t>b</w:t>
      </w:r>
      <w:r>
        <w:rPr>
          <w:b/>
          <w:bCs/>
        </w:rPr>
        <w:t>)</w:t>
      </w:r>
      <w:r>
        <w:t xml:space="preserve"> Assay run in the absence of MgCl</w:t>
      </w:r>
      <w:r>
        <w:rPr>
          <w:vertAlign w:val="subscript"/>
        </w:rPr>
        <w:t>2</w:t>
      </w:r>
      <w:r>
        <w:t xml:space="preserve"> and presence of EDTA.</w:t>
      </w:r>
    </w:p>
    <w:p w14:paraId="0DB05D46" w14:textId="77777777" w:rsidR="00E27EB8" w:rsidRPr="007E2FDC" w:rsidRDefault="00E27EB8" w:rsidP="00E27EB8">
      <w:pPr>
        <w:pStyle w:val="FigureHeadingLabel"/>
        <w:rPr>
          <w:vertAlign w:val="subscript"/>
        </w:rPr>
      </w:pPr>
    </w:p>
    <w:p w14:paraId="31929437" w14:textId="1D3E1964" w:rsidR="00E27EB8" w:rsidRPr="00D6148F" w:rsidRDefault="00E27EB8" w:rsidP="00E27EB8">
      <w:pPr>
        <w:pStyle w:val="FigureHeadingLabel"/>
      </w:pPr>
    </w:p>
    <w:p w14:paraId="7D1C2545" w14:textId="77777777" w:rsidR="00E27EB8" w:rsidRDefault="00E27EB8"/>
    <w:sectPr w:rsidR="00E27E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EB8"/>
    <w:rsid w:val="002978F5"/>
    <w:rsid w:val="00313B5B"/>
    <w:rsid w:val="003852CF"/>
    <w:rsid w:val="004E780C"/>
    <w:rsid w:val="00E27EB8"/>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F0A41"/>
  <w15:chartTrackingRefBased/>
  <w15:docId w15:val="{14AC394E-B305-4121-92B9-E221A4589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Text"/>
    <w:qFormat/>
    <w:rsid w:val="00E27EB8"/>
    <w:pPr>
      <w:spacing w:line="480" w:lineRule="auto"/>
      <w:jc w:val="both"/>
    </w:pPr>
    <w:rPr>
      <w:rFonts w:ascii="Times New Roman" w:eastAsia="SimSun" w:hAnsi="Times New Roman"/>
      <w:sz w:val="22"/>
      <w:szCs w:val="22"/>
      <w:lang w:val="en-AU"/>
    </w:rPr>
  </w:style>
  <w:style w:type="paragraph" w:styleId="Heading1">
    <w:name w:val="heading 1"/>
    <w:basedOn w:val="Normal"/>
    <w:next w:val="Normal"/>
    <w:link w:val="Heading1Char"/>
    <w:uiPriority w:val="9"/>
    <w:qFormat/>
    <w:rsid w:val="00E27EB8"/>
    <w:pPr>
      <w:keepNext/>
      <w:keepLines/>
      <w:spacing w:before="360" w:after="80" w:line="278" w:lineRule="auto"/>
      <w:jc w:val="left"/>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E27EB8"/>
    <w:pPr>
      <w:keepNext/>
      <w:keepLines/>
      <w:spacing w:before="160" w:after="80" w:line="278" w:lineRule="auto"/>
      <w:jc w:val="left"/>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E27EB8"/>
    <w:pPr>
      <w:keepNext/>
      <w:keepLines/>
      <w:spacing w:before="160" w:after="80" w:line="278" w:lineRule="auto"/>
      <w:jc w:val="left"/>
      <w:outlineLvl w:val="2"/>
    </w:pPr>
    <w:rPr>
      <w:rFonts w:asciiTheme="minorHAnsi" w:eastAsiaTheme="majorEastAsia" w:hAnsiTheme="minorHAnsi"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E27EB8"/>
    <w:pPr>
      <w:keepNext/>
      <w:keepLines/>
      <w:spacing w:before="80" w:after="40" w:line="278" w:lineRule="auto"/>
      <w:jc w:val="left"/>
      <w:outlineLvl w:val="3"/>
    </w:pPr>
    <w:rPr>
      <w:rFonts w:asciiTheme="minorHAnsi" w:eastAsiaTheme="majorEastAsia" w:hAnsiTheme="minorHAnsi" w:cstheme="majorBidi"/>
      <w:i/>
      <w:iCs/>
      <w:color w:val="0F4761" w:themeColor="accent1" w:themeShade="BF"/>
      <w:sz w:val="24"/>
      <w:szCs w:val="24"/>
      <w:lang w:val="en-US"/>
    </w:rPr>
  </w:style>
  <w:style w:type="paragraph" w:styleId="Heading5">
    <w:name w:val="heading 5"/>
    <w:basedOn w:val="Normal"/>
    <w:next w:val="Normal"/>
    <w:link w:val="Heading5Char"/>
    <w:uiPriority w:val="9"/>
    <w:semiHidden/>
    <w:unhideWhenUsed/>
    <w:qFormat/>
    <w:rsid w:val="00E27EB8"/>
    <w:pPr>
      <w:keepNext/>
      <w:keepLines/>
      <w:spacing w:before="80" w:after="40" w:line="278" w:lineRule="auto"/>
      <w:jc w:val="left"/>
      <w:outlineLvl w:val="4"/>
    </w:pPr>
    <w:rPr>
      <w:rFonts w:asciiTheme="minorHAnsi" w:eastAsiaTheme="majorEastAsia" w:hAnsiTheme="minorHAnsi" w:cstheme="majorBidi"/>
      <w:color w:val="0F4761" w:themeColor="accent1" w:themeShade="BF"/>
      <w:sz w:val="24"/>
      <w:szCs w:val="24"/>
      <w:lang w:val="en-US"/>
    </w:rPr>
  </w:style>
  <w:style w:type="paragraph" w:styleId="Heading6">
    <w:name w:val="heading 6"/>
    <w:basedOn w:val="Normal"/>
    <w:next w:val="Normal"/>
    <w:link w:val="Heading6Char"/>
    <w:uiPriority w:val="9"/>
    <w:semiHidden/>
    <w:unhideWhenUsed/>
    <w:qFormat/>
    <w:rsid w:val="00E27EB8"/>
    <w:pPr>
      <w:keepNext/>
      <w:keepLines/>
      <w:spacing w:before="40" w:after="0" w:line="278" w:lineRule="auto"/>
      <w:jc w:val="left"/>
      <w:outlineLvl w:val="5"/>
    </w:pPr>
    <w:rPr>
      <w:rFonts w:asciiTheme="minorHAnsi" w:eastAsiaTheme="majorEastAsia" w:hAnsiTheme="minorHAnsi" w:cstheme="majorBidi"/>
      <w:i/>
      <w:iCs/>
      <w:color w:val="595959" w:themeColor="text1" w:themeTint="A6"/>
      <w:sz w:val="24"/>
      <w:szCs w:val="24"/>
      <w:lang w:val="en-US"/>
    </w:rPr>
  </w:style>
  <w:style w:type="paragraph" w:styleId="Heading7">
    <w:name w:val="heading 7"/>
    <w:basedOn w:val="Normal"/>
    <w:next w:val="Normal"/>
    <w:link w:val="Heading7Char"/>
    <w:uiPriority w:val="9"/>
    <w:semiHidden/>
    <w:unhideWhenUsed/>
    <w:qFormat/>
    <w:rsid w:val="00E27EB8"/>
    <w:pPr>
      <w:keepNext/>
      <w:keepLines/>
      <w:spacing w:before="40" w:after="0" w:line="278" w:lineRule="auto"/>
      <w:jc w:val="left"/>
      <w:outlineLvl w:val="6"/>
    </w:pPr>
    <w:rPr>
      <w:rFonts w:asciiTheme="minorHAnsi" w:eastAsiaTheme="majorEastAsia" w:hAnsiTheme="minorHAnsi" w:cstheme="majorBidi"/>
      <w:color w:val="595959" w:themeColor="text1" w:themeTint="A6"/>
      <w:sz w:val="24"/>
      <w:szCs w:val="24"/>
      <w:lang w:val="en-US"/>
    </w:rPr>
  </w:style>
  <w:style w:type="paragraph" w:styleId="Heading8">
    <w:name w:val="heading 8"/>
    <w:basedOn w:val="Normal"/>
    <w:next w:val="Normal"/>
    <w:link w:val="Heading8Char"/>
    <w:uiPriority w:val="9"/>
    <w:semiHidden/>
    <w:unhideWhenUsed/>
    <w:qFormat/>
    <w:rsid w:val="00E27EB8"/>
    <w:pPr>
      <w:keepNext/>
      <w:keepLines/>
      <w:spacing w:after="0" w:line="278" w:lineRule="auto"/>
      <w:jc w:val="left"/>
      <w:outlineLvl w:val="7"/>
    </w:pPr>
    <w:rPr>
      <w:rFonts w:asciiTheme="minorHAnsi" w:eastAsiaTheme="majorEastAsia" w:hAnsiTheme="minorHAnsi" w:cstheme="majorBidi"/>
      <w:i/>
      <w:iCs/>
      <w:color w:val="272727" w:themeColor="text1" w:themeTint="D8"/>
      <w:sz w:val="24"/>
      <w:szCs w:val="24"/>
      <w:lang w:val="en-US"/>
    </w:rPr>
  </w:style>
  <w:style w:type="paragraph" w:styleId="Heading9">
    <w:name w:val="heading 9"/>
    <w:basedOn w:val="Normal"/>
    <w:next w:val="Normal"/>
    <w:link w:val="Heading9Char"/>
    <w:uiPriority w:val="9"/>
    <w:semiHidden/>
    <w:unhideWhenUsed/>
    <w:qFormat/>
    <w:rsid w:val="00E27EB8"/>
    <w:pPr>
      <w:keepNext/>
      <w:keepLines/>
      <w:spacing w:after="0" w:line="278" w:lineRule="auto"/>
      <w:jc w:val="left"/>
      <w:outlineLvl w:val="8"/>
    </w:pPr>
    <w:rPr>
      <w:rFonts w:asciiTheme="minorHAnsi" w:eastAsiaTheme="majorEastAsia" w:hAnsiTheme="minorHAnsi" w:cstheme="majorBidi"/>
      <w:color w:val="272727" w:themeColor="text1" w:themeTint="D8"/>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7E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27E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27E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7E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7E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7E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7E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7E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7EB8"/>
    <w:rPr>
      <w:rFonts w:eastAsiaTheme="majorEastAsia" w:cstheme="majorBidi"/>
      <w:color w:val="272727" w:themeColor="text1" w:themeTint="D8"/>
    </w:rPr>
  </w:style>
  <w:style w:type="paragraph" w:styleId="Title">
    <w:name w:val="Title"/>
    <w:basedOn w:val="Normal"/>
    <w:next w:val="Normal"/>
    <w:link w:val="TitleChar"/>
    <w:uiPriority w:val="10"/>
    <w:qFormat/>
    <w:rsid w:val="00E27EB8"/>
    <w:pPr>
      <w:spacing w:after="80" w:line="240" w:lineRule="auto"/>
      <w:contextualSpacing/>
      <w:jc w:val="left"/>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E27E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7EB8"/>
    <w:pPr>
      <w:numPr>
        <w:ilvl w:val="1"/>
      </w:numPr>
      <w:spacing w:line="278" w:lineRule="auto"/>
      <w:jc w:val="left"/>
    </w:pPr>
    <w:rPr>
      <w:rFonts w:asciiTheme="minorHAnsi" w:eastAsiaTheme="majorEastAsia" w:hAnsiTheme="minorHAnsi"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E27E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7EB8"/>
    <w:pPr>
      <w:spacing w:before="160" w:line="278" w:lineRule="auto"/>
      <w:jc w:val="center"/>
    </w:pPr>
    <w:rPr>
      <w:rFonts w:asciiTheme="minorHAnsi" w:eastAsiaTheme="minorHAnsi" w:hAnsiTheme="minorHAnsi"/>
      <w:i/>
      <w:iCs/>
      <w:color w:val="404040" w:themeColor="text1" w:themeTint="BF"/>
      <w:sz w:val="24"/>
      <w:szCs w:val="24"/>
      <w:lang w:val="en-US"/>
    </w:rPr>
  </w:style>
  <w:style w:type="character" w:customStyle="1" w:styleId="QuoteChar">
    <w:name w:val="Quote Char"/>
    <w:basedOn w:val="DefaultParagraphFont"/>
    <w:link w:val="Quote"/>
    <w:uiPriority w:val="29"/>
    <w:rsid w:val="00E27EB8"/>
    <w:rPr>
      <w:i/>
      <w:iCs/>
      <w:color w:val="404040" w:themeColor="text1" w:themeTint="BF"/>
    </w:rPr>
  </w:style>
  <w:style w:type="paragraph" w:styleId="ListParagraph">
    <w:name w:val="List Paragraph"/>
    <w:basedOn w:val="Normal"/>
    <w:uiPriority w:val="34"/>
    <w:qFormat/>
    <w:rsid w:val="00E27EB8"/>
    <w:pPr>
      <w:spacing w:line="278" w:lineRule="auto"/>
      <w:ind w:left="720"/>
      <w:contextualSpacing/>
      <w:jc w:val="left"/>
    </w:pPr>
    <w:rPr>
      <w:rFonts w:asciiTheme="minorHAnsi" w:eastAsiaTheme="minorHAnsi" w:hAnsiTheme="minorHAnsi"/>
      <w:sz w:val="24"/>
      <w:szCs w:val="24"/>
      <w:lang w:val="en-US"/>
    </w:rPr>
  </w:style>
  <w:style w:type="character" w:styleId="IntenseEmphasis">
    <w:name w:val="Intense Emphasis"/>
    <w:basedOn w:val="DefaultParagraphFont"/>
    <w:uiPriority w:val="21"/>
    <w:qFormat/>
    <w:rsid w:val="00E27EB8"/>
    <w:rPr>
      <w:i/>
      <w:iCs/>
      <w:color w:val="0F4761" w:themeColor="accent1" w:themeShade="BF"/>
    </w:rPr>
  </w:style>
  <w:style w:type="paragraph" w:styleId="IntenseQuote">
    <w:name w:val="Intense Quote"/>
    <w:basedOn w:val="Normal"/>
    <w:next w:val="Normal"/>
    <w:link w:val="IntenseQuoteChar"/>
    <w:uiPriority w:val="30"/>
    <w:qFormat/>
    <w:rsid w:val="00E27EB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i/>
      <w:iCs/>
      <w:color w:val="0F4761" w:themeColor="accent1" w:themeShade="BF"/>
      <w:sz w:val="24"/>
      <w:szCs w:val="24"/>
      <w:lang w:val="en-US"/>
    </w:rPr>
  </w:style>
  <w:style w:type="character" w:customStyle="1" w:styleId="IntenseQuoteChar">
    <w:name w:val="Intense Quote Char"/>
    <w:basedOn w:val="DefaultParagraphFont"/>
    <w:link w:val="IntenseQuote"/>
    <w:uiPriority w:val="30"/>
    <w:rsid w:val="00E27EB8"/>
    <w:rPr>
      <w:i/>
      <w:iCs/>
      <w:color w:val="0F4761" w:themeColor="accent1" w:themeShade="BF"/>
    </w:rPr>
  </w:style>
  <w:style w:type="character" w:styleId="IntenseReference">
    <w:name w:val="Intense Reference"/>
    <w:basedOn w:val="DefaultParagraphFont"/>
    <w:uiPriority w:val="32"/>
    <w:qFormat/>
    <w:rsid w:val="00E27EB8"/>
    <w:rPr>
      <w:b/>
      <w:bCs/>
      <w:smallCaps/>
      <w:color w:val="0F4761" w:themeColor="accent1" w:themeShade="BF"/>
      <w:spacing w:val="5"/>
    </w:rPr>
  </w:style>
  <w:style w:type="paragraph" w:customStyle="1" w:styleId="FigureHeadingLabel">
    <w:name w:val="Figure Heading/Label"/>
    <w:basedOn w:val="Normal"/>
    <w:link w:val="FigureHeadingLabelChar"/>
    <w:qFormat/>
    <w:rsid w:val="00E27EB8"/>
    <w:pPr>
      <w:spacing w:after="360" w:line="240" w:lineRule="auto"/>
    </w:pPr>
    <w:rPr>
      <w:sz w:val="20"/>
      <w:szCs w:val="20"/>
      <w:lang w:val="en-GB"/>
    </w:rPr>
  </w:style>
  <w:style w:type="character" w:customStyle="1" w:styleId="FigureHeadingLabelChar">
    <w:name w:val="Figure Heading/Label Char"/>
    <w:basedOn w:val="DefaultParagraphFont"/>
    <w:link w:val="FigureHeadingLabel"/>
    <w:rsid w:val="00E27EB8"/>
    <w:rPr>
      <w:rFonts w:ascii="Times New Roman" w:eastAsia="SimSun" w:hAnsi="Times New Roman"/>
      <w:sz w:val="20"/>
      <w:szCs w:val="20"/>
      <w:lang w:val="en-GB"/>
    </w:rPr>
  </w:style>
  <w:style w:type="paragraph" w:customStyle="1" w:styleId="Figure">
    <w:name w:val="Figure"/>
    <w:basedOn w:val="Normal"/>
    <w:link w:val="FigureChar"/>
    <w:qFormat/>
    <w:rsid w:val="00E27EB8"/>
    <w:pPr>
      <w:keepNext/>
      <w:spacing w:after="0" w:line="240" w:lineRule="auto"/>
      <w:jc w:val="center"/>
    </w:pPr>
    <w:rPr>
      <w:rFonts w:cs="Times New Roman"/>
      <w:noProof/>
      <w:lang w:val="en-GB"/>
    </w:rPr>
  </w:style>
  <w:style w:type="character" w:customStyle="1" w:styleId="FigureChar">
    <w:name w:val="Figure Char"/>
    <w:basedOn w:val="DefaultParagraphFont"/>
    <w:link w:val="Figure"/>
    <w:rsid w:val="00E27EB8"/>
    <w:rPr>
      <w:rFonts w:ascii="Times New Roman" w:eastAsia="SimSun" w:hAnsi="Times New Roman" w:cs="Times New Roman"/>
      <w:noProof/>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tiff"/><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image" Target="media/image9.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1183</Words>
  <Characters>6745</Characters>
  <Application>Microsoft Office Word</Application>
  <DocSecurity>0</DocSecurity>
  <Lines>56</Lines>
  <Paragraphs>15</Paragraphs>
  <ScaleCrop>false</ScaleCrop>
  <Company/>
  <LinksUpToDate>false</LinksUpToDate>
  <CharactersWithSpaces>7913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2025-07-22T11:47:00Z</dcterms:created>
  <dcterms:modified xsi:type="dcterms:W3CDTF">2025-07-22T11:50:00Z</dcterms:modified>
</cp:coreProperties>
</file>